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Preckon Construction Pack ��� Implementation Deck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029466daedac8f27d7ee74d2978b37d6044d2c3"/>
      <w:r>
        <w:rPr/>
        <w:t>Preckon Construction Pack — Implementation Deck</w:t>
      </w:r>
    </w:p>
    <w:p>
      <w:pPr>
        <w:pStyle w:val="FirstParagraph"/>
        <w:rPr/>
      </w:pPr>
      <w:r>
        <w:rPr>
          <w:b/>
          <w:bCs/>
        </w:rPr>
        <w:t>Document:</w:t>
      </w:r>
      <w:r>
        <w:rPr/>
        <w:t xml:space="preserve"> </w:t>
      </w:r>
      <w:r>
        <w:rPr>
          <w:rStyle w:val="VerbatimChar"/>
        </w:rPr>
        <w:t>preckon-construction-pack-design.md</w:t>
      </w:r>
      <w:r>
        <w:rPr/>
        <w:t xml:space="preserve"> </w:t>
      </w:r>
      <w:r>
        <w:rPr>
          <w:b/>
          <w:bCs/>
        </w:rPr>
        <w:t>Version:</w:t>
      </w:r>
      <w:r>
        <w:rPr/>
        <w:t xml:space="preserve"> 1.3 (complete — §0 manifest, §1 personas, §2 bid-pursuit lifecycle, §3 Standards &amp; Rules v2 [tiers + validation], Appendices A–C) </w:t>
      </w:r>
      <w:r>
        <w:rPr>
          <w:b/>
          <w:bCs/>
        </w:rPr>
        <w:t>Status:</w:t>
      </w:r>
      <w:r>
        <w:rPr/>
        <w:t xml:space="preserve"> the first domain pack, authored against </w:t>
      </w:r>
      <w:r>
        <w:rPr>
          <w:b/>
          <w:bCs/>
        </w:rPr>
        <w:t>Preckon Core v1.2</w:t>
      </w:r>
      <w:r>
        <w:rPr/>
        <w:t xml:space="preserve"> (generic ABI + the §1.6 project-lifecycle field). Complete, incl. tender management: the manifest (§0.4), the persona roster (§1), the </w:t>
      </w:r>
      <w:r>
        <w:rPr>
          <w:b/>
          <w:bCs/>
        </w:rPr>
        <w:t>bid-pursuit lifecycle</w:t>
      </w:r>
      <w:r>
        <w:rPr/>
        <w:t xml:space="preserve"> (§2), the agents (Appendix A), the workflows (Appendix B), and the artifact types + ER + Host map (Appendix C). </w:t>
      </w:r>
      <w:r>
        <w:rPr>
          <w:b/>
          <w:bCs/>
        </w:rPr>
        <w:t>Framework:</w:t>
      </w:r>
      <w:r>
        <w:rPr/>
        <w:t xml:space="preserve"> </w:t>
      </w:r>
      <w:r>
        <w:rPr>
          <w:rStyle w:val="VerbatimChar"/>
        </w:rPr>
        <w:t>preckon-tenant-platform-design.md</w:t>
      </w:r>
      <w:r>
        <w:rPr/>
        <w:t xml:space="preserve"> v1.0 — the domain-neutral engine this deck plugs into. </w:t>
      </w:r>
      <w:r>
        <w:rPr>
          <w:b/>
          <w:bCs/>
        </w:rPr>
        <w:t>This deck is pack data; it changes no Core table, endpoint, or ABI.</w:t>
      </w:r>
    </w:p>
    <w:p>
      <w:pPr>
        <w:pStyle w:val="BlockText"/>
        <w:rPr/>
      </w:pPr>
      <w:r>
        <w:rPr>
          <w:b/>
          <w:bCs/>
        </w:rPr>
        <w:t>Reference convention.</w:t>
      </w:r>
      <w:r>
        <w:rPr/>
        <w:t xml:space="preserve"> </w:t>
      </w:r>
      <w:r>
        <w:rPr>
          <w:rStyle w:val="VerbatimChar"/>
        </w:rPr>
        <w:t>§</w:t>
      </w:r>
      <w:r>
        <w:rPr/>
        <w:t xml:space="preserve">-references (e.g. §3.1, §D.2) point to the </w:t>
      </w:r>
      <w:r>
        <w:rPr>
          <w:b/>
          <w:bCs/>
        </w:rPr>
        <w:t>framework doc</w:t>
      </w:r>
      <w:r>
        <w:rPr/>
        <w:t xml:space="preserve">. </w:t>
      </w:r>
      <w:r>
        <w:rPr>
          <w:rStyle w:val="VerbatimChar"/>
        </w:rPr>
        <w:t>Appendix</w:t>
      </w:r>
      <w:r>
        <w:rPr/>
        <w:t xml:space="preserve">-references (A/B/C) are within </w:t>
      </w:r>
      <w:r>
        <w:rPr>
          <w:i/>
          <w:iCs/>
        </w:rPr>
        <w:t>this</w:t>
      </w:r>
      <w:r>
        <w:rPr/>
        <w:t xml:space="preserve"> deck. Every key shown in short form (</w:t>
      </w:r>
      <w:r>
        <w:rPr>
          <w:rStyle w:val="VerbatimChar"/>
        </w:rPr>
        <w:t>agent.tender</w:t>
      </w:r>
      <w:r>
        <w:rPr/>
        <w:t xml:space="preserve">, </w:t>
      </w:r>
      <w:r>
        <w:rPr>
          <w:rStyle w:val="VerbatimChar"/>
        </w:rPr>
        <w:t>boq_line</w:t>
      </w:r>
      <w:r>
        <w:rPr/>
        <w:t>) is the construction-namespaced value (</w:t>
      </w:r>
      <w:r>
        <w:rPr>
          <w:rStyle w:val="VerbatimChar"/>
        </w:rPr>
        <w:t>construction.agent.tender</w:t>
      </w:r>
      <w:r>
        <w:rPr/>
        <w:t xml:space="preserve">, </w:t>
      </w:r>
      <w:r>
        <w:rPr>
          <w:rStyle w:val="VerbatimChar"/>
        </w:rPr>
        <w:t>construction.boq_line</w:t>
      </w:r>
      <w:r>
        <w:rPr/>
        <w:t>) per §D.3 — the manifest (§0.4) records the full keys.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scope-the-pack-contract"/>
      <w:r>
        <w:rPr/>
        <w:t>§0 — Scope &amp; the pack contract</w:t>
      </w:r>
    </w:p>
    <w:p>
      <w:pPr>
        <w:pStyle w:val="Heading3"/>
        <w:rPr/>
      </w:pPr>
      <w:bookmarkStart w:id="2" w:name="what-this-deck-is"/>
      <w:r>
        <w:rPr/>
        <w:t>§0.1 What this deck is</w:t>
      </w:r>
    </w:p>
    <w:p>
      <w:pPr>
        <w:pStyle w:val="FirstParagraph"/>
        <w:rPr/>
      </w:pPr>
      <w:r>
        <w:rPr/>
        <w:t xml:space="preserve">The </w:t>
      </w:r>
      <w:r>
        <w:rPr>
          <w:b/>
          <w:bCs/>
        </w:rPr>
        <w:t>Construction pack</w:t>
      </w:r>
      <w:r>
        <w:rPr/>
        <w:t xml:space="preserve">: the concrete instantiation that turns generic Preckon Core into a working preconstruction product. It is nothing but pack data (§D) — a single declared </w:t>
      </w:r>
      <w:r>
        <w:rPr>
          <w:rStyle w:val="VerbatimChar"/>
        </w:rPr>
        <w:t>domain</w:t>
      </w:r>
      <w:r>
        <w:rPr/>
        <w:t xml:space="preserve"> manifest plus the assets it names: an artifact-type vocabulary, twenty agents (fifteen workers, a Knowledge and a Standards service, and three supervisor personas), eleven workflows, a bid-pursuit lifecycle, a Standards &amp; Rules engine (§3), a role template, and library collections. Core loads it without modification; adding this pack (or a legal-review pack tomorrow) is a data change, not an engineering change. That property is the whole point of §D, and this deck is the proof that Core earned it.</w:t>
      </w:r>
      <w:bookmarkEnd w:id="2"/>
    </w:p>
    <w:p>
      <w:pPr>
        <w:pStyle w:val="Heading3"/>
        <w:rPr/>
      </w:pPr>
      <w:r>
        <w:rPr/>
        <w:t>§0.2 What a pack declares (§D.1)</w:t>
      </w:r>
    </w:p>
    <w:p>
      <w:pPr>
        <w:pStyle w:val="FirstParagraph"/>
        <w:rPr/>
      </w:pPr>
      <w:r>
        <w:rPr/>
        <w:t>A pack bundles exactly seven things. Each is specified in this deck at the location below: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Bundle element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Written into (Core)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Specified here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artifact types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the schema vocabulary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§2.1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artifact_type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Appendix C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agents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I/O manifests + prompts/tools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§3.1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Appendix 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personas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the supervisor roster (scope + authority + lens)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§6.4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supervisor_profile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§1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lifecycles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the bid-pursuit state machine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§1.6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project.lifecycle_*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§2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standards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executable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standard_rule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 (seeded)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§M Library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§3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the DAG definitions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§4.1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registry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Appendix 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library collections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reference kinds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§M.1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library_entry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§0.4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rate_book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precedent_bid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template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role template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system roles + presets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§1.2, seeded at bootstrap (§D.4)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§0.5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permission additions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beyond the Core 18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§1.2 catalog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§0.5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bid.approve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pack defaults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tenant_setting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 bootstrap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§0.4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default_tier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auto_accept_threshold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bookmarkStart w:id="3" w:name="what-a-pack-declares-d.1"/>
            <w:bookmarkEnd w:id="3"/>
          </w:p>
        </w:tc>
      </w:tr>
    </w:tbl>
    <w:p>
      <w:pPr>
        <w:pStyle w:val="Heading3"/>
        <w:rPr/>
      </w:pPr>
      <w:r>
        <w:rPr/>
        <w:t>§0.3 Inherited conventions (re-specified nowhere)</w:t>
      </w:r>
    </w:p>
    <w:p>
      <w:pPr>
        <w:pStyle w:val="FirstParagraph"/>
        <w:rPr/>
      </w:pPr>
      <w:r>
        <w:rPr/>
        <w:t xml:space="preserve">This deck inherits, unchanged, everything in the framework’s §0 and §X: UUIDv7 keys, </w:t>
      </w:r>
      <w:r>
        <w:rPr>
          <w:rStyle w:val="VerbatimChar"/>
        </w:rPr>
        <w:t>timestamptz</w:t>
      </w:r>
      <w:r>
        <w:rPr/>
        <w:t xml:space="preserve">, money as integer minor units, RLS tenant-scoping and the </w:t>
      </w:r>
      <w:r>
        <w:rPr>
          <w:rStyle w:val="VerbatimChar"/>
        </w:rPr>
        <w:t>withTenant()</w:t>
      </w:r>
      <w:r>
        <w:rPr/>
        <w:t xml:space="preserve"> seam, the append-only hash-chained audit spine, the review-queue/auto-accept mechanics (§2.5, §5.6), and — load-bearing here — the </w:t>
      </w:r>
      <w:r>
        <w:rPr>
          <w:b/>
          <w:bCs/>
        </w:rPr>
        <w:t>ABI’s four syscalls</w:t>
      </w:r>
      <w:r>
        <w:rPr/>
        <w:t xml:space="preserve"> (§3.2). Every agent below is expressible with </w:t>
      </w:r>
      <w:r>
        <w:rPr>
          <w:rStyle w:val="VerbatimChar"/>
        </w:rPr>
        <w:t>emitArtifact</w:t>
      </w:r>
      <w:r>
        <w:rPr/>
        <w:t xml:space="preserve"> / </w:t>
      </w:r>
      <w:r>
        <w:rPr>
          <w:rStyle w:val="VerbatimChar"/>
        </w:rPr>
        <w:t>readArtifacts</w:t>
      </w:r>
      <w:r>
        <w:rPr/>
        <w:t xml:space="preserve"> / </w:t>
      </w:r>
      <w:r>
        <w:rPr>
          <w:rStyle w:val="VerbatimChar"/>
        </w:rPr>
        <w:t>enqueueJob</w:t>
      </w:r>
      <w:r>
        <w:rPr/>
        <w:t>+</w:t>
      </w:r>
      <w:r>
        <w:rPr>
          <w:rStyle w:val="VerbatimChar"/>
        </w:rPr>
        <w:t>onJobResult</w:t>
      </w:r>
      <w:r>
        <w:rPr/>
        <w:t xml:space="preserve"> / </w:t>
      </w:r>
      <w:r>
        <w:rPr>
          <w:rStyle w:val="VerbatimChar"/>
        </w:rPr>
        <w:t>requestReview</w:t>
      </w:r>
      <w:r>
        <w:rPr/>
        <w:t xml:space="preserve"> and nothing more. If any pack asset needed a fifth syscall or a new column, that would be a Core defect, not a pack feature.</w:t>
      </w:r>
    </w:p>
    <w:p>
      <w:pPr>
        <w:pStyle w:val="Heading3"/>
        <w:rPr/>
      </w:pPr>
      <w:bookmarkStart w:id="4" w:name="the-construction-domain-manifest"/>
      <w:r>
        <w:rPr/>
        <w:t xml:space="preserve">§0.4 The construction </w:t>
      </w:r>
      <w:r>
        <w:rPr>
          <w:rStyle w:val="VerbatimChar"/>
        </w:rPr>
        <w:t>domain</w:t>
      </w:r>
      <w:r>
        <w:rPr/>
        <w:t xml:space="preserve"> manifest</w:t>
      </w:r>
    </w:p>
    <w:p>
      <w:pPr>
        <w:pStyle w:val="FirstParagraph"/>
        <w:rPr/>
      </w:pPr>
      <w:r>
        <w:rPr/>
        <w:t xml:space="preserve">The authoritative declaration — one </w:t>
      </w:r>
      <w:r>
        <w:rPr>
          <w:rStyle w:val="VerbatimChar"/>
        </w:rPr>
        <w:t>domain</w:t>
      </w:r>
      <w:r>
        <w:rPr/>
        <w:t xml:space="preserve"> row (§D.2), full form of the framework’s illustrative example:</w:t>
      </w:r>
    </w:p>
    <w:p>
      <w:pPr>
        <w:pStyle w:val="SourceCode"/>
        <w:rPr/>
      </w:pPr>
      <w:r>
        <w:rPr>
          <w:rStyle w:val="VerbatimChar"/>
        </w:rPr>
        <w:t>{</w:t>
      </w:r>
      <w:r>
        <w:rPr/>
        <w:br/>
      </w:r>
      <w:r>
        <w:rPr>
          <w:rStyle w:val="VerbatimChar"/>
        </w:rPr>
        <w:t xml:space="preserve">  "domain": "construction",</w:t>
      </w:r>
      <w:r>
        <w:rPr/>
        <w:br/>
      </w:r>
      <w:r>
        <w:rPr>
          <w:rStyle w:val="VerbatimChar"/>
        </w:rPr>
        <w:t xml:space="preserve">  "version": "1.0.0",</w:t>
      </w:r>
      <w:r>
        <w:rPr/>
        <w:br/>
      </w:r>
      <w:r>
        <w:rPr>
          <w:rStyle w:val="VerbatimChar"/>
        </w:rPr>
        <w:t xml:space="preserve">  "artifact_types": [</w:t>
      </w:r>
      <w:r>
        <w:rPr/>
        <w:br/>
      </w:r>
      <w:r>
        <w:rPr>
          <w:rStyle w:val="VerbatimChar"/>
        </w:rPr>
        <w:t xml:space="preserve">    "construction.document", "construction.tender_summary", "construction.spec_clause",</w:t>
      </w:r>
      <w:r>
        <w:rPr/>
        <w:br/>
      </w:r>
      <w:r>
        <w:rPr>
          <w:rStyle w:val="VerbatimChar"/>
        </w:rPr>
        <w:t xml:space="preserve">    "construction.drawing_index", "construction.drawing_measurement", "construction.boq_line",</w:t>
      </w:r>
      <w:r>
        <w:rPr/>
        <w:br/>
      </w:r>
      <w:r>
        <w:rPr>
          <w:rStyle w:val="VerbatimChar"/>
        </w:rPr>
        <w:t xml:space="preserve">    "construction.cost_line", "construction.schedule_activity", "construction.procurement_package",</w:t>
      </w:r>
      <w:r>
        <w:rPr/>
        <w:br/>
      </w:r>
      <w:r>
        <w:rPr>
          <w:rStyle w:val="VerbatimChar"/>
        </w:rPr>
        <w:t xml:space="preserve">    "construction.rfi", "construction.compliance_item", "construction.proposal_doc",</w:t>
      </w:r>
      <w:r>
        <w:rPr/>
        <w:br/>
      </w:r>
      <w:r>
        <w:rPr>
          <w:rStyle w:val="VerbatimChar"/>
        </w:rPr>
        <w:t xml:space="preserve">    "construction.bid_decision", "construction.risk", "construction.bid_approval", "construction.client_query",</w:t>
      </w:r>
      <w:r>
        <w:rPr/>
        <w:br/>
      </w:r>
      <w:r>
        <w:rPr>
          <w:rStyle w:val="VerbatimChar"/>
        </w:rPr>
        <w:t xml:space="preserve">    "construction.standard_violation"</w:t>
      </w:r>
      <w:r>
        <w:rPr/>
        <w:br/>
      </w:r>
      <w:r>
        <w:rPr>
          <w:rStyle w:val="VerbatimChar"/>
        </w:rPr>
        <w:t xml:space="preserve">  ],</w:t>
      </w:r>
      <w:r>
        <w:rPr/>
        <w:br/>
      </w:r>
      <w:r>
        <w:rPr>
          <w:rStyle w:val="VerbatimChar"/>
        </w:rPr>
        <w:t xml:space="preserve">  "agents": [</w:t>
      </w:r>
      <w:r>
        <w:rPr/>
        <w:br/>
      </w:r>
      <w:r>
        <w:rPr>
          <w:rStyle w:val="VerbatimChar"/>
        </w:rPr>
        <w:t xml:space="preserve">    "construction.agent.document", "construction.agent.tender", "construction.agent.specification",</w:t>
      </w:r>
      <w:r>
        <w:rPr/>
        <w:br/>
      </w:r>
      <w:r>
        <w:rPr>
          <w:rStyle w:val="VerbatimChar"/>
        </w:rPr>
        <w:t xml:space="preserve">    "construction.agent.drawing", "construction.agent.boq", "construction.agent.cost",</w:t>
      </w:r>
      <w:r>
        <w:rPr/>
        <w:br/>
      </w:r>
      <w:r>
        <w:rPr>
          <w:rStyle w:val="VerbatimChar"/>
        </w:rPr>
        <w:t xml:space="preserve">    "construction.agent.schedule", "construction.agent.procurement", "construction.agent.rfi",</w:t>
      </w:r>
      <w:r>
        <w:rPr/>
        <w:br/>
      </w:r>
      <w:r>
        <w:rPr>
          <w:rStyle w:val="VerbatimChar"/>
        </w:rPr>
        <w:t xml:space="preserve">    "construction.agent.compliance", "construction.agent.proposal",</w:t>
      </w:r>
      <w:r>
        <w:rPr/>
        <w:br/>
      </w:r>
      <w:r>
        <w:rPr>
          <w:rStyle w:val="VerbatimChar"/>
        </w:rPr>
        <w:t xml:space="preserve">    "construction.agent.bid_qualification", "construction.agent.risk", "construction.agent.approval_prep", "construction.agent.clarification",</w:t>
      </w:r>
      <w:r>
        <w:rPr/>
        <w:br/>
      </w:r>
      <w:r>
        <w:rPr>
          <w:rStyle w:val="VerbatimChar"/>
        </w:rPr>
        <w:t xml:space="preserve">    "construction.agent.knowledge", "construction.agent.standards",</w:t>
      </w:r>
      <w:r>
        <w:rPr/>
        <w:br/>
      </w:r>
      <w:r>
        <w:rPr>
          <w:rStyle w:val="VerbatimChar"/>
        </w:rPr>
        <w:t xml:space="preserve">    "construction.agent.construction_copilot", "construction.agent.commercial",</w:t>
      </w:r>
      <w:r>
        <w:rPr/>
        <w:br/>
      </w:r>
      <w:r>
        <w:rPr>
          <w:rStyle w:val="VerbatimChar"/>
        </w:rPr>
        <w:t xml:space="preserve">    "construction.agent.compliance_lead"</w:t>
      </w:r>
      <w:r>
        <w:rPr/>
        <w:br/>
      </w:r>
      <w:r>
        <w:rPr>
          <w:rStyle w:val="VerbatimChar"/>
        </w:rPr>
        <w:t xml:space="preserve">  ],</w:t>
      </w:r>
      <w:r>
        <w:rPr/>
        <w:br/>
      </w:r>
      <w:r>
        <w:rPr>
          <w:rStyle w:val="VerbatimChar"/>
        </w:rPr>
        <w:t xml:space="preserve">  "workflows": [</w:t>
      </w:r>
      <w:r>
        <w:rPr/>
        <w:br/>
      </w:r>
      <w:r>
        <w:rPr>
          <w:rStyle w:val="VerbatimChar"/>
        </w:rPr>
        <w:t xml:space="preserve">    "construction.workflow.tenderlogix", "construction.workflow.doclogix",</w:t>
      </w:r>
      <w:r>
        <w:rPr/>
        <w:br/>
      </w:r>
      <w:r>
        <w:rPr>
          <w:rStyle w:val="VerbatimChar"/>
        </w:rPr>
        <w:t xml:space="preserve">    "construction.workflow.drawlogix", "construction.workflow.quantlogix",</w:t>
      </w:r>
      <w:r>
        <w:rPr/>
        <w:br/>
      </w:r>
      <w:r>
        <w:rPr>
          <w:rStyle w:val="VerbatimChar"/>
        </w:rPr>
        <w:t xml:space="preserve">    "construction.workflow.costlogix", "construction.workflow.schedulelogix",</w:t>
      </w:r>
      <w:r>
        <w:rPr/>
        <w:br/>
      </w:r>
      <w:r>
        <w:rPr>
          <w:rStyle w:val="VerbatimChar"/>
        </w:rPr>
        <w:t xml:space="preserve">    "construction.workflow.procurelogix",</w:t>
      </w:r>
      <w:r>
        <w:rPr/>
        <w:br/>
      </w:r>
      <w:r>
        <w:rPr>
          <w:rStyle w:val="VerbatimChar"/>
        </w:rPr>
        <w:t xml:space="preserve">    "construction.workflow.bidqualification", "construction.workflow.riskreview",</w:t>
      </w:r>
      <w:r>
        <w:rPr/>
        <w:br/>
      </w:r>
      <w:r>
        <w:rPr>
          <w:rStyle w:val="VerbatimChar"/>
        </w:rPr>
        <w:t xml:space="preserve">    "construction.workflow.bidassembly", "construction.workflow.clarificationloop"</w:t>
      </w:r>
      <w:r>
        <w:rPr/>
        <w:br/>
      </w:r>
      <w:r>
        <w:rPr>
          <w:rStyle w:val="VerbatimChar"/>
        </w:rPr>
        <w:t xml:space="preserve">  ],</w:t>
      </w:r>
      <w:r>
        <w:rPr/>
        <w:br/>
      </w:r>
      <w:r>
        <w:rPr>
          <w:rStyle w:val="VerbatimChar"/>
        </w:rPr>
        <w:t xml:space="preserve">  "personas": [</w:t>
      </w:r>
      <w:r>
        <w:rPr/>
        <w:br/>
      </w:r>
      <w:r>
        <w:rPr>
          <w:rStyle w:val="VerbatimChar"/>
        </w:rPr>
        <w:t xml:space="preserve">    "construction.agent.construction_copilot", "construction.agent.commercial",</w:t>
      </w:r>
      <w:r>
        <w:rPr/>
        <w:br/>
      </w:r>
      <w:r>
        <w:rPr>
          <w:rStyle w:val="VerbatimChar"/>
        </w:rPr>
        <w:t xml:space="preserve">    "construction.agent.compliance_lead"</w:t>
      </w:r>
      <w:r>
        <w:rPr/>
        <w:br/>
      </w:r>
      <w:r>
        <w:rPr>
          <w:rStyle w:val="VerbatimChar"/>
        </w:rPr>
        <w:t xml:space="preserve">  ],</w:t>
      </w:r>
      <w:r>
        <w:rPr/>
        <w:br/>
      </w:r>
      <w:r>
        <w:rPr>
          <w:rStyle w:val="VerbatimChar"/>
        </w:rPr>
        <w:t xml:space="preserve">  "library_collections": ["rate_book", "standard_rule", "precedent_bid", "template"],</w:t>
      </w:r>
      <w:r>
        <w:rPr/>
        <w:br/>
      </w:r>
      <w:r>
        <w:rPr>
          <w:rStyle w:val="VerbatimChar"/>
        </w:rPr>
        <w:t xml:space="preserve">  "lifecycles": [ { "key": "bid_pursuit", "start": "received", "transitions": [ /* … see §2.1 … */ ] } ],</w:t>
      </w:r>
      <w:r>
        <w:rPr/>
        <w:br/>
      </w:r>
      <w:r>
        <w:rPr>
          <w:rStyle w:val="VerbatimChar"/>
        </w:rPr>
        <w:t xml:space="preserve">  "standards": [ { "collection": "standard_rule", "seed": "construction.standards.v1", "note": "license-clean baseline (code requirements-as-facts + company templates); licensed standards (NRM2/MasterFormat) are add-on packs — capability §10" } ],</w:t>
      </w:r>
      <w:r>
        <w:rPr/>
        <w:br/>
      </w:r>
      <w:r>
        <w:rPr>
          <w:rStyle w:val="VerbatimChar"/>
        </w:rPr>
        <w:t xml:space="preserve">  "role_template": [</w:t>
      </w:r>
      <w:r>
        <w:rPr/>
        <w:br/>
      </w:r>
      <w:r>
        <w:rPr>
          <w:rStyle w:val="VerbatimChar"/>
        </w:rPr>
        <w:t xml:space="preserve">    { "key": "owner",        "name": "Owner",        "tier": "owner_admin", "permissions": ["*"] },</w:t>
      </w:r>
      <w:r>
        <w:rPr/>
        <w:br/>
      </w:r>
      <w:r>
        <w:rPr>
          <w:rStyle w:val="VerbatimChar"/>
        </w:rPr>
        <w:t xml:space="preserve">    { "key": "admin",        "name": "Admin",        "tier": "owner_admin", "permissions": ["project.*","artifact.*","workflow.*","library.*","admin.*","billing.view"] },</w:t>
      </w:r>
      <w:r>
        <w:rPr/>
        <w:br/>
      </w:r>
      <w:r>
        <w:rPr>
          <w:rStyle w:val="VerbatimChar"/>
        </w:rPr>
        <w:t xml:space="preserve">    { "key": "precon_lead",  "name": "Precon Lead",  "tier": "delivery",    "permissions": ["project.*","artifact.*","workflow.*","library.*","bid.approve"] },</w:t>
      </w:r>
      <w:r>
        <w:rPr/>
        <w:br/>
      </w:r>
      <w:r>
        <w:rPr>
          <w:rStyle w:val="VerbatimChar"/>
        </w:rPr>
        <w:t xml:space="preserve">    { "key": "estimator",    "name": "Estimator",    "tier": "delivery",    "permissions": ["project.read","artifact.read","artifact.confirm","artifact.edit","workflow.read","workflow.run","library.read"] },</w:t>
      </w:r>
      <w:r>
        <w:rPr/>
        <w:br/>
      </w:r>
      <w:r>
        <w:rPr>
          <w:rStyle w:val="VerbatimChar"/>
        </w:rPr>
        <w:t xml:space="preserve">    { "key": "qs_reviewer",  "name": "QS / Reviewer","tier": "review",      "permissions": ["project.read","artifact.read","artifact.confirm","artifact.edit","workflow.read","library.read"] },</w:t>
      </w:r>
      <w:r>
        <w:rPr/>
        <w:br/>
      </w:r>
      <w:r>
        <w:rPr>
          <w:rStyle w:val="VerbatimChar"/>
        </w:rPr>
        <w:t xml:space="preserve">    { "key": "viewer",       "name": "Viewer",       "tier": "view",        "permissions": ["project.read","artifact.read","workflow.read","library.read"] }</w:t>
      </w:r>
      <w:r>
        <w:rPr/>
        <w:br/>
      </w:r>
      <w:r>
        <w:rPr>
          <w:rStyle w:val="VerbatimChar"/>
        </w:rPr>
        <w:t xml:space="preserve">  ],</w:t>
      </w:r>
      <w:r>
        <w:rPr/>
        <w:br/>
      </w:r>
      <w:r>
        <w:rPr>
          <w:rStyle w:val="VerbatimChar"/>
        </w:rPr>
        <w:t xml:space="preserve">  "permissions": [ { "key": "bid.approve", "domain": "tender", "description": "authorize a tender for submission" } ],</w:t>
      </w:r>
      <w:r>
        <w:rPr/>
        <w:br/>
      </w:r>
      <w:r>
        <w:rPr>
          <w:rStyle w:val="VerbatimChar"/>
        </w:rPr>
        <w:t xml:space="preserve">  "settings": { "default_tier": "deep", "auto_accept_threshold": 0.9 }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 xml:space="preserve">The manifest </w:t>
      </w:r>
      <w:r>
        <w:rPr>
          <w:b/>
          <w:bCs/>
        </w:rPr>
        <w:t>is</w:t>
      </w:r>
      <w:r>
        <w:rPr/>
        <w:t xml:space="preserve"> the source of truth: “what does this pack own?” reads these arrays, never string-parses keys. Consistency is checkable — every entry above resolves to an asset defined in this deck (Appendix A for agents, B for workflows, C for types).</w:t>
      </w:r>
      <w:bookmarkEnd w:id="4"/>
    </w:p>
    <w:p>
      <w:pPr>
        <w:pStyle w:val="Heading3"/>
        <w:rPr/>
      </w:pPr>
      <w:bookmarkStart w:id="5" w:name="X622bac08778112a1009fde6af974da788344849"/>
      <w:r>
        <w:rPr/>
        <w:t>§0.5 The role template (the six construction personas)</w:t>
      </w:r>
    </w:p>
    <w:p>
      <w:pPr>
        <w:pStyle w:val="FirstParagraph"/>
        <w:rPr/>
      </w:pPr>
      <w:r>
        <w:rPr/>
        <w:t xml:space="preserve">Seeded at tenant bootstrap from </w:t>
      </w:r>
      <w:r>
        <w:rPr>
          <w:rStyle w:val="VerbatimChar"/>
        </w:rPr>
        <w:t>role_template</w:t>
      </w:r>
      <w:r>
        <w:rPr/>
        <w:t xml:space="preserve"> (§D.4) into </w:t>
      </w:r>
      <w:r>
        <w:rPr>
          <w:rStyle w:val="VerbatimChar"/>
        </w:rPr>
        <w:t>tenant_role</w:t>
      </w:r>
      <w:r>
        <w:rPr/>
        <w:t xml:space="preserve"> / </w:t>
      </w:r>
      <w:r>
        <w:rPr>
          <w:rStyle w:val="VerbatimChar"/>
        </w:rPr>
        <w:t>tenant_role_permission</w:t>
      </w:r>
      <w:r>
        <w:rPr/>
        <w:t>. Core owns the mechanism and the 18-key permission catalog (§1.2); these personas are pack data — another domain ships its own. The presets, expanded against the Core catalog: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039"/>
        <w:gridCol w:w="1388"/>
        <w:gridCol w:w="1386"/>
        <w:gridCol w:w="1387"/>
        <w:gridCol w:w="1386"/>
        <w:gridCol w:w="1387"/>
        <w:gridCol w:w="1386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Permission (Core catalog)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precon_lead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estimator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qs_reviewer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viewer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project.create / update / archive / read_all / member.manage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project.read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artifact.read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artifact.confirm / edit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workflow.read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workflow.run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library.read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library.manage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admin.users / branding / settings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billing.view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tenant.transfer_ownership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bid.approve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(pack add, §2)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The distinctions that carry the product: </w:t>
      </w:r>
      <w:r>
        <w:rPr>
          <w:b/>
          <w:bCs/>
        </w:rPr>
        <w:t>estimator</w:t>
      </w:r>
      <w:r>
        <w:rPr/>
        <w:t xml:space="preserve"> runs workflows but </w:t>
      </w:r>
      <w:r>
        <w:rPr>
          <w:b/>
          <w:bCs/>
        </w:rPr>
        <w:t>qs_reviewer</w:t>
      </w:r>
      <w:r>
        <w:rPr/>
        <w:t xml:space="preserve"> only confirms their output; </w:t>
      </w:r>
      <w:r>
        <w:rPr>
          <w:b/>
          <w:bCs/>
        </w:rPr>
        <w:t>precon_lead</w:t>
      </w:r>
      <w:r>
        <w:rPr/>
        <w:t xml:space="preserve"> is project admin without tenant admin; </w:t>
      </w:r>
      <w:r>
        <w:rPr>
          <w:b/>
          <w:bCs/>
        </w:rPr>
        <w:t>owner</w:t>
      </w:r>
      <w:r>
        <w:rPr/>
        <w:t xml:space="preserve"> alone transfers ownership; </w:t>
      </w:r>
      <w:r>
        <w:rPr>
          <w:b/>
          <w:bCs/>
        </w:rPr>
        <w:t>bid.approve</w:t>
      </w:r>
      <w:r>
        <w:rPr/>
        <w:t xml:space="preserve"> (authorize submission, §2) is owner + precon_lead only. Tiers: </w:t>
      </w:r>
      <w:r>
        <w:rPr>
          <w:rStyle w:val="VerbatimChar"/>
        </w:rPr>
        <w:t>owner_admin</w:t>
      </w:r>
      <w:r>
        <w:rPr/>
        <w:t xml:space="preserve"> = {owner, admin}, </w:t>
      </w:r>
      <w:r>
        <w:rPr>
          <w:rStyle w:val="VerbatimChar"/>
        </w:rPr>
        <w:t>delivery</w:t>
      </w:r>
      <w:r>
        <w:rPr/>
        <w:t xml:space="preserve"> = {precon_lead, estimator}, </w:t>
      </w:r>
      <w:r>
        <w:rPr>
          <w:rStyle w:val="VerbatimChar"/>
        </w:rPr>
        <w:t>review</w:t>
      </w:r>
      <w:r>
        <w:rPr/>
        <w:t xml:space="preserve"> = {qs_reviewer}, </w:t>
      </w:r>
      <w:r>
        <w:rPr>
          <w:rStyle w:val="VerbatimChar"/>
        </w:rPr>
        <w:t>view</w:t>
      </w:r>
      <w:r>
        <w:rPr/>
        <w:t xml:space="preserve"> = {viewer}.</w:t>
      </w:r>
      <w:bookmarkEnd w:id="5"/>
    </w:p>
    <w:p>
      <w:pPr>
        <w:pStyle w:val="Heading3"/>
        <w:rPr/>
      </w:pPr>
      <w:bookmarkStart w:id="6" w:name="the-chain-workflows-modules"/>
      <w:r>
        <w:rPr/>
        <w:t>§0.6 The chain → workflows → modules</w:t>
      </w:r>
    </w:p>
    <w:p>
      <w:pPr>
        <w:pStyle w:val="FirstParagraph"/>
        <w:rPr/>
      </w:pPr>
      <w:r>
        <w:rPr/>
        <w:t xml:space="preserve">The customer sees one continuous chain; internally it is seven workflows over one shared artifact graph (§4.5), each mapping to a Host-licensed </w:t>
      </w:r>
      <w:r>
        <w:rPr>
          <w:rStyle w:val="VerbatimChar"/>
        </w:rPr>
        <w:t>module_key</w:t>
      </w:r>
      <w:r>
        <w:rPr/>
        <w:t xml:space="preserve"> (§8). The </w:t>
      </w:r>
      <w:r>
        <w:rPr>
          <w:b/>
          <w:bCs/>
        </w:rPr>
        <w:t>Document Agent</w:t>
      </w:r>
      <w:r>
        <w:rPr/>
        <w:t xml:space="preserve"> is the shared entry to every chain (ingestion, §7.4). Exact DAGs are Appendix B; the entitlement/Host map is Appendix C. Overview: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 key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module_key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Chain stage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Lead agent → terminal artifact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workflow.tenderlogix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Tender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Tender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Proposal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workflow.doclogix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Specification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workflow.drawlogix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Drawings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Drawing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drawing_measurement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workflow.quantlogix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quantlogix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BOQ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BOQ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workflow.costlogix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Cost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workflow.schedulelogix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schedule_activity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workflow.procurelogix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procurelogix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Procurement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procurement_package</w:t>
            </w:r>
          </w:p>
        </w:tc>
      </w:tr>
    </w:tbl>
    <w:p>
      <w:pPr>
        <w:pStyle w:val="BodyText"/>
        <w:rPr/>
      </w:pPr>
      <w:r>
        <w:rPr/>
        <w:t xml:space="preserve">Because every run writes the same graph, a project accretes state across workflows: QuantLogix’s confirmed </w:t>
      </w:r>
      <w:r>
        <w:rPr>
          <w:rStyle w:val="VerbatimChar"/>
        </w:rPr>
        <w:t>boq_line</w:t>
      </w:r>
      <w:r>
        <w:rPr/>
        <w:t xml:space="preserve">s are read by a later CostLogix run without re-derivation (§4.5). The </w:t>
      </w:r>
      <w:r>
        <w:rPr>
          <w:b/>
          <w:bCs/>
        </w:rPr>
        <w:t>Construction Copilot</w:t>
      </w:r>
      <w:r>
        <w:rPr/>
        <w:t xml:space="preserve"> (supervisor, §6) spans all of them; </w:t>
      </w:r>
      <w:r>
        <w:rPr>
          <w:b/>
          <w:bCs/>
        </w:rPr>
        <w:t>Knowledge</w:t>
      </w:r>
      <w:r>
        <w:rPr/>
        <w:t xml:space="preserve"> (service) is called from within any of them.</w:t>
      </w:r>
    </w:p>
    <w:p>
      <w:pPr>
        <w:pStyle w:val="Normal"/>
        <w:rPr/>
      </w:pPr>
      <w:bookmarkStart w:id="7" w:name="scope-the-pack-contract"/>
      <w:bookmarkStart w:id="8" w:name="the-chain-workflows-modu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2"/>
        <w:rPr/>
      </w:pPr>
      <w:bookmarkStart w:id="9" w:name="the-persona-roster-the-digital-company"/>
      <w:r>
        <w:rPr/>
        <w:t>§1 — The persona roster (the digital company)</w:t>
      </w:r>
    </w:p>
    <w:p>
      <w:pPr>
        <w:pStyle w:val="FirstParagraph"/>
        <w:rPr/>
      </w:pPr>
      <w:r>
        <w:rPr/>
        <w:t xml:space="preserve">§6.4 (framework) generalizes the single Orchestrator to N supervisors; this is construction’s roster — the “digital company.” Each persona is a </w:t>
      </w:r>
      <w:r>
        <w:rPr>
          <w:rStyle w:val="VerbatimChar"/>
        </w:rPr>
        <w:t>kind = supervisor</w:t>
      </w:r>
      <w:r>
        <w:rPr/>
        <w:t xml:space="preserve"> agent (in Appendix A, produces nothing) plus a </w:t>
      </w:r>
      <w:r>
        <w:rPr>
          <w:rStyle w:val="VerbatimChar"/>
        </w:rPr>
        <w:t>supervisor_profile</w:t>
      </w:r>
      <w:r>
        <w:rPr/>
        <w:t xml:space="preserve"> (scope, deviation authority, lens) seeded at bootstrap from the manifest </w:t>
      </w:r>
      <w:r>
        <w:rPr>
          <w:rStyle w:val="VerbatimChar"/>
        </w:rPr>
        <w:t>personas</w:t>
      </w:r>
      <w:r>
        <w:rPr/>
        <w:t xml:space="preserve"> array (§0.4). Every persona </w:t>
      </w:r>
      <w:r>
        <w:rPr>
          <w:b/>
          <w:bCs/>
        </w:rPr>
        <w:t>proposes; only a human disposes</w:t>
      </w:r>
      <w:r>
        <w:rPr/>
        <w:t xml:space="preserve"> (§6.4.2) — colleagues that advise, flag, and orchestrate, never sign. </w:t>
      </w:r>
      <w:r>
        <w:rPr>
          <w:b/>
          <w:bCs/>
        </w:rPr>
        <w:t>Estimator and QS stay human roles</w:t>
      </w:r>
      <w:r>
        <w:rPr/>
        <w:t xml:space="preserve"> (§0.5); the roster does not clone them as deciders. Architects and engineers are </w:t>
      </w:r>
      <w:r>
        <w:rPr>
          <w:i/>
          <w:iCs/>
        </w:rPr>
        <w:t>capability</w:t>
      </w:r>
      <w:r>
        <w:rPr/>
        <w:t xml:space="preserve"> work (worker agents in later pack versions), not personas.</w:t>
      </w:r>
    </w:p>
    <w:p>
      <w:pPr>
        <w:pStyle w:val="Heading3"/>
        <w:rPr/>
      </w:pPr>
      <w:r>
        <w:rPr/>
        <w:t>§1.1 The roster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1755"/>
        <w:gridCol w:w="1755"/>
        <w:gridCol w:w="2341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Persona (display)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Supervisor agent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Deviation authority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Construction Copilot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(Bid-Manager role)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agent.construction_copilot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whole run/project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kinds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Commercial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agent.commercial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costlogix · quantlogix · tenderlogix · procurelogix;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procurement_package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request_review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insert_review_gate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Compliance Lead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agent.compliance_lead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tenderlogix · doclogix;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compliance_item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request_review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w:bookmarkStart w:id="10" w:name="the-roster"/>
            <w:bookmarkStart w:id="11" w:name="the-roster"/>
            <w:bookmarkEnd w:id="11"/>
          </w:p>
        </w:tc>
      </w:tr>
    </w:tbl>
    <w:p>
      <w:pPr>
        <w:pStyle w:val="Heading3"/>
        <w:rPr/>
      </w:pPr>
      <w:r>
        <w:rPr/>
        <w:t>§1.2 Per-persona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Construction Copilot / Bid-Manager role</w:t>
      </w:r>
      <w:r>
        <w:rPr/>
        <w:t xml:space="preserve"> (default, whole-pursuit). Scope </w:t>
      </w:r>
      <w:r>
        <w:rPr>
          <w:rStyle w:val="VerbatimChar"/>
        </w:rPr>
        <w:t>{}</w:t>
      </w:r>
      <w:r>
        <w:rPr/>
        <w:t xml:space="preserve"> — the entire run/project; the full deviation set. Voice: owns the pursuit end to end — keeps the chain moving, surfaces blockers, and cross-checks that the priced proposal reconciles with the BOQ, quantities are sane against takeoff, and no spec scope is missing. The customer-facing chat product and general colleague; the §6.2 whole-run supervisor. It also </w:t>
      </w:r>
      <w:r>
        <w:rPr>
          <w:b/>
          <w:bCs/>
        </w:rPr>
        <w:t xml:space="preserve">walks the </w:t>
      </w:r>
      <w:r>
        <w:rPr>
          <w:rStyle w:val="VerbatimChar"/>
          <w:b/>
          <w:bCs/>
        </w:rPr>
        <w:t>bid_pursuit</w:t>
      </w:r>
      <w:r>
        <w:rPr>
          <w:b/>
          <w:bCs/>
        </w:rPr>
        <w:t xml:space="preserve"> lifecycle</w:t>
      </w:r>
      <w:r>
        <w:rPr/>
        <w:t xml:space="preserve"> (§2): at each state it proposes the next transition (via </w:t>
      </w:r>
      <w:r>
        <w:rPr>
          <w:rStyle w:val="VerbatimChar"/>
        </w:rPr>
        <w:t>request_review</w:t>
      </w:r>
      <w:r>
        <w:rPr/>
        <w:t xml:space="preserve"> + chat) for a human to confirm — propose, never dispose (§1.6). Jobs: </w:t>
      </w:r>
      <w:r>
        <w:rPr>
          <w:rStyle w:val="VerbatimChar"/>
        </w:rPr>
        <w:t>copilot.respond</w:t>
      </w:r>
      <w:r>
        <w:rPr/>
        <w:t xml:space="preserve">, </w:t>
      </w:r>
      <w:r>
        <w:rPr>
          <w:rStyle w:val="VerbatimChar"/>
        </w:rPr>
        <w:t>copilot.review_run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Commercial</w:t>
      </w:r>
      <w:r>
        <w:rPr/>
        <w:t xml:space="preserve"> (margin &amp; risk critic). Scope: the commercial slice. Authority: </w:t>
      </w:r>
      <w:r>
        <w:rPr>
          <w:rStyle w:val="VerbatimChar"/>
        </w:rPr>
        <w:t>flag</w:t>
      </w:r>
      <w:r>
        <w:rPr/>
        <w:t xml:space="preserve"> / </w:t>
      </w:r>
      <w:r>
        <w:rPr>
          <w:rStyle w:val="VerbatimChar"/>
        </w:rPr>
        <w:t>request_review</w:t>
      </w:r>
      <w:r>
        <w:rPr/>
        <w:t xml:space="preserve"> / </w:t>
      </w:r>
      <w:r>
        <w:rPr>
          <w:rStyle w:val="VerbatimChar"/>
        </w:rPr>
        <w:t>insert_review_gate</w:t>
      </w:r>
      <w:r>
        <w:rPr/>
        <w:t xml:space="preserve"> — it can raise concerns and force a human review before spend, but never rerun or skip. Voice: guards margin, cashflow, and pricing risk — challenges thin or missing rates, scope carried uncovered into the estimate, and unbalanced cash; flags a </w:t>
      </w:r>
      <w:r>
        <w:rPr>
          <w:rStyle w:val="VerbatimChar"/>
        </w:rPr>
        <w:t>cost_line</w:t>
      </w:r>
      <w:r>
        <w:rPr/>
        <w:t xml:space="preserve"> priced below a Library rate-book floor. Jobs: </w:t>
      </w:r>
      <w:r>
        <w:rPr>
          <w:rStyle w:val="VerbatimChar"/>
        </w:rPr>
        <w:t>commercial.respond</w:t>
      </w:r>
      <w:r>
        <w:rPr/>
        <w:t xml:space="preserve">, </w:t>
      </w:r>
      <w:r>
        <w:rPr>
          <w:rStyle w:val="VerbatimChar"/>
        </w:rPr>
        <w:t>commercial.review_run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Compliance Lead</w:t>
      </w:r>
      <w:r>
        <w:rPr/>
        <w:t xml:space="preserve"> (submission &amp; contractual critic — the Legal/QA colleague). Scope: the requirements slice. Authority: </w:t>
      </w:r>
      <w:r>
        <w:rPr>
          <w:rStyle w:val="VerbatimChar"/>
        </w:rPr>
        <w:t>flag</w:t>
      </w:r>
      <w:r>
        <w:rPr/>
        <w:t xml:space="preserve"> / </w:t>
      </w:r>
      <w:r>
        <w:rPr>
          <w:rStyle w:val="VerbatimChar"/>
        </w:rPr>
        <w:t>request_review</w:t>
      </w:r>
      <w:r>
        <w:rPr/>
        <w:t xml:space="preserve"> (review-only). Voice: checks that every mandatory submission requirement is covered by a </w:t>
      </w:r>
      <w:r>
        <w:rPr>
          <w:rStyle w:val="VerbatimChar"/>
        </w:rPr>
        <w:t>compliance_item</w:t>
      </w:r>
      <w:r>
        <w:rPr/>
        <w:t xml:space="preserve">, that contractually-loaded spec clauses are addressed, and that the assembled proposal leaves nothing open; requests review before a submission gate. </w:t>
      </w:r>
      <w:r>
        <w:rPr>
          <w:b/>
          <w:bCs/>
        </w:rPr>
        <w:t xml:space="preserve">Distinct from the Compliance </w:t>
      </w:r>
      <w:r>
        <w:rPr>
          <w:b/>
          <w:bCs/>
          <w:i/>
          <w:iCs/>
        </w:rPr>
        <w:t>worker</w:t>
      </w:r>
      <w:r>
        <w:rPr/>
        <w:t xml:space="preserve"> (</w:t>
      </w:r>
      <w:r>
        <w:rPr>
          <w:rStyle w:val="VerbatimChar"/>
        </w:rPr>
        <w:t>agent.compliance</w:t>
      </w:r>
      <w:r>
        <w:rPr/>
        <w:t xml:space="preserve">), which </w:t>
      </w:r>
      <w:r>
        <w:rPr>
          <w:i/>
          <w:iCs/>
        </w:rPr>
        <w:t>produces</w:t>
      </w:r>
      <w:r>
        <w:rPr/>
        <w:t xml:space="preserve"> </w:t>
      </w:r>
      <w:r>
        <w:rPr>
          <w:rStyle w:val="VerbatimChar"/>
        </w:rPr>
        <w:t>compliance_item</w:t>
      </w:r>
      <w:r>
        <w:rPr/>
        <w:t xml:space="preserve">s — this persona </w:t>
      </w:r>
      <w:r>
        <w:rPr>
          <w:i/>
          <w:iCs/>
        </w:rPr>
        <w:t>supervises coverage</w:t>
      </w:r>
      <w:r>
        <w:rPr/>
        <w:t xml:space="preserve"> across the run. Jobs: </w:t>
      </w:r>
      <w:r>
        <w:rPr>
          <w:rStyle w:val="VerbatimChar"/>
        </w:rPr>
        <w:t>compliance_lead.respond</w:t>
      </w:r>
      <w:r>
        <w:rPr/>
        <w:t xml:space="preserve">, </w:t>
      </w:r>
      <w:r>
        <w:rPr>
          <w:rStyle w:val="VerbatimChar"/>
        </w:rPr>
        <w:t>compliance_lead.review_run</w:t>
      </w:r>
      <w:r>
        <w:rPr/>
        <w:t>.</w:t>
      </w:r>
    </w:p>
    <w:p>
      <w:pPr>
        <w:pStyle w:val="Heading3"/>
        <w:rPr/>
      </w:pPr>
      <w:bookmarkStart w:id="12" w:name="profile-seed-supervisor_profile-6.4.4"/>
      <w:r>
        <w:rPr/>
        <w:t>§1.3 Profile seed (</w:t>
      </w:r>
      <w:r>
        <w:rPr>
          <w:rStyle w:val="VerbatimChar"/>
        </w:rPr>
        <w:t>supervisor_profile</w:t>
      </w:r>
      <w:r>
        <w:rPr/>
        <w:t>, §6.4.4)</w:t>
      </w:r>
    </w:p>
    <w:p>
      <w:pPr>
        <w:pStyle w:val="FirstParagraph"/>
        <w:rPr/>
      </w:pPr>
      <w:r>
        <w:rPr/>
        <w:t xml:space="preserve">Written at bootstrap from </w:t>
      </w:r>
      <w:r>
        <w:rPr>
          <w:rStyle w:val="VerbatimChar"/>
        </w:rPr>
        <w:t>domain.manifest.personas</w:t>
      </w:r>
      <w:r>
        <w:rPr/>
        <w:t>:</w:t>
      </w:r>
    </w:p>
    <w:p>
      <w:pPr>
        <w:pStyle w:val="SourceCode"/>
        <w:rPr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supervisor_profile (agent_key, </w:t>
      </w:r>
      <w:r>
        <w:rPr>
          <w:rStyle w:val="KeywordTok"/>
        </w:rPr>
        <w:t>scope</w:t>
      </w:r>
      <w:r>
        <w:rPr>
          <w:rStyle w:val="NormalTok"/>
        </w:rPr>
        <w:t xml:space="preserve">, deviation_kinds, is_default, sort_order) </w:t>
      </w:r>
      <w:r>
        <w:rPr>
          <w:rStyle w:val="KeywordTok"/>
        </w:rPr>
        <w:t>values</w:t>
      </w:r>
      <w:r>
        <w:rPr/>
        <w:br/>
      </w:r>
      <w:r>
        <w:rPr>
          <w:rStyle w:val="NormalTok"/>
        </w:rPr>
        <w:t xml:space="preserve"> (</w:t>
      </w:r>
      <w:r>
        <w:rPr>
          <w:rStyle w:val="StringTok"/>
        </w:rPr>
        <w:t>'construction.agent.construction_copilot'</w:t>
      </w:r>
      <w:r>
        <w:rPr>
          <w:rStyle w:val="NormalTok"/>
        </w:rPr>
        <w:t xml:space="preserve">, </w:t>
      </w:r>
      <w:r>
        <w:rPr>
          <w:rStyle w:val="StringTok"/>
        </w:rPr>
        <w:t>'{}'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 xml:space="preserve">, </w:t>
      </w:r>
      <w:r>
        <w:rPr>
          <w:rStyle w:val="StringTok"/>
        </w:rPr>
        <w:t>'[]'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 xml:space="preserve">, </w:t>
      </w:r>
      <w:r>
        <w:rPr>
          <w:rStyle w:val="KeywordTok"/>
        </w:rPr>
        <w:t>true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StringTok"/>
        </w:rPr>
        <w:t>'construction.agent.commercial'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'{"module_keys":["costlogix","quantlogix","tenderlogix","procurelogix"],"artifact_types":["boq_line","cost_line","procurement_package","proposal_doc"]}'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'["flag","request_review","insert_review_gate"]'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 xml:space="preserve">, </w:t>
      </w:r>
      <w:r>
        <w:rPr>
          <w:rStyle w:val="KeywordTok"/>
        </w:rPr>
        <w:t>false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(</w:t>
      </w:r>
      <w:r>
        <w:rPr>
          <w:rStyle w:val="StringTok"/>
        </w:rPr>
        <w:t>'construction.agent.compliance_lead'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'{"module_keys":["tenderlogix","doclogix"],"artifact_types":["tender_summary","spec_clause","compliance_item","proposal_doc"]}'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'["flag","request_review"]'</w:t>
      </w:r>
      <w:r>
        <w:rPr>
          <w:rStyle w:val="NormalTok"/>
        </w:rPr>
        <w:t>:</w:t>
      </w:r>
      <w:r>
        <w:rPr>
          <w:rStyle w:val="CharTok"/>
        </w:rPr>
        <w:t>:jsonb</w:t>
      </w:r>
      <w:r>
        <w:rPr>
          <w:rStyle w:val="NormalTok"/>
        </w:rPr>
        <w:t xml:space="preserve">, </w:t>
      </w:r>
      <w:r>
        <w:rPr>
          <w:rStyle w:val="KeywordTok"/>
        </w:rPr>
        <w:t>false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rStyle w:val="VerbatimChar"/>
        </w:rPr>
        <w:t>scope {}</w:t>
      </w:r>
      <w:r>
        <w:rPr/>
        <w:t xml:space="preserve"> = whole run; </w:t>
      </w:r>
      <w:r>
        <w:rPr>
          <w:rStyle w:val="VerbatimChar"/>
        </w:rPr>
        <w:t>deviation_kinds []</w:t>
      </w:r>
      <w:r>
        <w:rPr/>
        <w:t xml:space="preserve"> = all §6.1 kinds (§6.4.4).</w:t>
      </w:r>
      <w:bookmarkEnd w:id="12"/>
    </w:p>
    <w:p>
      <w:pPr>
        <w:pStyle w:val="Heading3"/>
        <w:rPr/>
      </w:pPr>
      <w:bookmarkStart w:id="13" w:name="packaging"/>
      <w:r>
        <w:rPr/>
        <w:t>§1.4 Packaging</w:t>
      </w:r>
    </w:p>
    <w:p>
      <w:pPr>
        <w:pStyle w:val="FirstParagraph"/>
        <w:rPr/>
      </w:pPr>
      <w:r>
        <w:rPr/>
        <w:t xml:space="preserve">Personas gate transitively by </w:t>
      </w:r>
      <w:r>
        <w:rPr>
          <w:rStyle w:val="VerbatimChar"/>
        </w:rPr>
        <w:t>scope.module_keys</w:t>
      </w:r>
      <w:r>
        <w:rPr/>
        <w:t xml:space="preserve"> (§8): the base edition ships </w:t>
      </w:r>
      <w:r>
        <w:rPr>
          <w:b/>
          <w:bCs/>
        </w:rPr>
        <w:t>Construction Copilot</w:t>
      </w:r>
      <w:r>
        <w:rPr/>
        <w:t xml:space="preserve"> (always available); </w:t>
      </w:r>
      <w:r>
        <w:rPr>
          <w:b/>
          <w:bCs/>
        </w:rPr>
        <w:t>Commercial</w:t>
      </w:r>
      <w:r>
        <w:rPr/>
        <w:t xml:space="preserve"> and </w:t>
      </w:r>
      <w:r>
        <w:rPr>
          <w:b/>
          <w:bCs/>
        </w:rPr>
        <w:t>Compliance Lead</w:t>
      </w:r>
      <w:r>
        <w:rPr/>
        <w:t xml:space="preserve"> are premium colleagues, licensed per edition. The org chart becomes a pricing surface — more colleagues, higher tier, the same deterministic spine underneath.</w:t>
      </w:r>
    </w:p>
    <w:p>
      <w:pPr>
        <w:pStyle w:val="Normal"/>
        <w:rPr/>
      </w:pPr>
      <w:bookmarkStart w:id="14" w:name="the-persona-roster-the-digital-company"/>
      <w:bookmarkStart w:id="15" w:name="packag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the-bid-pursuit-lifecycle"/>
      <w:r>
        <w:rPr/>
        <w:t>§2 — The bid pursuit lifecycle</w:t>
      </w:r>
    </w:p>
    <w:p>
      <w:pPr>
        <w:pStyle w:val="FirstParagraph"/>
        <w:rPr/>
      </w:pPr>
      <w:r>
        <w:rPr/>
        <w:t xml:space="preserve">Tender management is a </w:t>
      </w:r>
      <w:r>
        <w:rPr>
          <w:b/>
          <w:bCs/>
        </w:rPr>
        <w:t>lifecycle</w:t>
      </w:r>
      <w:r>
        <w:rPr/>
        <w:t xml:space="preserve">, not a workflow. It rides on Core’s generic project-lifecycle field (§1.6): Core stores an opaque </w:t>
      </w:r>
      <w:r>
        <w:rPr>
          <w:rStyle w:val="VerbatimChar"/>
        </w:rPr>
        <w:t>project.lifecycle_state</w:t>
      </w:r>
      <w:r>
        <w:rPr/>
        <w:t xml:space="preserve">, this pack declares the machine, and the </w:t>
      </w:r>
      <w:r>
        <w:rPr>
          <w:b/>
          <w:bCs/>
        </w:rPr>
        <w:t>Bid Manager</w:t>
      </w:r>
      <w:r>
        <w:rPr/>
        <w:t xml:space="preserve"> persona (§1) walks it. Every transition fires only when a human confirms the gating artifact with the required permission — propose-vs-dispose, at the pursuit level. This is the </w:t>
      </w:r>
      <w:r>
        <w:rPr>
          <w:rStyle w:val="VerbatimChar"/>
        </w:rPr>
        <w:t>lifecycles["bid_pursuit"]</w:t>
      </w:r>
      <w:r>
        <w:rPr/>
        <w:t xml:space="preserve"> manifest entry (§0.4).</w:t>
      </w:r>
    </w:p>
    <w:p>
      <w:pPr>
        <w:pStyle w:val="Heading3"/>
        <w:rPr/>
      </w:pPr>
      <w:bookmarkStart w:id="17" w:name="states-transitions"/>
      <w:r>
        <w:rPr/>
        <w:t>§2.1 States &amp; transitions</w:t>
      </w:r>
    </w:p>
    <w:p>
      <w:pPr>
        <w:pStyle w:val="SourceCode"/>
        <w:rPr/>
      </w:pPr>
      <w:r>
        <w:rPr>
          <w:rStyle w:val="VerbatimChar"/>
        </w:rPr>
        <w:t>received → qualifying ─(no-go)→ no_bid ▸</w:t>
      </w:r>
      <w:r>
        <w:rPr/>
        <w:br/>
      </w:r>
      <w:r>
        <w:rPr>
          <w:rStyle w:val="VerbatimChar"/>
        </w:rPr>
        <w:t xml:space="preserve">                    └─(go)→ bidding → approving → submitted → clarifying ⇄ (addendum → re-estimate)</w:t>
      </w:r>
      <w:r>
        <w:rPr/>
        <w:br/>
      </w:r>
      <w:r>
        <w:rPr>
          <w:rStyle w:val="VerbatimChar"/>
        </w:rPr>
        <w:t xml:space="preserve">                                          ↑                                    └→ won ▸ / lost ▸</w:t>
      </w:r>
    </w:p>
    <w:p>
      <w:pPr>
        <w:pStyle w:val="FirstParagraph"/>
        <w:rPr/>
      </w:pPr>
      <w:r>
        <w:rPr/>
        <w:t xml:space="preserve">Each transition is </w:t>
      </w:r>
      <w:r>
        <w:rPr>
          <w:rStyle w:val="VerbatimChar"/>
        </w:rPr>
        <w:t>{ from, trigger_type, trigger_match?, required_permission, to, terminal? }</w:t>
      </w:r>
      <w:r>
        <w:rPr/>
        <w:t>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 (confirmed artifact)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Permission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received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qualifying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qualifying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bid_decision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decision = 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qualifying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bid_decision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decision = no_go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no_bid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bidding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bid_approval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bid.approve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client_query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(first)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clarifying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clarifying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client_query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is_addendum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submitted | clarifying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decision_outcome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submitted | clarifying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decision_outcome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artifact.confirm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lost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▸</w:t>
            </w:r>
          </w:p>
        </w:tc>
      </w:tr>
    </w:tbl>
    <w:p>
      <w:pPr>
        <w:pStyle w:val="BodyText"/>
        <w:rPr/>
      </w:pPr>
      <w:r>
        <w:rPr/>
        <w:t xml:space="preserve">▸ </w:t>
      </w:r>
      <w:r>
        <w:rPr/>
        <w:t xml:space="preserve">= terminal. </w:t>
      </w:r>
      <w:r>
        <w:rPr>
          <w:rStyle w:val="VerbatimChar"/>
        </w:rPr>
        <w:t>trigger_match</w:t>
      </w:r>
      <w:r>
        <w:rPr/>
        <w:t xml:space="preserve"> selects on payload (e.g. </w:t>
      </w:r>
      <w:r>
        <w:rPr>
          <w:rStyle w:val="VerbatimChar"/>
        </w:rPr>
        <w:t>bid_decision.decision</w:t>
      </w:r>
      <w:r>
        <w:rPr/>
        <w:t xml:space="preserve">). Rework — a rejected </w:t>
      </w:r>
      <w:r>
        <w:rPr>
          <w:rStyle w:val="VerbatimChar"/>
        </w:rPr>
        <w:t>bid_approval</w:t>
      </w:r>
      <w:r>
        <w:rPr/>
        <w:t>, or an addendum — is handled by editing/re-planning (§2.3), not a distinct transition. Withdrawal (</w:t>
      </w:r>
      <w:r>
        <w:rPr>
          <w:rStyle w:val="VerbatimChar"/>
        </w:rPr>
        <w:t>admin.settings</w:t>
      </w:r>
      <w:r>
        <w:rPr/>
        <w:t xml:space="preserve">) sends any non-terminal state to a terminal </w:t>
      </w:r>
      <w:r>
        <w:rPr>
          <w:rStyle w:val="VerbatimChar"/>
        </w:rPr>
        <w:t>withdrawn</w:t>
      </w:r>
      <w:r>
        <w:rPr/>
        <w:t>.</w:t>
      </w:r>
      <w:bookmarkEnd w:id="17"/>
    </w:p>
    <w:p>
      <w:pPr>
        <w:pStyle w:val="Heading3"/>
        <w:rPr/>
      </w:pPr>
      <w:bookmarkStart w:id="18" w:name="how-the-bid-manager-walks-it"/>
      <w:r>
        <w:rPr/>
        <w:t>§2.2 How the Bid Manager walks it</w:t>
      </w:r>
    </w:p>
    <w:p>
      <w:pPr>
        <w:pStyle w:val="FirstParagraph"/>
        <w:rPr/>
      </w:pPr>
      <w:r>
        <w:rPr/>
        <w:t xml:space="preserve">At each state the Bid Manager reads </w:t>
      </w:r>
      <w:r>
        <w:rPr>
          <w:rStyle w:val="VerbatimChar"/>
        </w:rPr>
        <w:t>project.lifecycle_state</w:t>
      </w:r>
      <w:r>
        <w:rPr/>
        <w:t xml:space="preserve">, and proposes the next move in chat + via </w:t>
      </w:r>
      <w:r>
        <w:rPr>
          <w:rStyle w:val="VerbatimChar"/>
        </w:rPr>
        <w:t>request_review</w:t>
      </w:r>
      <w:r>
        <w:rPr/>
        <w:t xml:space="preserve"> — “scope confirmed; I recommend </w:t>
      </w:r>
      <w:r>
        <w:rPr>
          <w:b/>
          <w:bCs/>
        </w:rPr>
        <w:t>GO</w:t>
      </w:r>
      <w:r>
        <w:rPr/>
        <w:t xml:space="preserve"> (good fit, ~14% margin headroom, one high commercial risk) — start the estimate?” It never advances the state; a human confirming the gating artifact does, and Core’s </w:t>
      </w:r>
      <w:r>
        <w:rPr>
          <w:rStyle w:val="VerbatimChar"/>
        </w:rPr>
        <w:t>advanceLifecycle</w:t>
      </w:r>
      <w:r>
        <w:rPr/>
        <w:t xml:space="preserve"> (§1.6) applies it. </w:t>
      </w:r>
      <w:r>
        <w:rPr>
          <w:b/>
          <w:bCs/>
        </w:rPr>
        <w:t>No new deviation kind</w:t>
      </w:r>
      <w:r>
        <w:rPr/>
        <w:t xml:space="preserve"> — the closed set (§6.1) already covers it. </w:t>
      </w:r>
      <w:r>
        <w:rPr>
          <w:b/>
          <w:bCs/>
        </w:rPr>
        <w:t>Commercial</w:t>
      </w:r>
      <w:r>
        <w:rPr/>
        <w:t xml:space="preserve"> weighs in at </w:t>
      </w:r>
      <w:r>
        <w:rPr>
          <w:rStyle w:val="VerbatimChar"/>
        </w:rPr>
        <w:t>bidding</w:t>
      </w:r>
      <w:r>
        <w:rPr/>
        <w:t>/</w:t>
      </w:r>
      <w:r>
        <w:rPr>
          <w:rStyle w:val="VerbatimChar"/>
        </w:rPr>
        <w:t>approving</w:t>
      </w:r>
      <w:r>
        <w:rPr/>
        <w:t xml:space="preserve">; </w:t>
      </w:r>
      <w:r>
        <w:rPr>
          <w:b/>
          <w:bCs/>
        </w:rPr>
        <w:t>Compliance Lead</w:t>
      </w:r>
      <w:r>
        <w:rPr/>
        <w:t xml:space="preserve"> at </w:t>
      </w:r>
      <w:r>
        <w:rPr>
          <w:rStyle w:val="VerbatimChar"/>
        </w:rPr>
        <w:t>approving</w:t>
      </w:r>
      <w:r>
        <w:rPr/>
        <w:t>/submission.</w:t>
      </w:r>
      <w:bookmarkEnd w:id="18"/>
    </w:p>
    <w:p>
      <w:pPr>
        <w:pStyle w:val="Heading3"/>
        <w:rPr/>
      </w:pPr>
      <w:bookmarkStart w:id="19" w:name="addenda-re-plan"/>
      <w:r>
        <w:rPr/>
        <w:t>§2.3 Addenda &amp; re-plan</w:t>
      </w:r>
    </w:p>
    <w:p>
      <w:pPr>
        <w:pStyle w:val="FirstParagraph"/>
        <w:rPr/>
      </w:pPr>
      <w:r>
        <w:rPr/>
        <w:t xml:space="preserve">An inbound </w:t>
      </w:r>
      <w:r>
        <w:rPr>
          <w:rStyle w:val="VerbatimChar"/>
        </w:rPr>
        <w:t>client_query</w:t>
      </w:r>
      <w:r>
        <w:rPr/>
        <w:t xml:space="preserve"> with </w:t>
      </w:r>
      <w:r>
        <w:rPr>
          <w:rStyle w:val="VerbatimChar"/>
        </w:rPr>
        <w:t>is_addendum = true</w:t>
      </w:r>
      <w:r>
        <w:rPr/>
        <w:t xml:space="preserve">, referencing scope artifacts, calls </w:t>
      </w:r>
      <w:r>
        <w:rPr>
          <w:rStyle w:val="VerbatimChar"/>
        </w:rPr>
        <w:t>markDownstreamStale</w:t>
      </w:r>
      <w:r>
        <w:rPr/>
        <w:t xml:space="preserve"> (§2.4 framework) → the affected </w:t>
      </w:r>
      <w:r>
        <w:rPr>
          <w:rStyle w:val="VerbatimChar"/>
        </w:rPr>
        <w:t>boq_line</w:t>
      </w:r>
      <w:r>
        <w:rPr/>
        <w:t>/</w:t>
      </w:r>
      <w:r>
        <w:rPr>
          <w:rStyle w:val="VerbatimChar"/>
        </w:rPr>
        <w:t>cost_line</w:t>
      </w:r>
      <w:r>
        <w:rPr/>
        <w:t xml:space="preserve">/… go </w:t>
      </w:r>
      <w:r>
        <w:rPr>
          <w:rStyle w:val="VerbatimChar"/>
        </w:rPr>
        <w:t>stale</w:t>
      </w:r>
      <w:r>
        <w:rPr/>
        <w:t xml:space="preserve"> → </w:t>
      </w:r>
      <w:r>
        <w:rPr>
          <w:rStyle w:val="VerbatimChar"/>
        </w:rPr>
        <w:t>rerunStale</w:t>
      </w:r>
      <w:r>
        <w:rPr/>
        <w:t xml:space="preserve"> re-derives only those (§4.4) → a fresh </w:t>
      </w:r>
      <w:r>
        <w:rPr>
          <w:rStyle w:val="VerbatimChar"/>
        </w:rPr>
        <w:t>bid_approval</w:t>
      </w:r>
      <w:r>
        <w:rPr/>
        <w:t xml:space="preserve"> is required before re-submission (the pursuit loops </w:t>
      </w:r>
      <w:r>
        <w:rPr>
          <w:rStyle w:val="VerbatimChar"/>
        </w:rPr>
        <w:t>clarifying → bidding → … → approving → submitted</w:t>
      </w:r>
      <w:r>
        <w:rPr/>
        <w:t>). Re-plan, post-submission — the provenance graph earning its keep.</w:t>
      </w:r>
    </w:p>
    <w:p>
      <w:pPr>
        <w:pStyle w:val="Normal"/>
        <w:rPr/>
      </w:pPr>
      <w:bookmarkStart w:id="20" w:name="the-bid-pursuit-lifecycle"/>
      <w:bookmarkStart w:id="21" w:name="addenda-re-pla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bookmarkStart w:id="22" w:name="standards-rules"/>
      <w:r>
        <w:rPr/>
        <w:t>§3 — Standards &amp; Rules</w:t>
      </w:r>
    </w:p>
    <w:p>
      <w:pPr>
        <w:pStyle w:val="FirstParagraph"/>
        <w:rPr/>
      </w:pPr>
      <w:r>
        <w:rPr/>
        <w:t xml:space="preserve">Agents </w:t>
      </w:r>
      <w:r>
        <w:rPr>
          <w:b/>
          <w:bCs/>
        </w:rPr>
        <w:t>ask before deciding</w:t>
      </w:r>
      <w:r>
        <w:rPr/>
        <w:t xml:space="preserve">. Rather than hardcode standards or re-read PDFs, the pack ships standards as executable </w:t>
      </w:r>
      <w:r>
        <w:rPr>
          <w:rStyle w:val="VerbatimChar"/>
        </w:rPr>
        <w:t>standard_rule</w:t>
      </w:r>
      <w:r>
        <w:rPr/>
        <w:t xml:space="preserve"> objects that a </w:t>
      </w:r>
      <w:r>
        <w:rPr>
          <w:b/>
          <w:bCs/>
        </w:rPr>
        <w:t>Standards service</w:t>
      </w:r>
      <w:r>
        <w:rPr/>
        <w:t xml:space="preserve"> resolves and worker agents query. The resolution/validation </w:t>
      </w:r>
      <w:r>
        <w:rPr>
          <w:i/>
          <w:iCs/>
        </w:rPr>
        <w:t>mechanism</w:t>
      </w:r>
      <w:r>
        <w:rPr/>
        <w:t xml:space="preserve"> is a thin domain-neutral Core capability (framework §M.5); the </w:t>
      </w:r>
      <w:r>
        <w:rPr>
          <w:i/>
          <w:iCs/>
        </w:rPr>
        <w:t>rules</w:t>
      </w:r>
      <w:r>
        <w:rPr/>
        <w:t xml:space="preserve"> are pack/Library data. Full design: </w:t>
      </w:r>
      <w:r>
        <w:rPr>
          <w:rStyle w:val="VerbatimChar"/>
        </w:rPr>
        <w:t>preckon-standards-rules-capability.md</w:t>
      </w:r>
      <w:r>
        <w:rPr/>
        <w:t>.</w:t>
      </w:r>
    </w:p>
    <w:p>
      <w:pPr>
        <w:pStyle w:val="Heading3"/>
        <w:rPr/>
      </w:pPr>
      <w:bookmarkStart w:id="23" w:name="the-standard_rule-object"/>
      <w:r>
        <w:rPr/>
        <w:t xml:space="preserve">§3.1 The </w:t>
      </w:r>
      <w:r>
        <w:rPr>
          <w:rStyle w:val="VerbatimChar"/>
        </w:rPr>
        <w:t>standard_rule</w:t>
      </w:r>
      <w:r>
        <w:rPr/>
        <w:t xml:space="preserve"> object</w:t>
      </w:r>
    </w:p>
    <w:p>
      <w:pPr>
        <w:pStyle w:val="FirstParagraph"/>
        <w:rPr/>
      </w:pPr>
      <w:r>
        <w:rPr/>
        <w:t xml:space="preserve">A structured rule (generic contract: framework §M.5): </w:t>
      </w:r>
      <w:r>
        <w:rPr>
          <w:rStyle w:val="VerbatimChar"/>
        </w:rPr>
        <w:t>{ rule_id, standard, category, tier, binding, jurisdiction, version, subject, applies_when, result, exceptions[], evidence_required[], confidence_threshold, source_ref, status }</w:t>
      </w:r>
      <w:r>
        <w:rPr/>
        <w:t xml:space="preserve">. </w:t>
      </w:r>
      <w:r>
        <w:rPr>
          <w:rStyle w:val="VerbatimChar"/>
        </w:rPr>
        <w:t>category</w:t>
      </w:r>
      <w:r>
        <w:rPr/>
        <w:t xml:space="preserve"> ∈ measurement / classification / code / drawing / material / safety / cost / contract / quality / environmental; </w:t>
      </w:r>
      <w:r>
        <w:rPr>
          <w:rStyle w:val="VerbatimChar"/>
          <w:b/>
          <w:bCs/>
        </w:rPr>
        <w:t>tier</w:t>
      </w:r>
      <w:r>
        <w:rPr/>
        <w:t xml:space="preserve"> ∈ statutory ▸ industry ▸ client ▸ company ▸ project; </w:t>
      </w:r>
      <w:r>
        <w:rPr>
          <w:rStyle w:val="VerbatimChar"/>
          <w:b/>
          <w:bCs/>
        </w:rPr>
        <w:t>binding</w:t>
      </w:r>
      <w:r>
        <w:rPr/>
        <w:t xml:space="preserve"> ∈ mandatory | default; </w:t>
      </w:r>
      <w:r>
        <w:rPr>
          <w:rStyle w:val="VerbatimChar"/>
        </w:rPr>
        <w:t>result</w:t>
      </w:r>
      <w:r>
        <w:rPr/>
        <w:t xml:space="preserve"> is category-shaped — measurement → </w:t>
      </w:r>
      <w:r>
        <w:rPr>
          <w:rStyle w:val="VerbatimChar"/>
        </w:rPr>
        <w:t>{measure_by, unit}</w:t>
      </w:r>
      <w:r>
        <w:rPr/>
        <w:t xml:space="preserve">, classification → </w:t>
      </w:r>
      <w:r>
        <w:rPr>
          <w:rStyle w:val="VerbatimChar"/>
        </w:rPr>
        <w:t>{code, system, title}</w:t>
      </w:r>
      <w:r>
        <w:rPr/>
        <w:t xml:space="preserve">, code → </w:t>
      </w:r>
      <w:r>
        <w:rPr>
          <w:rStyle w:val="VerbatimChar"/>
        </w:rPr>
        <w:t>{requirement, mandatory}</w:t>
      </w:r>
      <w:r>
        <w:rPr/>
        <w:t>. Schema + rules across tiers validated in the capability spec.</w:t>
      </w:r>
      <w:bookmarkEnd w:id="23"/>
    </w:p>
    <w:p>
      <w:pPr>
        <w:pStyle w:val="Heading3"/>
        <w:rPr/>
      </w:pPr>
      <w:bookmarkStart w:id="24" w:name="the-tier-hierarchy"/>
      <w:r>
        <w:rPr/>
        <w:t>§3.2 The tier hierarchy</w:t>
      </w:r>
    </w:p>
    <w:p>
      <w:pPr>
        <w:pStyle w:val="FirstParagraph"/>
        <w:rPr/>
      </w:pPr>
      <w:r>
        <w:rPr/>
        <w:t xml:space="preserve">Rules resolve </w:t>
      </w:r>
      <w:r>
        <w:rPr>
          <w:b/>
          <w:bCs/>
        </w:rPr>
        <w:t>deterministically</w:t>
      </w:r>
      <w:r>
        <w:rPr/>
        <w:t xml:space="preserve"> by tier — </w:t>
      </w:r>
      <w:r>
        <w:rPr>
          <w:b/>
          <w:bCs/>
        </w:rPr>
        <w:t>statutory ▸ industry ▸ client ▸ company ▸ project</w:t>
      </w:r>
      <w:r>
        <w:rPr/>
        <w:t xml:space="preserve"> (broadest → most-specific), each </w:t>
      </w:r>
      <w:r>
        <w:rPr>
          <w:rStyle w:val="VerbatimChar"/>
        </w:rPr>
        <w:t>mandatory</w:t>
      </w:r>
      <w:r>
        <w:rPr/>
        <w:t xml:space="preserve"> or </w:t>
      </w:r>
      <w:r>
        <w:rPr>
          <w:rStyle w:val="VerbatimChar"/>
        </w:rPr>
        <w:t>default</w:t>
      </w:r>
      <w:r>
        <w:rPr/>
        <w:t xml:space="preserve">. Mandatory rules are hard constraints (broadest authority wins a direct conflict; compatible constraints stack); among defaults the </w:t>
      </w:r>
      <w:r>
        <w:rPr>
          <w:b/>
          <w:bCs/>
        </w:rPr>
        <w:t>most-specific tier wins</w:t>
      </w:r>
      <w:r>
        <w:rPr/>
        <w:t xml:space="preserve">; a default contradicting a mandatory is void and flagged. So </w:t>
      </w:r>
      <w:r>
        <w:rPr>
          <w:i/>
          <w:iCs/>
        </w:rPr>
        <w:t>company says m², statute says m³ → m³</w:t>
      </w:r>
      <w:r>
        <w:rPr/>
        <w:t xml:space="preserve">, and </w:t>
      </w:r>
      <w:r>
        <w:rPr>
          <w:i/>
          <w:iCs/>
        </w:rPr>
        <w:t>project preference beats company</w:t>
      </w:r>
      <w:r>
        <w:rPr/>
        <w:t xml:space="preserve"> where no statute dictates. The default seed is </w:t>
      </w:r>
      <w:r>
        <w:rPr>
          <w:b/>
          <w:bCs/>
        </w:rPr>
        <w:t>license-clean</w:t>
      </w:r>
      <w:r>
        <w:rPr/>
        <w:t xml:space="preserve"> — company/client/project templates and code requirements-as-facts (the </w:t>
      </w:r>
      <w:r>
        <w:rPr>
          <w:rStyle w:val="VerbatimChar"/>
        </w:rPr>
        <w:t>standards</w:t>
      </w:r>
      <w:r>
        <w:rPr/>
        <w:t xml:space="preserve"> bundle §0.4, seeded §D.4); </w:t>
      </w:r>
      <w:r>
        <w:rPr>
          <w:b/>
          <w:bCs/>
        </w:rPr>
        <w:t>licensed industry standards (NRM2, MasterFormat) are provisioned separately</w:t>
      </w:r>
      <w:r>
        <w:rPr/>
        <w:t xml:space="preserve"> — customer-uploaded under the client’s own license, or a future Preckon-licensed add-on pack (capability spec §10). </w:t>
      </w:r>
      <w:r>
        <w:rPr>
          <w:rStyle w:val="VerbatimChar"/>
        </w:rPr>
        <w:t>company / client / project</w:t>
      </w:r>
      <w:r>
        <w:rPr/>
        <w:t xml:space="preserve"> rules are the tenant’s own. Company standards are the moat; the flywheel (§M) proposes new ones from confirmed corrections.</w:t>
      </w:r>
      <w:bookmarkEnd w:id="24"/>
    </w:p>
    <w:p>
      <w:pPr>
        <w:pStyle w:val="Heading3"/>
        <w:rPr/>
      </w:pPr>
      <w:bookmarkStart w:id="25" w:name="the-service-tools"/>
      <w:r>
        <w:rPr/>
        <w:t>§3.3 The service &amp; tools</w:t>
      </w:r>
    </w:p>
    <w:p>
      <w:pPr>
        <w:pStyle w:val="FirstParagraph"/>
        <w:rPr/>
      </w:pPr>
      <w:r>
        <w:rPr>
          <w:rStyle w:val="VerbatimChar"/>
        </w:rPr>
        <w:t>agent.standards</w:t>
      </w:r>
      <w:r>
        <w:rPr/>
        <w:t xml:space="preserve"> (service, Appendix A), over the Core mechanism (§M.5), exposes two tools: </w:t>
      </w:r>
      <w:r>
        <w:rPr>
          <w:rStyle w:val="VerbatimChar"/>
          <w:b/>
          <w:bCs/>
        </w:rPr>
        <w:t>standards_lookup</w:t>
      </w:r>
      <w:r>
        <w:rPr/>
        <w:t xml:space="preserve"> (resolve a rule) and </w:t>
      </w:r>
      <w:r>
        <w:rPr>
          <w:rStyle w:val="VerbatimChar"/>
          <w:b/>
          <w:bCs/>
        </w:rPr>
        <w:t>standards_validate</w:t>
      </w:r>
      <w:r>
        <w:rPr/>
        <w:t xml:space="preserve"> (check an artifact → violations). Consulted before proposing: </w:t>
      </w:r>
      <w:r>
        <w:rPr>
          <w:b/>
          <w:bCs/>
        </w:rPr>
        <w:t>BOQ</w:t>
      </w:r>
      <w:r>
        <w:rPr/>
        <w:t xml:space="preserve"> (measurement, classification), </w:t>
      </w:r>
      <w:r>
        <w:rPr>
          <w:b/>
          <w:bCs/>
        </w:rPr>
        <w:t>Cost</w:t>
      </w:r>
      <w:r>
        <w:rPr/>
        <w:t xml:space="preserve"> (cost), </w:t>
      </w:r>
      <w:r>
        <w:rPr>
          <w:b/>
          <w:bCs/>
        </w:rPr>
        <w:t>Specification</w:t>
      </w:r>
      <w:r>
        <w:rPr/>
        <w:t xml:space="preserve"> (classification), </w:t>
      </w:r>
      <w:r>
        <w:rPr>
          <w:b/>
          <w:bCs/>
        </w:rPr>
        <w:t>Drawing</w:t>
      </w:r>
      <w:r>
        <w:rPr/>
        <w:t xml:space="preserve"> (drawing). </w:t>
      </w:r>
      <w:r>
        <w:rPr>
          <w:b/>
          <w:bCs/>
        </w:rPr>
        <w:t>Compliance</w:t>
      </w:r>
      <w:r>
        <w:rPr/>
        <w:t xml:space="preserve"> and </w:t>
      </w:r>
      <w:r>
        <w:rPr>
          <w:b/>
          <w:bCs/>
        </w:rPr>
        <w:t>Risk</w:t>
      </w:r>
      <w:r>
        <w:rPr/>
        <w:t xml:space="preserve"> additionally </w:t>
      </w:r>
      <w:r>
        <w:rPr>
          <w:i/>
          <w:iCs/>
        </w:rPr>
        <w:t>validate</w:t>
      </w:r>
      <w:r>
        <w:rPr/>
        <w:t xml:space="preserve"> — running mandatory rules against confirmed artifacts and emitting </w:t>
      </w:r>
      <w:r>
        <w:rPr>
          <w:rStyle w:val="VerbatimChar"/>
        </w:rPr>
        <w:t>standard_violation</w:t>
      </w:r>
      <w:r>
        <w:rPr/>
        <w:t>s (code, safety, material).</w:t>
      </w:r>
      <w:bookmarkEnd w:id="25"/>
    </w:p>
    <w:p>
      <w:pPr>
        <w:pStyle w:val="Heading3"/>
        <w:rPr/>
      </w:pPr>
      <w:bookmarkStart w:id="26" w:name="cited-validated-versioned"/>
      <w:r>
        <w:rPr/>
        <w:t>§3.4 Cited, validated, versioned</w:t>
      </w:r>
    </w:p>
    <w:p>
      <w:pPr>
        <w:pStyle w:val="FirstParagraph"/>
        <w:rPr/>
      </w:pPr>
      <w:r>
        <w:rPr/>
        <w:t xml:space="preserve">Outputs cite the rules applied — </w:t>
      </w:r>
      <w:r>
        <w:rPr>
          <w:rStyle w:val="VerbatimChar"/>
        </w:rPr>
        <w:t>standard_refs: [rule_id@version]</w:t>
      </w:r>
      <w:r>
        <w:rPr/>
        <w:t xml:space="preserve"> on </w:t>
      </w:r>
      <w:r>
        <w:rPr>
          <w:rStyle w:val="VerbatimChar"/>
        </w:rPr>
        <w:t>boq_line</w:t>
      </w:r>
      <w:r>
        <w:rPr/>
        <w:t xml:space="preserve"> / </w:t>
      </w:r>
      <w:r>
        <w:rPr>
          <w:rStyle w:val="VerbatimChar"/>
        </w:rPr>
        <w:t>cost_line</w:t>
      </w:r>
      <w:r>
        <w:rPr/>
        <w:t xml:space="preserve"> / </w:t>
      </w:r>
      <w:r>
        <w:rPr>
          <w:rStyle w:val="VerbatimChar"/>
        </w:rPr>
        <w:t>drawing_measurement</w:t>
      </w:r>
      <w:r>
        <w:rPr/>
        <w:t xml:space="preserve"> / </w:t>
      </w:r>
      <w:r>
        <w:rPr>
          <w:rStyle w:val="VerbatimChar"/>
        </w:rPr>
        <w:t>compliance_item</w:t>
      </w:r>
      <w:r>
        <w:rPr/>
        <w:t xml:space="preserve"> (Appendix C.2); applying a matched rule is a strong confidence </w:t>
      </w:r>
      <w:r>
        <w:rPr>
          <w:rStyle w:val="VerbatimChar"/>
        </w:rPr>
        <w:t>agreement</w:t>
      </w:r>
      <w:r>
        <w:rPr/>
        <w:t xml:space="preserve"> signal (Doc 2 §1); a rule update marks dependents </w:t>
      </w:r>
      <w:r>
        <w:rPr>
          <w:rStyle w:val="VerbatimChar"/>
        </w:rPr>
        <w:t>stale</w:t>
      </w:r>
      <w:r>
        <w:rPr/>
        <w:t xml:space="preserve"> (§2.4). </w:t>
      </w:r>
      <w:r>
        <w:rPr>
          <w:b/>
          <w:bCs/>
        </w:rPr>
        <w:t>Validation</w:t>
      </w:r>
      <w:r>
        <w:rPr/>
        <w:t xml:space="preserve"> emits </w:t>
      </w:r>
      <w:r>
        <w:rPr>
          <w:rStyle w:val="VerbatimChar"/>
        </w:rPr>
        <w:t>standard_violation</w:t>
      </w:r>
      <w:r>
        <w:rPr/>
        <w:t xml:space="preserve"> findings (Appendix C.2) — a high/</w:t>
      </w:r>
      <w:r>
        <w:rPr>
          <w:rStyle w:val="VerbatimChar"/>
        </w:rPr>
        <w:t>critical</w:t>
      </w:r>
      <w:r>
        <w:rPr/>
        <w:t xml:space="preserve"> open violation can gate </w:t>
      </w:r>
      <w:r>
        <w:rPr>
          <w:rStyle w:val="VerbatimChar"/>
        </w:rPr>
        <w:t>approving → submitted</w:t>
      </w:r>
      <w:r>
        <w:rPr/>
        <w:t xml:space="preserve"> (§2). </w:t>
      </w:r>
      <w:r>
        <w:rPr>
          <w:b/>
          <w:bCs/>
        </w:rPr>
        <w:t>v1</w:t>
      </w:r>
      <w:r>
        <w:rPr/>
        <w:t xml:space="preserve"> looks up, applies, and validates on demand; </w:t>
      </w:r>
      <w:r>
        <w:rPr>
          <w:b/>
          <w:bCs/>
        </w:rPr>
        <w:t>v2</w:t>
      </w:r>
      <w:r>
        <w:rPr/>
        <w:t xml:space="preserve"> is a deterministic Rules-Engine sweep executing </w:t>
      </w:r>
      <w:r>
        <w:rPr>
          <w:rStyle w:val="VerbatimChar"/>
        </w:rPr>
        <w:t>applies_when → result</w:t>
      </w:r>
      <w:r>
        <w:rPr/>
        <w:t xml:space="preserve"> without an LLM — where “execute NRM2, don’t read it” becomes literal.</w:t>
      </w:r>
    </w:p>
    <w:p>
      <w:pPr>
        <w:pStyle w:val="Normal"/>
        <w:rPr/>
      </w:pPr>
      <w:bookmarkStart w:id="27" w:name="standards-rules"/>
      <w:bookmarkStart w:id="28" w:name="cited-validated-versio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</w:p>
    <w:p>
      <w:pPr>
        <w:pStyle w:val="Heading2"/>
        <w:rPr/>
      </w:pPr>
      <w:bookmarkStart w:id="29" w:name="roadmap-this-deck"/>
      <w:r>
        <w:rPr/>
        <w:t>§4 — Roadmap (this deck)</w:t>
      </w:r>
    </w:p>
    <w:p>
      <w:pPr>
        <w:pStyle w:val="FirstParagraph"/>
        <w:rPr/>
      </w:pPr>
      <w:r>
        <w:rPr/>
        <w:t xml:space="preserve">Complete, v1.1: manifest (§0.4), personas (§1), the </w:t>
      </w:r>
      <w:r>
        <w:rPr>
          <w:b/>
          <w:bCs/>
        </w:rPr>
        <w:t>bid-pursuit lifecycle</w:t>
      </w:r>
      <w:r>
        <w:rPr/>
        <w:t xml:space="preserve"> (§2), agents (Appendix A: 19), workflows (Appendix B: 11, incl. the TenderLogix split), types + ER + Host map (Appendix C: 16). Tender management (the lifecycle, </w:t>
      </w:r>
      <w:r>
        <w:rPr>
          <w:rStyle w:val="VerbatimChar"/>
        </w:rPr>
        <w:t>bid.approve</w:t>
      </w:r>
      <w:r>
        <w:rPr/>
        <w:t xml:space="preserve">, and its 4 types / 4 agents / 4 workflows) rides on Core v1.2’s generic </w:t>
      </w:r>
      <w:r>
        <w:rPr>
          <w:rStyle w:val="VerbatimChar"/>
        </w:rPr>
        <w:t>project.lifecycle_*</w:t>
      </w:r>
      <w:r>
        <w:rPr/>
        <w:t xml:space="preserve"> field — the </w:t>
      </w:r>
      <w:r>
        <w:rPr>
          <w:b/>
          <w:bCs/>
        </w:rPr>
        <w:t>only</w:t>
      </w:r>
      <w:r>
        <w:rPr/>
        <w:t xml:space="preserve"> Core surface it uses beyond the finished ABI (Appendix C.5).</w:t>
      </w:r>
    </w:p>
    <w:p>
      <w:pPr>
        <w:pStyle w:val="Normal"/>
        <w:rPr/>
      </w:pPr>
      <w:bookmarkStart w:id="30" w:name="roadmap-this-d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2"/>
        <w:rPr/>
      </w:pPr>
      <w:bookmarkStart w:id="31" w:name="appendix-a-agents"/>
      <w:r>
        <w:rPr/>
        <w:t>Appendix A — Agents</w:t>
      </w:r>
    </w:p>
    <w:p>
      <w:pPr>
        <w:pStyle w:val="FirstParagraph"/>
        <w:rPr/>
      </w:pPr>
      <w:r>
        <w:rPr/>
        <w:t xml:space="preserve">The twenty agents that make Core a construction product — fifteen workers, two services (Knowledge, Standards), and three supervisor </w:t>
      </w:r>
      <w:r>
        <w:rPr>
          <w:b/>
          <w:bCs/>
        </w:rPr>
        <w:t>personas</w:t>
      </w:r>
      <w:r>
        <w:rPr/>
        <w:t xml:space="preserve"> (§1) — authored against the finished ABI (framework §3) — pack data, not Core. Each is one row in the </w:t>
      </w:r>
      <w:r>
        <w:rPr>
          <w:rStyle w:val="VerbatimChar"/>
        </w:rPr>
        <w:t>agent</w:t>
      </w:r>
      <w:r>
        <w:rPr/>
        <w:t xml:space="preserve"> registry (§3.1): a </w:t>
      </w:r>
      <w:r>
        <w:rPr>
          <w:rStyle w:val="VerbatimChar"/>
        </w:rPr>
        <w:t>kind</w:t>
      </w:r>
      <w:r>
        <w:rPr/>
        <w:t xml:space="preserve">, typed I/O over the artifact-type vocabulary (§2.1; full schemas in Appendix C), the AI </w:t>
      </w:r>
      <w:r>
        <w:rPr>
          <w:rStyle w:val="VerbatimChar"/>
        </w:rPr>
        <w:t>job_types</w:t>
      </w:r>
      <w:r>
        <w:rPr/>
        <w:t xml:space="preserve"> it enqueues (§5), and its gating. Keys shown are short forms of their </w:t>
      </w:r>
      <w:r>
        <w:rPr>
          <w:rStyle w:val="VerbatimChar"/>
        </w:rPr>
        <w:t>construction.</w:t>
      </w:r>
      <w:r>
        <w:rPr/>
        <w:t>-namespaced values (§D.3).</w:t>
      </w:r>
    </w:p>
    <w:p>
      <w:pPr>
        <w:pStyle w:val="BodyText"/>
        <w:rPr/>
      </w:pPr>
      <w:r>
        <w:rPr/>
        <w:t xml:space="preserve">Two invariants from Core carry through every row: an agent touches only the four ABI syscalls, and the runtime — not the agent — emits, scopes, validates, and gates every output (§5.1). Agents are gated </w:t>
      </w:r>
      <w:r>
        <w:rPr>
          <w:b/>
          <w:bCs/>
        </w:rPr>
        <w:t>transitively</w:t>
      </w:r>
      <w:r>
        <w:rPr/>
        <w:t xml:space="preserve">: an agent is available iff some licensed workflow references it (§8), so </w:t>
      </w:r>
      <w:r>
        <w:rPr>
          <w:rStyle w:val="VerbatimChar"/>
        </w:rPr>
        <w:t>entitlement_key</w:t>
      </w:r>
      <w:r>
        <w:rPr/>
        <w:t xml:space="preserve"> is null on all of them and the </w:t>
      </w:r>
      <w:r>
        <w:rPr>
          <w:rStyle w:val="VerbatimChar"/>
        </w:rPr>
        <w:t>module_key</w:t>
      </w:r>
      <w:r>
        <w:rPr/>
        <w:t xml:space="preserve"> on the workflow (Appendix B) is the license seam.</w:t>
      </w:r>
    </w:p>
    <w:p>
      <w:pPr>
        <w:pStyle w:val="Heading3"/>
        <w:rPr/>
      </w:pPr>
      <w:r>
        <w:rPr/>
        <w:t>A.1 Roster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Kind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workflow → module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agent.document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(entry to every chain)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agent.tender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Tender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TenderLogix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agent.specification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DocLogix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agent.drawing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Drawing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drawing_index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drawing_measurement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DrawLogix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agent.boq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BOQ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QuantLogix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quantlogix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CostLogix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agent.schedule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schedule_activity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ScheduleLogix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agent.procurement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procurement_package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ProcureLogix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agent.rfi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RFI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rfi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cross-cutting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agent.compliance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Compliance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compliance_item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standard_violation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cross-cutting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agent.proposal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TenderLogix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agent.bid_qualification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 Qualification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bid_decision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BidQualification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agent.risk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risk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standard_violation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RiskReview / cross-cutting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agent.approval_prep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Prep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bid_approval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BidAssembly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agent.clarification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Clarification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client_query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ClarificationLoop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agent.knowledge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Knowledge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(none — returns context)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(called by agents)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agent.standards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(none — returns rules)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(queried before deciding, §3)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agent.construction_copilot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Construction Copilot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supervisor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(none — proposes deviations)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(the Orchestrator role, §6; default persona §1)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agent.commercial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supervisor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(none — persona; §1)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premium — margin/risk lens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agent.compliance_lead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Compliance Lead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supervisor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(none — persona; §1)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premium — submission/legal lens</w:t>
            </w:r>
            <w:bookmarkStart w:id="32" w:name="a.1-roster"/>
            <w:bookmarkEnd w:id="32"/>
          </w:p>
        </w:tc>
      </w:tr>
    </w:tbl>
    <w:p>
      <w:pPr>
        <w:pStyle w:val="Heading3"/>
        <w:rPr/>
      </w:pPr>
      <w:r>
        <w:rPr/>
        <w:t>A.2 Per-agent I/O</w:t>
      </w:r>
    </w:p>
    <w:p>
      <w:pPr>
        <w:pStyle w:val="FirstParagraph"/>
        <w:rPr/>
      </w:pPr>
      <w:r>
        <w:rPr/>
        <w:t xml:space="preserve">Format: </w:t>
      </w:r>
      <w:r>
        <w:rPr>
          <w:b/>
          <w:bCs/>
        </w:rPr>
        <w:t>consumes → produces</w:t>
      </w:r>
      <w:r>
        <w:rPr/>
        <w:t xml:space="preserve"> · </w:t>
      </w:r>
      <w:r>
        <w:rPr>
          <w:i/>
          <w:iCs/>
        </w:rPr>
        <w:t>job_types (default tier)</w:t>
      </w:r>
      <w:r>
        <w:rPr/>
        <w:t xml:space="preserve"> · review behaviour.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Document</w:t>
      </w:r>
      <w:r>
        <w:rPr/>
        <w:t xml:space="preserve"> — file-page text (a Core ingestion input, not an artifact type; §7.4)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document</w:t>
      </w:r>
      <w:r>
        <w:rPr/>
        <w:t xml:space="preserve"> · </w:t>
      </w:r>
      <w:r>
        <w:rPr>
          <w:rStyle w:val="VerbatimChar"/>
          <w:i/>
          <w:iCs/>
        </w:rPr>
        <w:t>document.classify_split</w:t>
      </w:r>
      <w:r>
        <w:rPr>
          <w:i/>
          <w:iCs/>
        </w:rPr>
        <w:t xml:space="preserve"> (standard)</w:t>
      </w:r>
      <w:r>
        <w:rPr/>
        <w:t xml:space="preserve"> · non-reviewable, auto-confirmed on emit (</w:t>
      </w:r>
      <w:r>
        <w:rPr>
          <w:rStyle w:val="VerbatimChar"/>
        </w:rPr>
        <w:t>document.is_reviewable = false</w:t>
      </w:r>
      <w:r>
        <w:rPr/>
        <w:t xml:space="preserve">). Classifies and splits an ingested file into </w:t>
      </w:r>
      <w:r>
        <w:rPr>
          <w:rStyle w:val="VerbatimChar"/>
        </w:rPr>
        <w:t>document</w:t>
      </w:r>
      <w:r>
        <w:rPr/>
        <w:t xml:space="preserve"> artifacts carrying </w:t>
      </w:r>
      <w:r>
        <w:rPr>
          <w:rStyle w:val="VerbatimChar"/>
        </w:rPr>
        <w:t>file_id</w:t>
      </w:r>
      <w:r>
        <w:rPr/>
        <w:t xml:space="preserve"> + page range. The classification vocabulary (drawing / specification / tender letter / addendum) is pack data in the agent.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Tender</w:t>
      </w:r>
      <w:r>
        <w:rPr/>
        <w:t xml:space="preserve"> — </w:t>
      </w:r>
      <w:r>
        <w:rPr>
          <w:rStyle w:val="VerbatimChar"/>
        </w:rPr>
        <w:t>document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tender_summary</w:t>
      </w:r>
      <w:r>
        <w:rPr/>
        <w:t xml:space="preserve"> · </w:t>
      </w:r>
      <w:r>
        <w:rPr>
          <w:rStyle w:val="VerbatimChar"/>
          <w:i/>
          <w:iCs/>
        </w:rPr>
        <w:t>tender.extract_summary</w:t>
      </w:r>
      <w:r>
        <w:rPr>
          <w:i/>
          <w:iCs/>
        </w:rPr>
        <w:t xml:space="preserve"> (deep)</w:t>
      </w:r>
      <w:r>
        <w:rPr/>
        <w:t xml:space="preserve"> · reviewable proposal. The skeleton’s scope-extraction step (§S).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Specification</w:t>
      </w:r>
      <w:r>
        <w:rPr/>
        <w:t xml:space="preserve"> — </w:t>
      </w:r>
      <w:r>
        <w:rPr>
          <w:rStyle w:val="VerbatimChar"/>
        </w:rPr>
        <w:t>document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spec_clause</w:t>
      </w:r>
      <w:r>
        <w:rPr/>
        <w:t xml:space="preserve"> · </w:t>
      </w:r>
      <w:r>
        <w:rPr>
          <w:rStyle w:val="VerbatimChar"/>
          <w:i/>
          <w:iCs/>
        </w:rPr>
        <w:t>spec.extract_clauses</w:t>
      </w:r>
      <w:r>
        <w:rPr>
          <w:i/>
          <w:iCs/>
        </w:rPr>
        <w:t xml:space="preserve"> (deep)</w:t>
      </w:r>
      <w:r>
        <w:rPr/>
        <w:t xml:space="preserve"> · reviewable. Pulls normative clauses (materials, tolerances, standards) from spec documents.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Drawing</w:t>
      </w:r>
      <w:r>
        <w:rPr/>
        <w:t xml:space="preserve"> — </w:t>
      </w:r>
      <w:r>
        <w:rPr>
          <w:rStyle w:val="VerbatimChar"/>
        </w:rPr>
        <w:t>document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drawing_index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drawing_measurement</w:t>
      </w:r>
      <w:r>
        <w:rPr/>
        <w:t xml:space="preserve"> · </w:t>
      </w:r>
      <w:r>
        <w:rPr>
          <w:rStyle w:val="VerbatimChar"/>
          <w:i/>
          <w:iCs/>
        </w:rPr>
        <w:t>drawing.index</w:t>
      </w:r>
      <w:r>
        <w:rPr>
          <w:i/>
          <w:iCs/>
        </w:rPr>
        <w:t xml:space="preserve"> (standard), </w:t>
      </w:r>
      <w:r>
        <w:rPr>
          <w:rStyle w:val="VerbatimChar"/>
          <w:i/>
          <w:iCs/>
        </w:rPr>
        <w:t>drawing.takeoff</w:t>
      </w:r>
      <w:r>
        <w:rPr>
          <w:i/>
          <w:iCs/>
        </w:rPr>
        <w:t xml:space="preserve"> (deep)</w:t>
      </w:r>
      <w:r>
        <w:rPr/>
        <w:t xml:space="preserve"> · reviewable. Indexes the sheet set, then measures quantities off page rasters (</w:t>
      </w:r>
      <w:r>
        <w:rPr>
          <w:rStyle w:val="VerbatimChar"/>
        </w:rPr>
        <w:t>file_page.raster_key</w:t>
      </w:r>
      <w:r>
        <w:rPr/>
        <w:t xml:space="preserve">, §7.1). A </w:t>
      </w:r>
      <w:r>
        <w:rPr>
          <w:b/>
          <w:bCs/>
        </w:rPr>
        <w:t>map</w:t>
      </w:r>
      <w:r>
        <w:rPr/>
        <w:t xml:space="preserve"> node fans takeoff out per drawing (§4.1).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BOQ</w:t>
      </w:r>
      <w:r>
        <w:rPr/>
        <w:t xml:space="preserve"> —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spec_clause</w:t>
      </w:r>
      <w:r>
        <w:rPr/>
        <w:t xml:space="preserve">, </w:t>
      </w:r>
      <w:r>
        <w:rPr>
          <w:rStyle w:val="VerbatimChar"/>
        </w:rPr>
        <w:t>drawing_measurement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boq_line</w:t>
      </w:r>
      <w:r>
        <w:rPr/>
        <w:t xml:space="preserve"> · </w:t>
      </w:r>
      <w:r>
        <w:rPr>
          <w:rStyle w:val="VerbatimChar"/>
          <w:i/>
          <w:iCs/>
        </w:rPr>
        <w:t>boq.derive_lines</w:t>
      </w:r>
      <w:r>
        <w:rPr>
          <w:i/>
          <w:iCs/>
        </w:rPr>
        <w:t xml:space="preserve"> (deep)</w:t>
      </w:r>
      <w:r>
        <w:rPr/>
        <w:t xml:space="preserve"> · reviewable. Shared by TenderLogix (from </w:t>
      </w:r>
      <w:r>
        <w:rPr>
          <w:rStyle w:val="VerbatimChar"/>
        </w:rPr>
        <w:t>tender_summary</w:t>
      </w:r>
      <w:r>
        <w:rPr/>
        <w:t xml:space="preserve">, §S) and QuantLogix (from measurements + clauses); defined once because I/O is workflow-independent (§2.1). Calls </w:t>
      </w:r>
      <w:r>
        <w:rPr>
          <w:b/>
          <w:bCs/>
        </w:rPr>
        <w:t>Knowledge</w:t>
      </w:r>
      <w:r>
        <w:rPr/>
        <w:t xml:space="preserve"> for precedent and </w:t>
      </w:r>
      <w:r>
        <w:rPr>
          <w:rStyle w:val="VerbatimChar"/>
          <w:b/>
          <w:bCs/>
        </w:rPr>
        <w:t>standards_lookup</w:t>
      </w:r>
      <w:r>
        <w:rPr/>
        <w:t xml:space="preserve"> for units / classification codes / company descriptions (Standards &amp; Rules capability).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Cost</w:t>
      </w:r>
      <w:r>
        <w:rPr/>
        <w:t xml:space="preserve"> — </w:t>
      </w:r>
      <w:r>
        <w:rPr>
          <w:rStyle w:val="VerbatimChar"/>
        </w:rPr>
        <w:t>boq_line</w:t>
      </w:r>
      <w:r>
        <w:rPr/>
        <w:t xml:space="preserve"> + Library </w:t>
      </w:r>
      <w:r>
        <w:rPr>
          <w:rStyle w:val="VerbatimChar"/>
        </w:rPr>
        <w:t>rate_book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cost_line</w:t>
      </w:r>
      <w:r>
        <w:rPr/>
        <w:t xml:space="preserve"> · </w:t>
      </w:r>
      <w:r>
        <w:rPr>
          <w:rStyle w:val="VerbatimChar"/>
          <w:i/>
          <w:iCs/>
        </w:rPr>
        <w:t>cost.price_lines</w:t>
      </w:r>
      <w:r>
        <w:rPr>
          <w:i/>
          <w:iCs/>
        </w:rPr>
        <w:t xml:space="preserve"> (deep)</w:t>
      </w:r>
      <w:r>
        <w:rPr/>
        <w:t xml:space="preserve"> · reviewable. Provenance links each </w:t>
      </w:r>
      <w:r>
        <w:rPr>
          <w:rStyle w:val="VerbatimChar"/>
        </w:rPr>
        <w:t>cost_line</w:t>
      </w:r>
      <w:r>
        <w:rPr/>
        <w:t xml:space="preserve"> to its </w:t>
      </w:r>
      <w:r>
        <w:rPr>
          <w:rStyle w:val="VerbatimChar"/>
        </w:rPr>
        <w:t>boq_line</w:t>
      </w:r>
      <w:r>
        <w:rPr/>
        <w:t xml:space="preserve"> and the applied rate (§2.3); editing a rate re-plans downstream via the stale walk (§2.4).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Schedule</w:t>
      </w:r>
      <w:r>
        <w:rPr/>
        <w:t xml:space="preserve"> — </w:t>
      </w:r>
      <w:r>
        <w:rPr>
          <w:rStyle w:val="VerbatimChar"/>
        </w:rPr>
        <w:t>boq_line</w:t>
      </w:r>
      <w:r>
        <w:rPr/>
        <w:t xml:space="preserve">, </w:t>
      </w:r>
      <w:r>
        <w:rPr>
          <w:rStyle w:val="VerbatimChar"/>
        </w:rPr>
        <w:t>cost_line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schedule_activity</w:t>
      </w:r>
      <w:r>
        <w:rPr/>
        <w:t xml:space="preserve"> · </w:t>
      </w:r>
      <w:r>
        <w:rPr>
          <w:rStyle w:val="VerbatimChar"/>
          <w:i/>
          <w:iCs/>
        </w:rPr>
        <w:t>schedule.build_programme</w:t>
      </w:r>
      <w:r>
        <w:rPr>
          <w:i/>
          <w:iCs/>
        </w:rPr>
        <w:t xml:space="preserve"> (deep)</w:t>
      </w:r>
      <w:r>
        <w:rPr/>
        <w:t xml:space="preserve"> · reviewable. Sequences activities with durations/dependencies from quantities and resources.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Procurement</w:t>
      </w:r>
      <w:r>
        <w:rPr/>
        <w:t xml:space="preserve"> — </w:t>
      </w:r>
      <w:r>
        <w:rPr>
          <w:rStyle w:val="VerbatimChar"/>
        </w:rPr>
        <w:t>boq_line</w:t>
      </w:r>
      <w:r>
        <w:rPr/>
        <w:t xml:space="preserve">, </w:t>
      </w:r>
      <w:r>
        <w:rPr>
          <w:rStyle w:val="VerbatimChar"/>
        </w:rPr>
        <w:t>cost_line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procurement_package</w:t>
      </w:r>
      <w:r>
        <w:rPr/>
        <w:t xml:space="preserve"> · </w:t>
      </w:r>
      <w:r>
        <w:rPr>
          <w:rStyle w:val="VerbatimChar"/>
          <w:i/>
          <w:iCs/>
        </w:rPr>
        <w:t>procure.build_packages</w:t>
      </w:r>
      <w:r>
        <w:rPr>
          <w:i/>
          <w:iCs/>
        </w:rPr>
        <w:t xml:space="preserve"> (standard)</w:t>
      </w:r>
      <w:r>
        <w:rPr/>
        <w:t xml:space="preserve"> · reviewable. Groups scope into RFQ packages by trade/lead-time.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RFI</w:t>
      </w:r>
      <w:r>
        <w:rPr/>
        <w:t xml:space="preserve"> —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spec_clause</w:t>
      </w:r>
      <w:r>
        <w:rPr/>
        <w:t xml:space="preserve">, </w:t>
      </w:r>
      <w:r>
        <w:rPr>
          <w:rStyle w:val="VerbatimChar"/>
        </w:rPr>
        <w:t>drawing_measurement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rfi</w:t>
      </w:r>
      <w:r>
        <w:rPr/>
        <w:t xml:space="preserve"> · </w:t>
      </w:r>
      <w:r>
        <w:rPr>
          <w:rStyle w:val="VerbatimChar"/>
          <w:i/>
          <w:iCs/>
        </w:rPr>
        <w:t>rfi.detect</w:t>
      </w:r>
      <w:r>
        <w:rPr>
          <w:i/>
          <w:iCs/>
        </w:rPr>
        <w:t xml:space="preserve"> (standard)</w:t>
      </w:r>
      <w:r>
        <w:rPr/>
        <w:t xml:space="preserve"> · reviewable. Detects ambiguities, gaps, and conflicts across the graph and raises clarification questions; cross-cutting, not tied to one workflow.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Compliance</w:t>
      </w:r>
      <w:r>
        <w:rPr/>
        <w:t xml:space="preserve"> —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spec_clause</w:t>
      </w:r>
      <w:r>
        <w:rPr/>
        <w:t xml:space="preserve">, </w:t>
      </w:r>
      <w:r>
        <w:rPr>
          <w:rStyle w:val="VerbatimChar"/>
        </w:rPr>
        <w:t>proposal_doc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compliance_item</w:t>
      </w:r>
      <w:r>
        <w:rPr/>
        <w:t xml:space="preserve"> (+ </w:t>
      </w:r>
      <w:r>
        <w:rPr>
          <w:rStyle w:val="VerbatimChar"/>
        </w:rPr>
        <w:t>standard_violation</w:t>
      </w:r>
      <w:r>
        <w:rPr/>
        <w:t xml:space="preserve"> via </w:t>
      </w:r>
      <w:r>
        <w:rPr>
          <w:rStyle w:val="VerbatimChar"/>
        </w:rPr>
        <w:t>standards_validate</w:t>
      </w:r>
      <w:r>
        <w:rPr/>
        <w:t xml:space="preserve">, §3) · </w:t>
      </w:r>
      <w:r>
        <w:rPr>
          <w:rStyle w:val="VerbatimChar"/>
          <w:i/>
          <w:iCs/>
        </w:rPr>
        <w:t>compliance.check</w:t>
      </w:r>
      <w:r>
        <w:rPr>
          <w:i/>
          <w:iCs/>
        </w:rPr>
        <w:t xml:space="preserve"> (deep)</w:t>
      </w:r>
      <w:r>
        <w:rPr/>
        <w:t xml:space="preserve"> · reviewable. Checks each mandatory requirement is addressed, and validates the bid against code/quality standards before submission.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Proposal</w:t>
      </w:r>
      <w:r>
        <w:rPr/>
        <w:t xml:space="preserve"> —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boq_line</w:t>
      </w:r>
      <w:r>
        <w:rPr/>
        <w:t xml:space="preserve">, </w:t>
      </w:r>
      <w:r>
        <w:rPr>
          <w:rStyle w:val="VerbatimChar"/>
        </w:rPr>
        <w:t>cost_line</w:t>
      </w:r>
      <w:r>
        <w:rPr/>
        <w:t xml:space="preserve">, </w:t>
      </w:r>
      <w:r>
        <w:rPr>
          <w:rStyle w:val="VerbatimChar"/>
        </w:rPr>
        <w:t>schedule_activity</w:t>
      </w:r>
      <w:r>
        <w:rPr/>
        <w:t xml:space="preserve">, </w:t>
      </w:r>
      <w:r>
        <w:rPr>
          <w:rStyle w:val="VerbatimChar"/>
        </w:rPr>
        <w:t>procurement_package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proposal_doc</w:t>
      </w:r>
      <w:r>
        <w:rPr/>
        <w:t xml:space="preserve"> · </w:t>
      </w:r>
      <w:r>
        <w:rPr>
          <w:rStyle w:val="VerbatimChar"/>
          <w:i/>
          <w:iCs/>
        </w:rPr>
        <w:t>proposal.assemble</w:t>
      </w:r>
      <w:r>
        <w:rPr>
          <w:i/>
          <w:iCs/>
        </w:rPr>
        <w:t xml:space="preserve"> (deep)</w:t>
      </w:r>
      <w:r>
        <w:rPr/>
        <w:t xml:space="preserve"> · reviewable. Assembles the confirmed graph into the submittable bid; the chain’s terminal artifact. Compliance runs </w:t>
      </w:r>
      <w:r>
        <w:rPr>
          <w:b/>
          <w:bCs/>
        </w:rPr>
        <w:t>after</w:t>
      </w:r>
      <w:r>
        <w:rPr/>
        <w:t xml:space="preserve"> assembly (Appendix B.12): </w:t>
      </w:r>
      <w:r>
        <w:rPr>
          <w:rStyle w:val="VerbatimChar"/>
        </w:rPr>
        <w:t>proposal_doc</w:t>
      </w:r>
      <w:r>
        <w:rPr/>
        <w:t xml:space="preserve"> feeds Compliance, not the reverse — that is what keeps the DAG acyclic.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Bid Qualification</w:t>
      </w:r>
      <w:r>
        <w:rPr/>
        <w:t xml:space="preserve"> —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risk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bid_decision</w:t>
      </w:r>
      <w:r>
        <w:rPr/>
        <w:t xml:space="preserve"> · </w:t>
      </w:r>
      <w:r>
        <w:rPr>
          <w:rStyle w:val="VerbatimChar"/>
          <w:i/>
          <w:iCs/>
        </w:rPr>
        <w:t>bid.qualify</w:t>
      </w:r>
      <w:r>
        <w:rPr>
          <w:i/>
          <w:iCs/>
        </w:rPr>
        <w:t xml:space="preserve"> (deep)</w:t>
      </w:r>
      <w:r>
        <w:rPr/>
        <w:t xml:space="preserve"> · reviewable. Recommends </w:t>
      </w:r>
      <w:r>
        <w:rPr>
          <w:b/>
          <w:bCs/>
        </w:rPr>
        <w:t>go / no-go / conditional</w:t>
      </w:r>
      <w:r>
        <w:rPr/>
        <w:t xml:space="preserve"> with signals (fit, capacity, competition, margin headroom); a human decides at the qualifying gate (§2).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Risk</w:t>
      </w:r>
      <w:r>
        <w:rPr/>
        <w:t xml:space="preserve"> —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spec_clause</w:t>
      </w:r>
      <w:r>
        <w:rPr/>
        <w:t xml:space="preserve">, </w:t>
      </w:r>
      <w:r>
        <w:rPr>
          <w:rStyle w:val="VerbatimChar"/>
        </w:rPr>
        <w:t>drawing_measurement</w:t>
      </w:r>
      <w:r>
        <w:rPr/>
        <w:t xml:space="preserve">, </w:t>
      </w:r>
      <w:r>
        <w:rPr>
          <w:rStyle w:val="VerbatimChar"/>
        </w:rPr>
        <w:t>boq_line</w:t>
      </w:r>
      <w:r>
        <w:rPr/>
        <w:t xml:space="preserve">, </w:t>
      </w:r>
      <w:r>
        <w:rPr>
          <w:rStyle w:val="VerbatimChar"/>
        </w:rPr>
        <w:t>cost_line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risk</w:t>
      </w:r>
      <w:r>
        <w:rPr/>
        <w:t xml:space="preserve"> (+ </w:t>
      </w:r>
      <w:r>
        <w:rPr>
          <w:rStyle w:val="VerbatimChar"/>
        </w:rPr>
        <w:t>standard_violation</w:t>
      </w:r>
      <w:r>
        <w:rPr/>
        <w:t xml:space="preserve"> via </w:t>
      </w:r>
      <w:r>
        <w:rPr>
          <w:rStyle w:val="VerbatimChar"/>
        </w:rPr>
        <w:t>standards_validate</w:t>
      </w:r>
      <w:r>
        <w:rPr/>
        <w:t xml:space="preserve">, §3) · </w:t>
      </w:r>
      <w:r>
        <w:rPr>
          <w:rStyle w:val="VerbatimChar"/>
          <w:i/>
          <w:iCs/>
        </w:rPr>
        <w:t>risk.assess</w:t>
      </w:r>
      <w:r>
        <w:rPr>
          <w:i/>
          <w:iCs/>
        </w:rPr>
        <w:t xml:space="preserve"> (deep)</w:t>
      </w:r>
      <w:r>
        <w:rPr/>
        <w:t xml:space="preserve"> · reviewable. Registers commercial/technical/programme risks; validates work against code/material standards; feeds </w:t>
      </w:r>
      <w:r>
        <w:rPr>
          <w:rStyle w:val="VerbatimChar"/>
        </w:rPr>
        <w:t>bid_decision</w:t>
      </w:r>
      <w:r>
        <w:rPr/>
        <w:t xml:space="preserve"> and </w:t>
      </w:r>
      <w:r>
        <w:rPr>
          <w:rStyle w:val="VerbatimChar"/>
        </w:rPr>
        <w:t>bid_approval</w:t>
      </w:r>
      <w:r>
        <w:rPr/>
        <w:t xml:space="preserve">; the artifact </w:t>
      </w:r>
      <w:r>
        <w:rPr>
          <w:b/>
          <w:bCs/>
        </w:rPr>
        <w:t>Commercial</w:t>
      </w:r>
      <w:r>
        <w:rPr/>
        <w:t xml:space="preserve"> watches.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Approval Prep</w:t>
      </w:r>
      <w:r>
        <w:rPr/>
        <w:t xml:space="preserve"> — </w:t>
      </w:r>
      <w:r>
        <w:rPr>
          <w:rStyle w:val="VerbatimChar"/>
        </w:rPr>
        <w:t>proposal_doc</w:t>
      </w:r>
      <w:r>
        <w:rPr/>
        <w:t xml:space="preserve">, </w:t>
      </w:r>
      <w:r>
        <w:rPr>
          <w:rStyle w:val="VerbatimChar"/>
        </w:rPr>
        <w:t>cost_line</w:t>
      </w:r>
      <w:r>
        <w:rPr/>
        <w:t xml:space="preserve">, </w:t>
      </w:r>
      <w:r>
        <w:rPr>
          <w:rStyle w:val="VerbatimChar"/>
        </w:rPr>
        <w:t>risk</w:t>
      </w:r>
      <w:r>
        <w:rPr/>
        <w:t xml:space="preserve">, </w:t>
      </w:r>
      <w:r>
        <w:rPr>
          <w:rStyle w:val="VerbatimChar"/>
        </w:rPr>
        <w:t>compliance_item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bid_approval</w:t>
      </w:r>
      <w:r>
        <w:rPr/>
        <w:t xml:space="preserve"> · </w:t>
      </w:r>
      <w:r>
        <w:rPr>
          <w:rStyle w:val="VerbatimChar"/>
          <w:i/>
          <w:iCs/>
        </w:rPr>
        <w:t>approval.prepare</w:t>
      </w:r>
      <w:r>
        <w:rPr>
          <w:i/>
          <w:iCs/>
        </w:rPr>
        <w:t xml:space="preserve"> (deep)</w:t>
      </w:r>
      <w:r>
        <w:rPr/>
        <w:t xml:space="preserve"> · reviewable. Assembles the submission summary (amount, margin, key risks, compliance status) for sign-off; confirming it requires </w:t>
      </w:r>
      <w:r>
        <w:rPr>
          <w:rStyle w:val="VerbatimChar"/>
          <w:b/>
          <w:bCs/>
        </w:rPr>
        <w:t>bid.approve</w:t>
      </w:r>
      <w:r>
        <w:rPr/>
        <w:t xml:space="preserve"> (§2).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Clarification</w:t>
      </w:r>
      <w:r>
        <w:rPr/>
        <w:t xml:space="preserve"> — </w:t>
      </w:r>
      <w:r>
        <w:rPr>
          <w:rStyle w:val="VerbatimChar"/>
        </w:rPr>
        <w:t>client_query</w:t>
      </w:r>
      <w:r>
        <w:rPr/>
        <w:t xml:space="preserve"> (inbound), </w:t>
      </w:r>
      <w:r>
        <w:rPr>
          <w:rStyle w:val="VerbatimChar"/>
        </w:rPr>
        <w:t>tender_summary</w:t>
      </w:r>
      <w:r>
        <w:rPr/>
        <w:t xml:space="preserve">, </w:t>
      </w:r>
      <w:r>
        <w:rPr>
          <w:rStyle w:val="VerbatimChar"/>
        </w:rPr>
        <w:t>spec_clause</w:t>
      </w:r>
      <w:r>
        <w:rPr/>
        <w:t xml:space="preserve">, </w:t>
      </w:r>
      <w:r>
        <w:rPr>
          <w:rStyle w:val="VerbatimChar"/>
        </w:rPr>
        <w:t>boq_line</w:t>
      </w:r>
      <w:r>
        <w:rPr/>
        <w:t xml:space="preserve">, </w:t>
      </w:r>
      <w:r>
        <w:rPr>
          <w:rStyle w:val="VerbatimChar"/>
        </w:rPr>
        <w:t>proposal_doc</w:t>
      </w:r>
      <w:r>
        <w:rPr/>
        <w:t xml:space="preserve"> </w:t>
      </w:r>
      <w:r>
        <w:rPr>
          <w:b/>
          <w:bCs/>
        </w:rPr>
        <w:t xml:space="preserve">→ </w:t>
      </w:r>
      <w:r>
        <w:rPr>
          <w:rStyle w:val="VerbatimChar"/>
          <w:b/>
          <w:bCs/>
        </w:rPr>
        <w:t>client_query</w:t>
      </w:r>
      <w:r>
        <w:rPr/>
        <w:t xml:space="preserve"> (outbound) · </w:t>
      </w:r>
      <w:r>
        <w:rPr>
          <w:rStyle w:val="VerbatimChar"/>
          <w:i/>
          <w:iCs/>
        </w:rPr>
        <w:t>clarification.draft</w:t>
      </w:r>
      <w:r>
        <w:rPr>
          <w:i/>
          <w:iCs/>
        </w:rPr>
        <w:t xml:space="preserve"> (deep)</w:t>
      </w:r>
      <w:r>
        <w:rPr/>
        <w:t xml:space="preserve"> · reviewable. Drafts the answer to a client question; a human confirms before it is sent. An </w:t>
      </w:r>
      <w:r>
        <w:rPr>
          <w:rStyle w:val="VerbatimChar"/>
        </w:rPr>
        <w:t>is_addendum</w:t>
      </w:r>
      <w:r>
        <w:rPr/>
        <w:t xml:space="preserve"> inbound triggers re-plan (§2.3).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Knowledge</w:t>
      </w:r>
      <w:r>
        <w:rPr/>
        <w:t xml:space="preserve"> (service) — query-driven; calls Core semantic search over </w:t>
      </w:r>
      <w:r>
        <w:rPr>
          <w:rStyle w:val="VerbatimChar"/>
        </w:rPr>
        <w:t>chunk</w:t>
      </w:r>
      <w:r>
        <w:rPr/>
        <w:t xml:space="preserve"> (project graph + uploaded docs + Library, §7.3) </w:t>
      </w:r>
      <w:r>
        <w:rPr>
          <w:b/>
          <w:bCs/>
        </w:rPr>
        <w:t>→ retrieved context</w:t>
      </w:r>
      <w:r>
        <w:rPr/>
        <w:t xml:space="preserve"> · </w:t>
      </w:r>
      <w:r>
        <w:rPr>
          <w:rStyle w:val="VerbatimChar"/>
          <w:i/>
          <w:iCs/>
        </w:rPr>
        <w:t>knowledge.search</w:t>
      </w:r>
      <w:r>
        <w:rPr>
          <w:i/>
          <w:iCs/>
        </w:rPr>
        <w:t xml:space="preserve"> (routing)</w:t>
      </w:r>
      <w:r>
        <w:rPr/>
        <w:t xml:space="preserve"> · emits no artifact. Not a pipeline node; other agents invoke it (e.g. BOQ asking for precedent). Requires </w:t>
      </w:r>
      <w:r>
        <w:rPr>
          <w:rStyle w:val="VerbatimChar"/>
        </w:rPr>
        <w:t>artifact.read</w:t>
      </w:r>
      <w:r>
        <w:rPr/>
        <w:t xml:space="preserve"> on the caller’s behalf.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Standards</w:t>
      </w:r>
      <w:r>
        <w:rPr/>
        <w:t xml:space="preserve"> (service, §3) — query-driven over the Library </w:t>
      </w:r>
      <w:r>
        <w:rPr>
          <w:rStyle w:val="VerbatimChar"/>
        </w:rPr>
        <w:t>standard_rule</w:t>
      </w:r>
      <w:r>
        <w:rPr/>
        <w:t xml:space="preserve"> collection </w:t>
      </w:r>
      <w:r>
        <w:rPr>
          <w:b/>
          <w:bCs/>
        </w:rPr>
        <w:t>→ resolved rules</w:t>
      </w:r>
      <w:r>
        <w:rPr/>
        <w:t xml:space="preserve"> · </w:t>
      </w:r>
      <w:r>
        <w:rPr>
          <w:rStyle w:val="VerbatimChar"/>
          <w:i/>
          <w:iCs/>
        </w:rPr>
        <w:t>standards.lookup</w:t>
      </w:r>
      <w:r>
        <w:rPr>
          <w:i/>
          <w:iCs/>
        </w:rPr>
        <w:t xml:space="preserve"> (routing)</w:t>
      </w:r>
      <w:r>
        <w:rPr/>
        <w:t xml:space="preserve"> · emits no artifact. Exposes the </w:t>
      </w:r>
      <w:r>
        <w:rPr>
          <w:rStyle w:val="VerbatimChar"/>
        </w:rPr>
        <w:t>standards_lookup</w:t>
      </w:r>
      <w:r>
        <w:rPr/>
        <w:t xml:space="preserve"> tool; resolves company-over-pack precedence + effective version. BOQ/Cost/Specification/Drawing/Compliance/Risk call it before proposing (measurement, classification, code, drawing, material, safety).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Construction Copilot</w:t>
      </w:r>
      <w:r>
        <w:rPr/>
        <w:t xml:space="preserve"> (supervisor) — whole-run visibility over the run’s artifacts and steps </w:t>
      </w:r>
      <w:r>
        <w:rPr>
          <w:b/>
          <w:bCs/>
        </w:rPr>
        <w:t>→ deviations + chat</w:t>
      </w:r>
      <w:r>
        <w:rPr/>
        <w:t xml:space="preserve"> · </w:t>
      </w:r>
      <w:r>
        <w:rPr>
          <w:rStyle w:val="VerbatimChar"/>
          <w:i/>
          <w:iCs/>
        </w:rPr>
        <w:t>copilot.respond</w:t>
      </w:r>
      <w:r>
        <w:rPr>
          <w:i/>
          <w:iCs/>
        </w:rPr>
        <w:t xml:space="preserve"> (deep), </w:t>
      </w:r>
      <w:r>
        <w:rPr>
          <w:rStyle w:val="VerbatimChar"/>
          <w:i/>
          <w:iCs/>
        </w:rPr>
        <w:t>copilot.review_run</w:t>
      </w:r>
      <w:r>
        <w:rPr>
          <w:i/>
          <w:iCs/>
        </w:rPr>
        <w:t xml:space="preserve"> (deep)</w:t>
      </w:r>
      <w:r>
        <w:rPr/>
        <w:t xml:space="preserve"> · emits no artifact. Fills the domain-neutral </w:t>
      </w:r>
      <w:r>
        <w:rPr>
          <w:rStyle w:val="VerbatimChar"/>
        </w:rPr>
        <w:t>Orchestrator</w:t>
      </w:r>
      <w:r>
        <w:rPr/>
        <w:t xml:space="preserve"> role (§6): cross-checks a run and proposes </w:t>
      </w:r>
      <w:r>
        <w:rPr>
          <w:b/>
          <w:bCs/>
        </w:rPr>
        <w:t>deviations</w:t>
      </w:r>
      <w:r>
        <w:rPr/>
        <w:t xml:space="preserve"> from the closed set (rerun / insert-gate / skip / request-review / flag); a human approves, the runtime applies (§6.1). The one construction-named element on the platform, itself userland.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Commercial</w:t>
      </w:r>
      <w:r>
        <w:rPr/>
        <w:t xml:space="preserve"> (supervisor persona, §1) — scoped whole-run visibility over cost/BOQ/procurement artifacts </w:t>
      </w:r>
      <w:r>
        <w:rPr>
          <w:b/>
          <w:bCs/>
        </w:rPr>
        <w:t>→ deviations</w:t>
      </w:r>
      <w:r>
        <w:rPr/>
        <w:t xml:space="preserve"> (</w:t>
      </w:r>
      <w:r>
        <w:rPr>
          <w:rStyle w:val="VerbatimChar"/>
        </w:rPr>
        <w:t>flag</w:t>
      </w:r>
      <w:r>
        <w:rPr/>
        <w:t xml:space="preserve"> / </w:t>
      </w:r>
      <w:r>
        <w:rPr>
          <w:rStyle w:val="VerbatimChar"/>
        </w:rPr>
        <w:t>request_review</w:t>
      </w:r>
      <w:r>
        <w:rPr/>
        <w:t xml:space="preserve"> / </w:t>
      </w:r>
      <w:r>
        <w:rPr>
          <w:rStyle w:val="VerbatimChar"/>
        </w:rPr>
        <w:t>insert_review_gate</w:t>
      </w:r>
      <w:r>
        <w:rPr/>
        <w:t xml:space="preserve">) · </w:t>
      </w:r>
      <w:r>
        <w:rPr>
          <w:rStyle w:val="VerbatimChar"/>
          <w:i/>
          <w:iCs/>
        </w:rPr>
        <w:t>commercial.respond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commercial.review_run</w:t>
      </w:r>
      <w:r>
        <w:rPr>
          <w:i/>
          <w:iCs/>
        </w:rPr>
        <w:t xml:space="preserve"> (deep)</w:t>
      </w:r>
      <w:r>
        <w:rPr/>
        <w:t xml:space="preserve"> · emits no artifact. Margin/cashflow/risk critic; scope and voice in §1.2.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Compliance Lead</w:t>
      </w:r>
      <w:r>
        <w:rPr/>
        <w:t xml:space="preserve"> (supervisor persona, §1) — scoped whole-run visibility over tender/spec/compliance artifacts </w:t>
      </w:r>
      <w:r>
        <w:rPr>
          <w:b/>
          <w:bCs/>
        </w:rPr>
        <w:t>→ deviations</w:t>
      </w:r>
      <w:r>
        <w:rPr/>
        <w:t xml:space="preserve"> (</w:t>
      </w:r>
      <w:r>
        <w:rPr>
          <w:rStyle w:val="VerbatimChar"/>
        </w:rPr>
        <w:t>flag</w:t>
      </w:r>
      <w:r>
        <w:rPr/>
        <w:t xml:space="preserve"> / </w:t>
      </w:r>
      <w:r>
        <w:rPr>
          <w:rStyle w:val="VerbatimChar"/>
        </w:rPr>
        <w:t>request_review</w:t>
      </w:r>
      <w:r>
        <w:rPr/>
        <w:t xml:space="preserve">) · </w:t>
      </w:r>
      <w:r>
        <w:rPr>
          <w:rStyle w:val="VerbatimChar"/>
          <w:i/>
          <w:iCs/>
        </w:rPr>
        <w:t>compliance_lead.respond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compliance_lead.review_run</w:t>
      </w:r>
      <w:r>
        <w:rPr>
          <w:i/>
          <w:iCs/>
        </w:rPr>
        <w:t xml:space="preserve"> (deep)</w:t>
      </w:r>
      <w:r>
        <w:rPr/>
        <w:t xml:space="preserve"> · emits no artifact. Submission-requirements + contractual critic; </w:t>
      </w:r>
      <w:r>
        <w:rPr>
          <w:b/>
          <w:bCs/>
        </w:rPr>
        <w:t>distinct from the Compliance worker</w:t>
      </w:r>
      <w:r>
        <w:rPr/>
        <w:t xml:space="preserve"> (</w:t>
      </w:r>
      <w:r>
        <w:rPr>
          <w:rStyle w:val="VerbatimChar"/>
        </w:rPr>
        <w:t>agent.compliance</w:t>
      </w:r>
      <w:r>
        <w:rPr/>
        <w:t xml:space="preserve">), which produces </w:t>
      </w:r>
      <w:r>
        <w:rPr>
          <w:rStyle w:val="VerbatimChar"/>
        </w:rPr>
        <w:t>compliance_item</w:t>
      </w:r>
      <w:r>
        <w:rPr/>
        <w:t>. See §1.2.</w:t>
      </w:r>
    </w:p>
    <w:p>
      <w:pPr>
        <w:pStyle w:val="Heading3"/>
        <w:rPr/>
      </w:pPr>
      <w:bookmarkStart w:id="33" w:name="a.3-wiring-rules"/>
      <w:r>
        <w:rPr/>
        <w:t>A.3 Wiring rules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Type-checked at registration.</w:t>
      </w:r>
      <w:r>
        <w:rPr/>
        <w:t xml:space="preserve"> The workflow resolver (§4.1) verifies each agent node’s </w:t>
      </w:r>
      <w:r>
        <w:rPr>
          <w:rStyle w:val="VerbatimChar"/>
        </w:rPr>
        <w:t>consumes</w:t>
      </w:r>
      <w:r>
        <w:rPr/>
        <w:t xml:space="preserve"> is reachable from upstream </w:t>
      </w:r>
      <w:r>
        <w:rPr>
          <w:rStyle w:val="VerbatimChar"/>
        </w:rPr>
        <w:t>produces</w:t>
      </w:r>
      <w:r>
        <w:rPr/>
        <w:t>; a mis-wired pack workflow fails to register, not at runtime.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Reviewable vs canonical.</w:t>
      </w:r>
      <w:r>
        <w:rPr/>
        <w:t xml:space="preserve"> Only </w:t>
      </w:r>
      <w:r>
        <w:rPr>
          <w:rStyle w:val="VerbatimChar"/>
        </w:rPr>
        <w:t>document</w:t>
      </w:r>
      <w:r>
        <w:rPr/>
        <w:t xml:space="preserve"> is non-reviewable — every derived artifact is a proposal that a human confirms (or auto-accepts above threshold, §5.6). This is the human-in-the-loop line, expressed as pack data.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No new Core surface.</w:t>
      </w:r>
      <w:r>
        <w:rPr/>
        <w:t xml:space="preserve"> Every agent above is expressible with the existing four syscalls (supervisor personas via the §6.1 context/result shape — still no fifth syscall), the existing </w:t>
      </w:r>
      <w:r>
        <w:rPr>
          <w:rStyle w:val="VerbatimChar"/>
        </w:rPr>
        <w:t>agent</w:t>
      </w:r>
      <w:r>
        <w:rPr/>
        <w:t xml:space="preserve"> columns, and the sixteen seeded artifact types. Adding the eighth workflow product later is another registry row, not a Core change — the property §D exists to guarantee.</w:t>
      </w:r>
    </w:p>
    <w:p>
      <w:pPr>
        <w:pStyle w:val="Normal"/>
        <w:rPr/>
      </w:pPr>
      <w:bookmarkStart w:id="34" w:name="appendix-a-agents"/>
      <w:bookmarkStart w:id="35" w:name="a.3-wiring-ru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appendix-b-workflows"/>
      <w:r>
        <w:rPr/>
        <w:t>Appendix B — Workflows</w:t>
      </w:r>
    </w:p>
    <w:p>
      <w:pPr>
        <w:pStyle w:val="FirstParagraph"/>
        <w:rPr/>
      </w:pPr>
      <w:r>
        <w:rPr/>
        <w:t xml:space="preserve">The seven Logix as </w:t>
      </w:r>
      <w:r>
        <w:rPr>
          <w:rStyle w:val="VerbatimChar"/>
        </w:rPr>
        <w:t>workflow</w:t>
      </w:r>
      <w:r>
        <w:rPr/>
        <w:t xml:space="preserve"> rows (§4.1) — each a </w:t>
      </w:r>
      <w:r>
        <w:rPr>
          <w:rStyle w:val="VerbatimChar"/>
        </w:rPr>
        <w:t>definition</w:t>
      </w:r>
      <w:r>
        <w:rPr/>
        <w:t xml:space="preserve"> (nodes + edges) wiring the Appendix A agents over one shared project graph (§4.5). A workflow changes no Core code; it is a registered definition. Keys are short forms of their </w:t>
      </w:r>
      <w:r>
        <w:rPr>
          <w:rStyle w:val="VerbatimChar"/>
        </w:rPr>
        <w:t>construction.</w:t>
      </w:r>
      <w:r>
        <w:rPr/>
        <w:t>-namespaced values (§D.3).</w:t>
      </w:r>
    </w:p>
    <w:p>
      <w:pPr>
        <w:pStyle w:val="Heading3"/>
        <w:rPr/>
      </w:pPr>
      <w:bookmarkStart w:id="37" w:name="X8701ccdfa71f89fe1313c3cc3f33c847a8933e0"/>
      <w:r>
        <w:rPr/>
        <w:t>B.0 Conventions &amp; the resolver over the shared graph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Node kinds</w:t>
      </w:r>
      <w:r>
        <w:rPr/>
        <w:t xml:space="preserve"> (§4.1): </w:t>
      </w:r>
      <w:r>
        <w:rPr>
          <w:rStyle w:val="VerbatimChar"/>
        </w:rPr>
        <w:t>agent</w:t>
      </w:r>
      <w:r>
        <w:rPr/>
        <w:t xml:space="preserve"> (runs an agent), </w:t>
      </w:r>
      <w:r>
        <w:rPr>
          <w:rStyle w:val="VerbatimChar"/>
        </w:rPr>
        <w:t>gate</w:t>
      </w:r>
      <w:r>
        <w:rPr/>
        <w:t xml:space="preserve"> (</w:t>
      </w:r>
      <w:r>
        <w:rPr>
          <w:rStyle w:val="VerbatimChar"/>
        </w:rPr>
        <w:t>gate_types</w:t>
      </w:r>
      <w:r>
        <w:rPr/>
        <w:t xml:space="preserve"> that must be </w:t>
      </w:r>
      <w:r>
        <w:rPr>
          <w:rStyle w:val="VerbatimChar"/>
        </w:rPr>
        <w:t>confirmed</w:t>
      </w:r>
      <w:r>
        <w:rPr/>
        <w:t xml:space="preserve"> to pass), </w:t>
      </w:r>
      <w:r>
        <w:rPr>
          <w:rStyle w:val="VerbatimChar"/>
        </w:rPr>
        <w:t>map</w:t>
      </w:r>
      <w:r>
        <w:rPr/>
        <w:t xml:space="preserve"> (</w:t>
      </w:r>
      <w:r>
        <w:rPr>
          <w:rStyle w:val="VerbatimChar"/>
        </w:rPr>
        <w:t>over</w:t>
      </w:r>
      <w:r>
        <w:rPr/>
        <w:t xml:space="preserve"> a type — fans one child per artifact; the fan-in reads all children, §4.3). Every workflow </w:t>
      </w:r>
      <w:r>
        <w:rPr>
          <w:b/>
          <w:bCs/>
        </w:rPr>
        <w:t>ends at a review gate</w:t>
      </w:r>
      <w:r>
        <w:rPr/>
        <w:t xml:space="preserve"> — the human-in-the-loop confirm that makes its outputs canonical for downstream.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Gate placement</w:t>
      </w:r>
      <w:r>
        <w:rPr/>
        <w:t xml:space="preserve"> follows §4.1: approve scope </w:t>
      </w:r>
      <w:r>
        <w:rPr>
          <w:i/>
          <w:iCs/>
        </w:rPr>
        <w:t>before</w:t>
      </w:r>
      <w:r>
        <w:rPr/>
        <w:t xml:space="preserve"> spending downstream cycles, not only at the end.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The resolver over the shared graph.</w:t>
      </w:r>
      <w:r>
        <w:rPr/>
        <w:t xml:space="preserve"> §4.1 type-checks each agent node’s </w:t>
      </w:r>
      <w:r>
        <w:rPr>
          <w:rStyle w:val="VerbatimChar"/>
        </w:rPr>
        <w:t>consumes</w:t>
      </w:r>
      <w:r>
        <w:rPr/>
        <w:t xml:space="preserve"> against producers reachable upstream — evaluated against the </w:t>
      </w:r>
      <w:r>
        <w:rPr>
          <w:b/>
          <w:bCs/>
        </w:rPr>
        <w:t>project graph the run will see</w:t>
      </w:r>
      <w:r>
        <w:rPr/>
        <w:t xml:space="preserve">, which includes artifacts from prior workflow runs (§4.5), not only nodes in this one DAG. A workflow registers iff every </w:t>
      </w:r>
      <w:r>
        <w:rPr>
          <w:rStyle w:val="VerbatimChar"/>
        </w:rPr>
        <w:t>consumes</w:t>
      </w:r>
      <w:r>
        <w:rPr/>
        <w:t xml:space="preserve"> type is producible by some confirmed source reachable at run time — an upstream node here, </w:t>
      </w:r>
      <w:r>
        <w:rPr>
          <w:b/>
          <w:bCs/>
        </w:rPr>
        <w:t>or</w:t>
      </w:r>
      <w:r>
        <w:rPr/>
        <w:t xml:space="preserve"> a type another licensed workflow produces into the shared graph. A type no licensed workflow produces is a hard registration error. This is what makes cross-workflow composition first-class: CostLogix’s </w:t>
      </w:r>
      <w:r>
        <w:rPr>
          <w:rStyle w:val="VerbatimChar"/>
        </w:rPr>
        <w:t>cost</w:t>
      </w:r>
      <w:r>
        <w:rPr/>
        <w:t xml:space="preserve"> node reads </w:t>
      </w:r>
      <w:r>
        <w:rPr>
          <w:rStyle w:val="VerbatimChar"/>
        </w:rPr>
        <w:t>boq_line</w:t>
      </w:r>
      <w:r>
        <w:rPr/>
        <w:t xml:space="preserve"> that QuantLogix produced, without QuantLogix being wired into CostLogix.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Each row also carries </w:t>
      </w:r>
      <w:r>
        <w:rPr>
          <w:rStyle w:val="VerbatimChar"/>
        </w:rPr>
        <w:t>module_key</w:t>
      </w:r>
      <w:r>
        <w:rPr/>
        <w:t xml:space="preserve"> (the Host-licensed capability, §8) and </w:t>
      </w:r>
      <w:r>
        <w:rPr>
          <w:rStyle w:val="VerbatimChar"/>
        </w:rPr>
        <w:t>entitlement_key = workflow.&lt;key&gt;</w:t>
      </w:r>
      <w:r>
        <w:rPr/>
        <w:t>.</w:t>
      </w:r>
      <w:bookmarkEnd w:id="37"/>
    </w:p>
    <w:p>
      <w:pPr>
        <w:pStyle w:val="Heading3"/>
        <w:rPr/>
      </w:pPr>
      <w:bookmarkStart w:id="38" w:name="b.1-tenderlogix-the-walking-skeleton-s"/>
      <w:r>
        <w:rPr/>
        <w:t>B.1 TenderLogix — the walking skeleton (§S)</w:t>
      </w:r>
    </w:p>
    <w:p>
      <w:pPr>
        <w:pStyle w:val="FirstParagraph"/>
        <w:rPr/>
      </w:pPr>
      <w:r>
        <w:rPr/>
        <w:t xml:space="preserve">The minimal end-to-end slice that </w:t>
      </w:r>
      <w:r>
        <w:rPr>
          <w:i/>
          <w:iCs/>
        </w:rPr>
        <w:t>defines</w:t>
      </w:r>
      <w:r>
        <w:rPr/>
        <w:t xml:space="preserve"> the ABI: one upload, two agents, two gates, a re-plan. Registered as the first workflow; production TenderLogix (B.2) splits the BOQ step out into QuantLogix.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"workflow.tenderlogix.skeleton"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 (walking skeleton)"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"agent.document"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"agent.tender"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"gate_scope"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"tender_summary"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"boq"</w:t>
      </w:r>
      <w:r>
        <w:rPr>
          <w:rStyle w:val="FunctionTok"/>
        </w:rPr>
        <w:t>,</w:t>
      </w:r>
      <w:r>
        <w:rPr>
          <w:rStyle w:val="NormalTok"/>
        </w:rPr>
        <w:t xml:space="preserve">  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"agent.boq"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"gate_boq"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"boq_line"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"gate_scope"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"gate_scope"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"boq"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"boq"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"gate_boq"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Walk: upload one tender PDF → </w:t>
      </w:r>
      <w:r>
        <w:rPr>
          <w:b/>
          <w:bCs/>
        </w:rPr>
        <w:t>Document</w:t>
      </w:r>
      <w:r>
        <w:rPr/>
        <w:t xml:space="preserve"> classifies → </w:t>
      </w:r>
      <w:r>
        <w:rPr>
          <w:b/>
          <w:bCs/>
        </w:rPr>
        <w:t>Tender</w:t>
      </w:r>
      <w:r>
        <w:rPr/>
        <w:t xml:space="preserve"> proposes a </w:t>
      </w:r>
      <w:r>
        <w:rPr>
          <w:rStyle w:val="VerbatimChar"/>
        </w:rPr>
        <w:t>tender_summary</w:t>
      </w:r>
      <w:r>
        <w:rPr/>
        <w:t xml:space="preserve"> → </w:t>
      </w:r>
      <w:r>
        <w:rPr>
          <w:b/>
          <w:bCs/>
        </w:rPr>
        <w:t>gate</w:t>
      </w:r>
      <w:r>
        <w:rPr/>
        <w:t xml:space="preserve"> (a human confirms scope) → </w:t>
      </w:r>
      <w:r>
        <w:rPr>
          <w:b/>
          <w:bCs/>
        </w:rPr>
        <w:t>BOQ</w:t>
      </w:r>
      <w:r>
        <w:rPr/>
        <w:t xml:space="preserve"> proposes 2–3 </w:t>
      </w:r>
      <w:r>
        <w:rPr>
          <w:rStyle w:val="VerbatimChar"/>
        </w:rPr>
        <w:t>boq_line</w:t>
      </w:r>
      <w:r>
        <w:rPr/>
        <w:t xml:space="preserve">s from the </w:t>
      </w:r>
      <w:r>
        <w:rPr>
          <w:i/>
          <w:iCs/>
        </w:rPr>
        <w:t>confirmed</w:t>
      </w:r>
      <w:r>
        <w:rPr/>
        <w:t xml:space="preserve"> summary → </w:t>
      </w:r>
      <w:r>
        <w:rPr>
          <w:b/>
          <w:bCs/>
        </w:rPr>
        <w:t>gate</w:t>
      </w:r>
      <w:r>
        <w:rPr/>
        <w:t xml:space="preserve">. Editing the confirmed </w:t>
      </w:r>
      <w:r>
        <w:rPr>
          <w:rStyle w:val="VerbatimChar"/>
        </w:rPr>
        <w:t>tender_summary</w:t>
      </w:r>
      <w:r>
        <w:rPr/>
        <w:t xml:space="preserve"> marks the BOQ lines </w:t>
      </w:r>
      <w:r>
        <w:rPr>
          <w:rStyle w:val="VerbatimChar"/>
        </w:rPr>
        <w:t>stale</w:t>
      </w:r>
      <w:r>
        <w:rPr/>
        <w:t xml:space="preserve"> (§2.4); re-running the BOQ step supersedes them. This exercises all four syscalls, versioning, provenance, stale-propagation, the gate pause/resume, and RLS — the whole ABI, and nothing it doesn’t need.</w:t>
      </w:r>
      <w:bookmarkEnd w:id="38"/>
    </w:p>
    <w:p>
      <w:pPr>
        <w:pStyle w:val="Heading3"/>
        <w:rPr/>
      </w:pPr>
      <w:bookmarkStart w:id="39" w:name="b.2-tenderlogix-intake"/>
      <w:r>
        <w:rPr/>
        <w:t>B.2 TenderLogix — intake</w:t>
      </w:r>
    </w:p>
    <w:p>
      <w:pPr>
        <w:pStyle w:val="FirstParagraph"/>
        <w:rPr/>
      </w:pPr>
      <w:r>
        <w:rPr/>
        <w:t xml:space="preserve">Tender analysis only. Under the bid-pursuit lifecycle (§2) the proposal / compliance / approval tail moved to </w:t>
      </w:r>
      <w:r>
        <w:rPr>
          <w:b/>
          <w:bCs/>
        </w:rPr>
        <w:t>BidAssembly</w:t>
      </w:r>
      <w:r>
        <w:rPr/>
        <w:t xml:space="preserve"> (B.12) — keeping it fused would span two lifecycle stages and re-create a monolith.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"agent.document"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"agent.tender"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"gate_scope"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"tender_summary"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"gate_scope"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Ingest → </w:t>
      </w:r>
      <w:r>
        <w:rPr>
          <w:b/>
          <w:bCs/>
        </w:rPr>
        <w:t>Tender</w:t>
      </w:r>
      <w:r>
        <w:rPr/>
        <w:t xml:space="preserve"> → gate. Confirming </w:t>
      </w:r>
      <w:r>
        <w:rPr>
          <w:rStyle w:val="VerbatimChar"/>
        </w:rPr>
        <w:t>tender_summary</w:t>
      </w:r>
      <w:r>
        <w:rPr/>
        <w:t xml:space="preserve"> advances the pursuit </w:t>
      </w:r>
      <w:r>
        <w:rPr>
          <w:rStyle w:val="VerbatimChar"/>
        </w:rPr>
        <w:t>received → qualifying</w:t>
      </w:r>
      <w:r>
        <w:rPr/>
        <w:t xml:space="preserve"> (§2). </w:t>
      </w:r>
      <w:r>
        <w:rPr>
          <w:rStyle w:val="VerbatimChar"/>
        </w:rPr>
        <w:t>agent.rfi</w:t>
      </w:r>
      <w:r>
        <w:rPr/>
        <w:t xml:space="preserve"> runs on-demand across the pursuit (not a fixed node), emitting clarification </w:t>
      </w:r>
      <w:r>
        <w:rPr>
          <w:rStyle w:val="VerbatimChar"/>
        </w:rPr>
        <w:t>rfi</w:t>
      </w:r>
      <w:r>
        <w:rPr/>
        <w:t>s.</w:t>
      </w:r>
      <w:bookmarkEnd w:id="39"/>
    </w:p>
    <w:p>
      <w:pPr>
        <w:pStyle w:val="Heading3"/>
        <w:rPr/>
      </w:pPr>
      <w:bookmarkStart w:id="40" w:name="b.3-doclogix"/>
      <w:r>
        <w:rPr/>
        <w:t>B.3 DocLogix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"workflow.doclogix"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"agent.document"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"agent.specification"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"spec_clause"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Ingest specification documents → </w:t>
      </w:r>
      <w:r>
        <w:rPr>
          <w:b/>
          <w:bCs/>
        </w:rPr>
        <w:t>Specification</w:t>
      </w:r>
      <w:r>
        <w:rPr/>
        <w:t xml:space="preserve"> extracts normative </w:t>
      </w:r>
      <w:r>
        <w:rPr>
          <w:rStyle w:val="VerbatimChar"/>
        </w:rPr>
        <w:t>spec_clause</w:t>
      </w:r>
      <w:r>
        <w:rPr/>
        <w:t>s → gate.</w:t>
      </w:r>
      <w:bookmarkEnd w:id="40"/>
    </w:p>
    <w:p>
      <w:pPr>
        <w:pStyle w:val="Heading3"/>
        <w:rPr/>
      </w:pPr>
      <w:bookmarkStart w:id="41" w:name="b.4-drawlogix"/>
      <w:r>
        <w:rPr/>
        <w:t>B.4 DrawLogix</w:t>
      </w:r>
    </w:p>
    <w:p>
      <w:pPr>
        <w:pStyle w:val="FirstParagraph"/>
        <w:rPr/>
      </w:pPr>
      <w:r>
        <w:rPr/>
        <w:t xml:space="preserve">Index the sheet set, then take off quantities </w:t>
      </w:r>
      <w:r>
        <w:rPr>
          <w:b/>
          <w:bCs/>
        </w:rPr>
        <w:t>per sheet</w:t>
      </w:r>
      <w:r>
        <w:rPr/>
        <w:t xml:space="preserve"> via a </w:t>
      </w:r>
      <w:r>
        <w:rPr>
          <w:rStyle w:val="VerbatimChar"/>
        </w:rPr>
        <w:t>map</w:t>
      </w:r>
      <w:r>
        <w:rPr/>
        <w:t xml:space="preserve"> (§4.3).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"workflow.drawlogix"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"DrawLogix"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"drawlogix"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"agent.document"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"index"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"agent.drawing"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"gate_idx"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"drawing_index"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"map_sheets"</w:t>
      </w:r>
      <w:r>
        <w:rPr>
          <w:rStyle w:val="FunctionTok"/>
        </w:rPr>
        <w:t>,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"map"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"over"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"drawing_index"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"takeoff"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"agent.drawing"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"gate_meas"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"drawing_measurement"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"index"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"index"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"gate_idx"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"gate_idx"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"map_sheets"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"map_sheets"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"takeoff"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"takeoff"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"gate_meas"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Drawing</w:t>
      </w:r>
      <w:r>
        <w:rPr/>
        <w:t xml:space="preserve"> (index job) catalogues sheets → </w:t>
      </w:r>
      <w:r>
        <w:rPr>
          <w:rStyle w:val="VerbatimChar"/>
        </w:rPr>
        <w:t>drawing_index</w:t>
      </w:r>
      <w:r>
        <w:rPr/>
        <w:t xml:space="preserve">; confirming it fans </w:t>
      </w:r>
      <w:r>
        <w:rPr>
          <w:rStyle w:val="VerbatimChar"/>
        </w:rPr>
        <w:t>map_sheets</w:t>
      </w:r>
      <w:r>
        <w:rPr/>
        <w:t xml:space="preserve"> into one </w:t>
      </w:r>
      <w:r>
        <w:rPr>
          <w:rStyle w:val="VerbatimChar"/>
        </w:rPr>
        <w:t>takeoff</w:t>
      </w:r>
      <w:r>
        <w:rPr/>
        <w:t xml:space="preserve"> child per sheet (each measuring off </w:t>
      </w:r>
      <w:r>
        <w:rPr>
          <w:rStyle w:val="VerbatimChar"/>
        </w:rPr>
        <w:t>file_page.raster_key</w:t>
      </w:r>
      <w:r>
        <w:rPr/>
        <w:t xml:space="preserve">, §7.1) → </w:t>
      </w:r>
      <w:r>
        <w:rPr>
          <w:rStyle w:val="VerbatimChar"/>
        </w:rPr>
        <w:t>drawing_measurement</w:t>
      </w:r>
      <w:r>
        <w:rPr/>
        <w:t xml:space="preserve">; </w:t>
      </w:r>
      <w:r>
        <w:rPr>
          <w:rStyle w:val="VerbatimChar"/>
        </w:rPr>
        <w:t>gate_meas</w:t>
      </w:r>
      <w:r>
        <w:rPr/>
        <w:t xml:space="preserve"> fans in.</w:t>
      </w:r>
      <w:bookmarkEnd w:id="41"/>
    </w:p>
    <w:p>
      <w:pPr>
        <w:pStyle w:val="Heading3"/>
        <w:rPr/>
      </w:pPr>
      <w:bookmarkStart w:id="42" w:name="b.5-quantlogix"/>
      <w:r>
        <w:rPr/>
        <w:t>B.5 QuantLogix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"workflow.quantlogix"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"QuantLogix"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"quantlogix"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"boq"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"agent.boq"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"boq_line"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"boq"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Prerequisites (shared graph):</w:t>
      </w:r>
      <w:r>
        <w:rPr/>
        <w:t xml:space="preserve"> confirmed </w:t>
      </w:r>
      <w:r>
        <w:rPr>
          <w:rStyle w:val="VerbatimChar"/>
        </w:rPr>
        <w:t>drawing_measurement</w:t>
      </w:r>
      <w:r>
        <w:rPr/>
        <w:t xml:space="preserve"> (DrawLogix) + </w:t>
      </w:r>
      <w:r>
        <w:rPr>
          <w:rStyle w:val="VerbatimChar"/>
        </w:rPr>
        <w:t>spec_clause</w:t>
      </w:r>
      <w:r>
        <w:rPr/>
        <w:t xml:space="preserve"> (DocLogix), optionally </w:t>
      </w:r>
      <w:r>
        <w:rPr>
          <w:rStyle w:val="VerbatimChar"/>
        </w:rPr>
        <w:t>tender_summary</w:t>
      </w:r>
      <w:r>
        <w:rPr/>
        <w:t xml:space="preserve">. </w:t>
      </w:r>
      <w:r>
        <w:rPr>
          <w:b/>
          <w:bCs/>
        </w:rPr>
        <w:t>BOQ</w:t>
      </w:r>
      <w:r>
        <w:rPr/>
        <w:t xml:space="preserve"> derives </w:t>
      </w:r>
      <w:r>
        <w:rPr>
          <w:rStyle w:val="VerbatimChar"/>
        </w:rPr>
        <w:t>boq_line</w:t>
      </w:r>
      <w:r>
        <w:rPr/>
        <w:t>s → gate.</w:t>
      </w:r>
      <w:bookmarkEnd w:id="42"/>
    </w:p>
    <w:p>
      <w:pPr>
        <w:pStyle w:val="Heading3"/>
        <w:rPr/>
      </w:pPr>
      <w:bookmarkStart w:id="43" w:name="b.6-costlogix"/>
      <w:r>
        <w:rPr/>
        <w:t>B.6 CostLogix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"workflow.costlogix"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"CostLogix"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"costlogix"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"agent.cost"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"cost_line"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Prerequisites:</w:t>
      </w:r>
      <w:r>
        <w:rPr/>
        <w:t xml:space="preserve"> confirmed </w:t>
      </w:r>
      <w:r>
        <w:rPr>
          <w:rStyle w:val="VerbatimChar"/>
        </w:rPr>
        <w:t>boq_line</w:t>
      </w:r>
      <w:r>
        <w:rPr/>
        <w:t xml:space="preserve"> (QuantLogix) + Library </w:t>
      </w:r>
      <w:r>
        <w:rPr>
          <w:rStyle w:val="VerbatimChar"/>
        </w:rPr>
        <w:t>rate_book</w:t>
      </w:r>
      <w:r>
        <w:rPr/>
        <w:t xml:space="preserve">. </w:t>
      </w:r>
      <w:r>
        <w:rPr>
          <w:b/>
          <w:bCs/>
        </w:rPr>
        <w:t>Cost</w:t>
      </w:r>
      <w:r>
        <w:rPr/>
        <w:t xml:space="preserve"> prices each line → </w:t>
      </w:r>
      <w:r>
        <w:rPr>
          <w:rStyle w:val="VerbatimChar"/>
        </w:rPr>
        <w:t>cost_line</w:t>
      </w:r>
      <w:r>
        <w:rPr/>
        <w:t>; provenance links line + applied rate, so a rate edit re-plans downstream (§2.4).</w:t>
      </w:r>
      <w:bookmarkEnd w:id="43"/>
    </w:p>
    <w:p>
      <w:pPr>
        <w:pStyle w:val="Heading3"/>
        <w:rPr/>
      </w:pPr>
      <w:bookmarkStart w:id="44" w:name="b.7-schedulelogix"/>
      <w:r>
        <w:rPr/>
        <w:t>B.7 ScheduleLogix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"workflow.schedulelogix"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"ScheduleLogix"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"schedulelogix"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"schedule"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"agent.schedule"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"schedule_activity"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"schedule"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Prerequisites:</w:t>
      </w:r>
      <w:r>
        <w:rPr/>
        <w:t xml:space="preserve"> confirmed </w:t>
      </w:r>
      <w:r>
        <w:rPr>
          <w:rStyle w:val="VerbatimChar"/>
        </w:rPr>
        <w:t>boq_line</w:t>
      </w:r>
      <w:r>
        <w:rPr/>
        <w:t xml:space="preserve"> + </w:t>
      </w:r>
      <w:r>
        <w:rPr>
          <w:rStyle w:val="VerbatimChar"/>
        </w:rPr>
        <w:t>cost_line</w:t>
      </w:r>
      <w:r>
        <w:rPr/>
        <w:t xml:space="preserve">. </w:t>
      </w:r>
      <w:r>
        <w:rPr>
          <w:b/>
          <w:bCs/>
        </w:rPr>
        <w:t>Schedule</w:t>
      </w:r>
      <w:r>
        <w:rPr/>
        <w:t xml:space="preserve"> sequences </w:t>
      </w:r>
      <w:r>
        <w:rPr>
          <w:rStyle w:val="VerbatimChar"/>
        </w:rPr>
        <w:t>schedule_activity</w:t>
      </w:r>
      <w:r>
        <w:rPr/>
        <w:t>s → gate.</w:t>
      </w:r>
      <w:bookmarkEnd w:id="44"/>
    </w:p>
    <w:p>
      <w:pPr>
        <w:pStyle w:val="Heading3"/>
        <w:rPr/>
      </w:pPr>
      <w:bookmarkStart w:id="45" w:name="b.8-procurelogix"/>
      <w:r>
        <w:rPr/>
        <w:t>B.8 ProcureLogix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"workflow.procurelogix"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"agent.procurement"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"procurement_package"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Prerequisites:</w:t>
      </w:r>
      <w:r>
        <w:rPr/>
        <w:t xml:space="preserve"> confirmed </w:t>
      </w:r>
      <w:r>
        <w:rPr>
          <w:rStyle w:val="VerbatimChar"/>
        </w:rPr>
        <w:t>boq_line</w:t>
      </w:r>
      <w:r>
        <w:rPr/>
        <w:t xml:space="preserve"> + </w:t>
      </w:r>
      <w:r>
        <w:rPr>
          <w:rStyle w:val="VerbatimChar"/>
        </w:rPr>
        <w:t>cost_line</w:t>
      </w:r>
      <w:r>
        <w:rPr/>
        <w:t xml:space="preserve">. </w:t>
      </w:r>
      <w:r>
        <w:rPr>
          <w:b/>
          <w:bCs/>
        </w:rPr>
        <w:t>Procurement</w:t>
      </w:r>
      <w:r>
        <w:rPr/>
        <w:t xml:space="preserve"> groups scope into </w:t>
      </w:r>
      <w:r>
        <w:rPr>
          <w:rStyle w:val="VerbatimChar"/>
        </w:rPr>
        <w:t>procurement_package</w:t>
      </w:r>
      <w:r>
        <w:rPr/>
        <w:t>s by trade/lead-time → gate.</w:t>
      </w:r>
      <w:bookmarkEnd w:id="45"/>
    </w:p>
    <w:p>
      <w:pPr>
        <w:pStyle w:val="Heading3"/>
        <w:rPr/>
      </w:pPr>
      <w:bookmarkStart w:id="46" w:name="b.9-the-chain-as-composition"/>
      <w:r>
        <w:rPr/>
        <w:t>B.9 The chain as composition</w:t>
      </w:r>
    </w:p>
    <w:p>
      <w:pPr>
        <w:pStyle w:val="FirstParagraph"/>
        <w:rPr/>
      </w:pPr>
      <w:r>
        <w:rPr/>
        <w:t xml:space="preserve">No workflow references another; they compose only through the shared graph (§4.5). A typical pursuit accretes state in this order — DrawLogix + DocLogix (independent) → QuantLogix → CostLogix → { ScheduleLogix, ProcureLogix } → TenderLogix (assembly) — but a project runs whichever it is licensed for, in any order the graph allows. The persona scopes (§1) map straight onto this: </w:t>
      </w:r>
      <w:r>
        <w:rPr>
          <w:b/>
          <w:bCs/>
        </w:rPr>
        <w:t>Commercial</w:t>
      </w:r>
      <w:r>
        <w:rPr/>
        <w:t xml:space="preserve"> watches the QuantLogix→CostLogix→ProcureLogix artifacts; </w:t>
      </w:r>
      <w:r>
        <w:rPr>
          <w:b/>
          <w:bCs/>
        </w:rPr>
        <w:t>Compliance Lead</w:t>
      </w:r>
      <w:r>
        <w:rPr/>
        <w:t xml:space="preserve"> watches TenderLogix + DocLogix; </w:t>
      </w:r>
      <w:r>
        <w:rPr>
          <w:b/>
          <w:bCs/>
        </w:rPr>
        <w:t>Construction Copilot</w:t>
      </w:r>
      <w:r>
        <w:rPr/>
        <w:t xml:space="preserve"> spans all.</w:t>
      </w:r>
    </w:p>
    <w:p>
      <w:pPr>
        <w:pStyle w:val="Normal"/>
        <w:rPr/>
      </w:pPr>
      <w:bookmarkStart w:id="47" w:name="b.9-the-chain-as-composi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3"/>
        <w:rPr/>
      </w:pPr>
      <w:bookmarkStart w:id="48" w:name="X5612a94f7d55fd5d8fe489e5b9cfe3a68dad6e2"/>
      <w:r>
        <w:rPr/>
        <w:t xml:space="preserve">B.10 BidQualification </w:t>
      </w:r>
      <w:r>
        <w:rPr>
          <w:i/>
          <w:iCs/>
        </w:rPr>
        <w:t>(lifecycle: qualifying)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"workflow.bidqualification"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"BidQualification"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"risk_scan"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"agent.risk"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"qualify"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"agent.bid_qualification"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"bid_decision"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"risk_scan"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"qualify"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"qualify"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"gate"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Prereq:</w:t>
      </w:r>
      <w:r>
        <w:rPr/>
        <w:t xml:space="preserve"> confirmed </w:t>
      </w:r>
      <w:r>
        <w:rPr>
          <w:rStyle w:val="VerbatimChar"/>
        </w:rPr>
        <w:t>tender_summary</w:t>
      </w:r>
      <w:r>
        <w:rPr/>
        <w:t xml:space="preserve">. A fast </w:t>
      </w:r>
      <w:r>
        <w:rPr>
          <w:b/>
          <w:bCs/>
        </w:rPr>
        <w:t>Risk</w:t>
      </w:r>
      <w:r>
        <w:rPr/>
        <w:t xml:space="preserve"> scan feeds </w:t>
      </w:r>
      <w:r>
        <w:rPr>
          <w:b/>
          <w:bCs/>
        </w:rPr>
        <w:t>Bid Qualification</w:t>
      </w:r>
      <w:r>
        <w:rPr/>
        <w:t xml:space="preserve"> → </w:t>
      </w:r>
      <w:r>
        <w:rPr>
          <w:rStyle w:val="VerbatimChar"/>
        </w:rPr>
        <w:t>bid_decision</w:t>
      </w:r>
      <w:r>
        <w:rPr/>
        <w:t xml:space="preserve">; confirming it advances </w:t>
      </w:r>
      <w:r>
        <w:rPr>
          <w:rStyle w:val="VerbatimChar"/>
        </w:rPr>
        <w:t>qualifying → bidding</w:t>
      </w:r>
      <w:r>
        <w:rPr/>
        <w:t xml:space="preserve"> (go) or </w:t>
      </w:r>
      <w:r>
        <w:rPr>
          <w:rStyle w:val="VerbatimChar"/>
        </w:rPr>
        <w:t>→ no_bid</w:t>
      </w:r>
      <w:r>
        <w:rPr/>
        <w:t xml:space="preserve"> (§2).</w:t>
      </w:r>
      <w:bookmarkEnd w:id="48"/>
    </w:p>
    <w:p>
      <w:pPr>
        <w:pStyle w:val="Heading3"/>
        <w:rPr/>
      </w:pPr>
      <w:bookmarkStart w:id="49" w:name="b.11-riskreview-lifecycle-bidding"/>
      <w:r>
        <w:rPr/>
        <w:t xml:space="preserve">B.11 RiskReview </w:t>
      </w:r>
      <w:r>
        <w:rPr>
          <w:i/>
          <w:iCs/>
        </w:rPr>
        <w:t>(lifecycle: bidding)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"workflow.riskreview"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"RiskReview"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"agent.risk"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"risk"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"risk"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"gate"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Prereq:</w:t>
      </w:r>
      <w:r>
        <w:rPr/>
        <w:t xml:space="preserve"> the estimate artifacts. The full </w:t>
      </w:r>
      <w:r>
        <w:rPr>
          <w:b/>
          <w:bCs/>
        </w:rPr>
        <w:t>Risk</w:t>
      </w:r>
      <w:r>
        <w:rPr/>
        <w:t xml:space="preserve"> register across scope + estimate — the surface </w:t>
      </w:r>
      <w:r>
        <w:rPr>
          <w:b/>
          <w:bCs/>
        </w:rPr>
        <w:t>Commercial</w:t>
      </w:r>
      <w:r>
        <w:rPr/>
        <w:t xml:space="preserve"> watches.</w:t>
      </w:r>
      <w:bookmarkEnd w:id="49"/>
    </w:p>
    <w:p>
      <w:pPr>
        <w:pStyle w:val="Heading3"/>
        <w:rPr/>
      </w:pPr>
      <w:bookmarkStart w:id="50" w:name="X1d31361e549ef35866c1e2c18e009431cf5044a"/>
      <w:r>
        <w:rPr/>
        <w:t xml:space="preserve">B.12 BidAssembly </w:t>
      </w:r>
      <w:r>
        <w:rPr>
          <w:i/>
          <w:iCs/>
        </w:rPr>
        <w:t>(lifecycle: bidding → approving)</w:t>
      </w:r>
    </w:p>
    <w:p>
      <w:pPr>
        <w:pStyle w:val="FirstParagraph"/>
        <w:rPr/>
      </w:pPr>
      <w:r>
        <w:rPr/>
        <w:t>The old TenderLogix tail, now its own workflow.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"workflow.bidassembly"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"BidAssembly"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"proposal"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"agent.proposal"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"compliance"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"agent.compliance"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"approval"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"agent.approval_prep"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"proposal_doc"</w:t>
      </w:r>
      <w:r>
        <w:rPr>
          <w:rStyle w:val="OtherTok"/>
        </w:rPr>
        <w:t>,</w:t>
      </w:r>
      <w:r>
        <w:rPr>
          <w:rStyle w:val="StringTok"/>
        </w:rPr>
        <w:t>"compliance_item"</w:t>
      </w:r>
      <w:r>
        <w:rPr>
          <w:rStyle w:val="OtherTok"/>
        </w:rPr>
        <w:t>,</w:t>
      </w:r>
      <w:r>
        <w:rPr>
          <w:rStyle w:val="StringTok"/>
        </w:rPr>
        <w:t>"bid_approval"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"proposal"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"compliance"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"compliance"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"approval"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"approval"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"gate"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Proposal</w:t>
      </w:r>
      <w:r>
        <w:rPr/>
        <w:t xml:space="preserve"> assembles the bid from the confirmed graph → </w:t>
      </w:r>
      <w:r>
        <w:rPr>
          <w:b/>
          <w:bCs/>
        </w:rPr>
        <w:t>Compliance</w:t>
      </w:r>
      <w:r>
        <w:rPr/>
        <w:t xml:space="preserve"> checks coverage of the assembled bid → </w:t>
      </w:r>
      <w:r>
        <w:rPr>
          <w:b/>
          <w:bCs/>
        </w:rPr>
        <w:t>Approval Prep</w:t>
      </w:r>
      <w:r>
        <w:rPr/>
        <w:t xml:space="preserve"> builds the </w:t>
      </w:r>
      <w:r>
        <w:rPr>
          <w:rStyle w:val="VerbatimChar"/>
        </w:rPr>
        <w:t>bid_approval</w:t>
      </w:r>
      <w:r>
        <w:rPr/>
        <w:t xml:space="preserve"> summary. Confirming </w:t>
      </w:r>
      <w:r>
        <w:rPr>
          <w:rStyle w:val="VerbatimChar"/>
        </w:rPr>
        <w:t>proposal_doc</w:t>
      </w:r>
      <w:r>
        <w:rPr/>
        <w:t xml:space="preserve"> advances </w:t>
      </w:r>
      <w:r>
        <w:rPr>
          <w:rStyle w:val="VerbatimChar"/>
        </w:rPr>
        <w:t>bidding → approving</w:t>
      </w:r>
      <w:r>
        <w:rPr/>
        <w:t xml:space="preserve">; confirming </w:t>
      </w:r>
      <w:r>
        <w:rPr>
          <w:rStyle w:val="VerbatimChar"/>
        </w:rPr>
        <w:t>bid_approval</w:t>
      </w:r>
      <w:r>
        <w:rPr/>
        <w:t xml:space="preserve"> with </w:t>
      </w:r>
      <w:r>
        <w:rPr>
          <w:rStyle w:val="VerbatimChar"/>
          <w:b/>
          <w:bCs/>
        </w:rPr>
        <w:t>bid.approve</w:t>
      </w:r>
      <w:r>
        <w:rPr/>
        <w:t xml:space="preserve"> advances </w:t>
      </w:r>
      <w:r>
        <w:rPr>
          <w:rStyle w:val="VerbatimChar"/>
        </w:rPr>
        <w:t>approving → submitted</w:t>
      </w:r>
      <w:r>
        <w:rPr/>
        <w:t xml:space="preserve"> (§2). The </w:t>
      </w:r>
      <w:r>
        <w:rPr>
          <w:b/>
          <w:bCs/>
        </w:rPr>
        <w:t>Compliance Lead</w:t>
      </w:r>
      <w:r>
        <w:rPr/>
        <w:t xml:space="preserve"> persona reviews coverage at this gate.</w:t>
      </w:r>
      <w:bookmarkEnd w:id="50"/>
    </w:p>
    <w:p>
      <w:pPr>
        <w:pStyle w:val="Heading3"/>
        <w:rPr/>
      </w:pPr>
      <w:bookmarkStart w:id="51" w:name="Xe6892dace1ba123737f7a76b2324e088abb3f28"/>
      <w:r>
        <w:rPr/>
        <w:t xml:space="preserve">B.13 ClarificationLoop </w:t>
      </w:r>
      <w:r>
        <w:rPr>
          <w:i/>
          <w:iCs/>
        </w:rPr>
        <w:t>(lifecycle: clarifying — event-driven)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"workflow.clarificationloop"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"ClarificationLoop"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"module_key"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"tenderlogix"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"agent.clarification"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"gate"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"gate_types"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"client_query"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StringTok"/>
        </w:rPr>
        <w:t>"draft"</w:t>
      </w:r>
      <w:r>
        <w:rPr>
          <w:rStyle w:val="FunctionTok"/>
        </w:rPr>
        <w:t>,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StringTok"/>
        </w:rPr>
        <w:t>"gate"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Not one long run</w:t>
      </w:r>
      <w:r>
        <w:rPr/>
        <w:t xml:space="preserve"> (§2.3): each inbound </w:t>
      </w:r>
      <w:r>
        <w:rPr>
          <w:rStyle w:val="VerbatimChar"/>
        </w:rPr>
        <w:t>client_query</w:t>
      </w:r>
      <w:r>
        <w:rPr/>
        <w:t xml:space="preserve"> spawns a fresh short run (</w:t>
      </w:r>
      <w:r>
        <w:rPr>
          <w:rStyle w:val="VerbatimChar"/>
        </w:rPr>
        <w:t>draft → gate</w:t>
      </w:r>
      <w:r>
        <w:rPr/>
        <w:t xml:space="preserve">) producing the confirmed outbound answer. An </w:t>
      </w:r>
      <w:r>
        <w:rPr>
          <w:rStyle w:val="VerbatimChar"/>
        </w:rPr>
        <w:t>is_addendum</w:t>
      </w:r>
      <w:r>
        <w:rPr/>
        <w:t xml:space="preserve"> inbound additionally marks referenced scope </w:t>
      </w:r>
      <w:r>
        <w:rPr>
          <w:rStyle w:val="VerbatimChar"/>
        </w:rPr>
        <w:t>stale</w:t>
      </w:r>
      <w:r>
        <w:rPr/>
        <w:t xml:space="preserve"> → re-estimate → re-approve.</w:t>
      </w:r>
    </w:p>
    <w:p>
      <w:pPr>
        <w:pStyle w:val="Normal"/>
        <w:rPr/>
      </w:pPr>
      <w:bookmarkStart w:id="52" w:name="appendix-b-workflows"/>
      <w:bookmarkStart w:id="53" w:name="Xe6892dace1ba123737f7a76b2324e088abb3f2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  <w:bookmarkEnd w:id="53"/>
    </w:p>
    <w:p>
      <w:pPr>
        <w:pStyle w:val="Heading2"/>
        <w:rPr/>
      </w:pPr>
      <w:bookmarkStart w:id="54" w:name="Xca53b1ae7bc76155ca57a8f6f11f0fde202f220"/>
      <w:r>
        <w:rPr/>
        <w:t>Appendix C — Artifact types, ER reconciliation &amp; Host map</w:t>
      </w:r>
    </w:p>
    <w:p>
      <w:pPr>
        <w:pStyle w:val="FirstParagraph"/>
        <w:rPr/>
      </w:pPr>
      <w:r>
        <w:rPr/>
        <w:t xml:space="preserve">The twelve construction artifact types: their </w:t>
      </w:r>
      <w:r>
        <w:rPr>
          <w:rStyle w:val="VerbatimChar"/>
        </w:rPr>
        <w:t>payload_schema</w:t>
      </w:r>
      <w:r>
        <w:rPr/>
        <w:t xml:space="preserve">s (§2.1), how they reconcile against Core’s fixed </w:t>
      </w:r>
      <w:r>
        <w:rPr>
          <w:rStyle w:val="VerbatimChar"/>
        </w:rPr>
        <w:t>artifact</w:t>
      </w:r>
      <w:r>
        <w:rPr/>
        <w:t xml:space="preserve"> model, and the workflow↔</w:t>
      </w:r>
      <w:r>
        <w:rPr>
          <w:rStyle w:val="VerbatimChar"/>
        </w:rPr>
        <w:t>module_key</w:t>
      </w:r>
      <w:r>
        <w:rPr/>
        <w:t xml:space="preserve"> map the Host licenses against. Like everything in this deck, it is data on Core’s generic tables — </w:t>
      </w:r>
      <w:r>
        <w:rPr>
          <w:b/>
          <w:bCs/>
        </w:rPr>
        <w:t>no new table</w:t>
      </w:r>
      <w:r>
        <w:rPr/>
        <w:t>.</w:t>
      </w:r>
    </w:p>
    <w:p>
      <w:pPr>
        <w:pStyle w:val="Heading3"/>
        <w:rPr/>
      </w:pPr>
      <w:r>
        <w:rPr/>
        <w:t>C.1 The type registry (seed)</w:t>
      </w:r>
    </w:p>
    <w:p>
      <w:pPr>
        <w:pStyle w:val="FirstParagraph"/>
        <w:rPr/>
      </w:pPr>
      <w:r>
        <w:rPr/>
        <w:t xml:space="preserve">Each row seeds </w:t>
      </w:r>
      <w:r>
        <w:rPr>
          <w:rStyle w:val="VerbatimChar"/>
        </w:rPr>
        <w:t>artifact_type</w:t>
      </w:r>
      <w:r>
        <w:rPr/>
        <w:t xml:space="preserve"> (§2.1). </w:t>
      </w:r>
      <w:r>
        <w:rPr>
          <w:rStyle w:val="VerbatimChar"/>
        </w:rPr>
        <w:t>is_reviewable = false</w:t>
      </w:r>
      <w:r>
        <w:rPr/>
        <w:t xml:space="preserve"> means the agent’s output is canonical on emit (skips the review queue); everything else is a proposal a human confirms. </w:t>
      </w:r>
      <w:r>
        <w:rPr>
          <w:b/>
          <w:bCs/>
        </w:rPr>
        <w:t>Derives-from</w:t>
      </w:r>
      <w:r>
        <w:rPr/>
        <w:t xml:space="preserve"> is the provenance (§2.3) — and, as C.3 shows, it </w:t>
      </w:r>
      <w:r>
        <w:rPr>
          <w:i/>
          <w:iCs/>
        </w:rPr>
        <w:t>is</w:t>
      </w:r>
      <w:r>
        <w:rPr/>
        <w:t xml:space="preserve"> the domain’s ER.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754"/>
        <w:gridCol w:w="2340"/>
        <w:gridCol w:w="1755"/>
        <w:gridCol w:w="1755"/>
        <w:gridCol w:w="1756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type_key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Reviewable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Producer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Derives from (provenance)</w:t>
            </w:r>
          </w:p>
        </w:tc>
        <w:tc>
          <w:tcPr>
            <w:tcW w:w="17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payload fields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(a </w:t>
            </w:r>
            <w:r>
              <w:rPr>
                <w:rStyle w:val="VerbatimChar"/>
                <w:rFonts w:eastAsia="Cambria" w:cs=""/>
                <w:i/>
                <w:iCs/>
                <w:kern w:val="0"/>
                <w:szCs w:val="24"/>
                <w:lang w:val="en-US" w:eastAsia="en-US" w:bidi="ar-SA"/>
              </w:rPr>
              <w:t>file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file_id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doc_type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page_range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Tender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submission_deadline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submission_format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mandatory_requirements[]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Specification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clause_ref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standards[]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drawing_index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Drawing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sheet_no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title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discipline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drawing_measurement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Drawing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drawing_index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item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quantity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BOQ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drawing_measurement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quantity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Library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rate_book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rate_minor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amount_minor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currency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schedule_activity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activity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duration_days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predecessors[]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procurement_package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package_name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boq_codes[]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rfi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RFI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drawing_measurement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question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severity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compliance_item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Compliance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spec_clause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requirement_ref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Proposal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boq_line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schedule_activity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procurement_package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title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sections[]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total_amount_minor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bid_decision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 Qualification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risk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decision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rationale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signals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risk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 + estimate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likelihood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impact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bid_approval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Prep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proposal_doc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cost_line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risk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compliance_item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total_amount_minor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margin_pct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approved_by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client_query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Clarification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(inbound)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graph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direction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is_addendum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standard_violation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Compliance / Risk (validate, §3)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(a confirmed artifact + a mandatory rule)</w:t>
            </w:r>
          </w:p>
        </w:tc>
        <w:tc>
          <w:tcPr>
            <w:tcW w:w="175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rule_id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expected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observed</w:t>
            </w:r>
            <w:bookmarkStart w:id="55" w:name="c.1-the-type-registry-seed"/>
            <w:bookmarkEnd w:id="55"/>
          </w:p>
        </w:tc>
      </w:tr>
    </w:tbl>
    <w:p>
      <w:pPr>
        <w:pStyle w:val="Heading3"/>
        <w:rPr/>
      </w:pPr>
      <w:r>
        <w:rPr/>
        <w:t>C.2 Payload schemas</w:t>
      </w:r>
    </w:p>
    <w:p>
      <w:pPr>
        <w:pStyle w:val="FirstParagraph"/>
        <w:rPr/>
      </w:pPr>
      <w:r>
        <w:rPr/>
        <w:t>Each is the JSON Schema (</w:t>
      </w:r>
      <w:r>
        <w:rPr>
          <w:rStyle w:val="VerbatimChar"/>
        </w:rPr>
        <w:t>payload_schema</w:t>
      </w:r>
      <w:r>
        <w:rPr/>
        <w:t xml:space="preserve">) Core validates a payload against on </w:t>
      </w:r>
      <w:r>
        <w:rPr>
          <w:rStyle w:val="VerbatimChar"/>
        </w:rPr>
        <w:t>emitArtifact</w:t>
      </w:r>
      <w:r>
        <w:rPr/>
        <w:t xml:space="preserve"> (§5.1). Money is </w:t>
      </w:r>
      <w:r>
        <w:rPr>
          <w:b/>
          <w:bCs/>
        </w:rPr>
        <w:t>integer minor units</w:t>
      </w:r>
      <w:r>
        <w:rPr/>
        <w:t xml:space="preserve"> (§X); inter-artifact references in a payload are soft (</w:t>
      </w:r>
      <w:r>
        <w:rPr>
          <w:rStyle w:val="VerbatimChar"/>
        </w:rPr>
        <w:t>file_id</w:t>
      </w:r>
      <w:r>
        <w:rPr/>
        <w:t xml:space="preserve">, </w:t>
      </w:r>
      <w:r>
        <w:rPr>
          <w:rStyle w:val="VerbatimChar"/>
        </w:rPr>
        <w:t>evidence_artifact_ids</w:t>
      </w:r>
      <w:r>
        <w:rPr/>
        <w:t xml:space="preserve">) — Core treats the payload as opaque </w:t>
      </w:r>
      <w:r>
        <w:rPr>
          <w:rStyle w:val="VerbatimChar"/>
        </w:rPr>
        <w:t>jsonb</w:t>
      </w:r>
      <w:r>
        <w:rPr/>
        <w:t>, the pack owns its shape.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"file_id"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"doc_type"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"page_range"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"file_id"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"doc_type"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"drawing"</w:t>
      </w:r>
      <w:r>
        <w:rPr>
          <w:rStyle w:val="OtherTok"/>
        </w:rPr>
        <w:t>,</w:t>
      </w:r>
      <w:r>
        <w:rPr>
          <w:rStyle w:val="StringTok"/>
        </w:rPr>
        <w:t>"specification"</w:t>
      </w:r>
      <w:r>
        <w:rPr>
          <w:rStyle w:val="OtherTok"/>
        </w:rPr>
        <w:t>,</w:t>
      </w:r>
      <w:r>
        <w:rPr>
          <w:rStyle w:val="StringTok"/>
        </w:rPr>
        <w:t>"tender_letter"</w:t>
      </w:r>
      <w:r>
        <w:rPr>
          <w:rStyle w:val="OtherTok"/>
        </w:rPr>
        <w:t>,</w:t>
      </w:r>
      <w:r>
        <w:rPr>
          <w:rStyle w:val="StringTok"/>
        </w:rPr>
        <w:t>"addendum"</w:t>
      </w:r>
      <w:r>
        <w:rPr>
          <w:rStyle w:val="OtherTok"/>
        </w:rPr>
        <w:t>,</w:t>
      </w:r>
      <w:r>
        <w:rPr>
          <w:rStyle w:val="StringTok"/>
        </w:rPr>
        <w:t>"boq"</w:t>
      </w:r>
      <w:r>
        <w:rPr>
          <w:rStyle w:val="OtherTok"/>
        </w:rPr>
        <w:t>,</w:t>
      </w:r>
      <w:r>
        <w:rPr>
          <w:rStyle w:val="StringTok"/>
        </w:rPr>
        <w:t>"schedule"</w:t>
      </w:r>
      <w:r>
        <w:rPr>
          <w:rStyle w:val="OtherTok"/>
        </w:rPr>
        <w:t>,</w:t>
      </w:r>
      <w:r>
        <w:rPr>
          <w:rStyle w:val="StringTok"/>
        </w:rPr>
        <w:t>"other"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"page_range"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"minItems"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"maxItems"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"tender_summary"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"submission_deadline"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"submission_format"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"mandatory_requirements"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"submission_deadline"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"date-time"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"submission_format"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"project_name"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"scope_summary"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"mandatory_requirements"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"ref"</w:t>
      </w:r>
      <w:r>
        <w:rPr>
          <w:rStyle w:val="OtherTok"/>
        </w:rPr>
        <w:t>,</w:t>
      </w:r>
      <w:r>
        <w:rPr>
          <w:rStyle w:val="StringTok"/>
        </w:rPr>
        <w:t>"text"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"spec_clause"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"section"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"clause_ref"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"clause_ref"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"is_normative"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"standards"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"drawing_index"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"sheet_no"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"title"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"file_id"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"page_no"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"sheet_no"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"discipline"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"architectural"</w:t>
      </w:r>
      <w:r>
        <w:rPr>
          <w:rStyle w:val="OtherTok"/>
        </w:rPr>
        <w:t>,</w:t>
      </w:r>
      <w:r>
        <w:rPr>
          <w:rStyle w:val="StringTok"/>
        </w:rPr>
        <w:t>"structural"</w:t>
      </w:r>
      <w:r>
        <w:rPr>
          <w:rStyle w:val="OtherTok"/>
        </w:rPr>
        <w:t>,</w:t>
      </w:r>
      <w:r>
        <w:rPr>
          <w:rStyle w:val="StringTok"/>
        </w:rPr>
        <w:t>"civil"</w:t>
      </w:r>
      <w:r>
        <w:rPr>
          <w:rStyle w:val="OtherTok"/>
        </w:rPr>
        <w:t>,</w:t>
      </w:r>
      <w:r>
        <w:rPr>
          <w:rStyle w:val="StringTok"/>
        </w:rPr>
        <w:t>"mechanical"</w:t>
      </w:r>
      <w:r>
        <w:rPr>
          <w:rStyle w:val="OtherTok"/>
        </w:rPr>
        <w:t>,</w:t>
      </w:r>
      <w:r>
        <w:rPr>
          <w:rStyle w:val="StringTok"/>
        </w:rPr>
        <w:t>"electrical"</w:t>
      </w:r>
      <w:r>
        <w:rPr>
          <w:rStyle w:val="OtherTok"/>
        </w:rPr>
        <w:t>,</w:t>
      </w:r>
      <w:r>
        <w:rPr>
          <w:rStyle w:val="StringTok"/>
        </w:rPr>
        <w:t>"plumbing"</w:t>
      </w:r>
      <w:r>
        <w:rPr>
          <w:rStyle w:val="OtherTok"/>
        </w:rPr>
        <w:t>,</w:t>
      </w:r>
      <w:r>
        <w:rPr>
          <w:rStyle w:val="StringTok"/>
        </w:rPr>
        <w:t>"other"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"revision"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"scale"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"file_id"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"page_no"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"drawing_measurement"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"sheet_no"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"item"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"quantity"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"unit"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"sheet_no"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"m"</w:t>
      </w:r>
      <w:r>
        <w:rPr>
          <w:rStyle w:val="OtherTok"/>
        </w:rPr>
        <w:t>,</w:t>
      </w:r>
      <w:r>
        <w:rPr>
          <w:rStyle w:val="StringTok"/>
        </w:rPr>
        <w:t>"m2"</w:t>
      </w:r>
      <w:r>
        <w:rPr>
          <w:rStyle w:val="OtherTok"/>
        </w:rPr>
        <w:t>,</w:t>
      </w:r>
      <w:r>
        <w:rPr>
          <w:rStyle w:val="StringTok"/>
        </w:rPr>
        <w:t>"m3"</w:t>
      </w:r>
      <w:r>
        <w:rPr>
          <w:rStyle w:val="OtherTok"/>
        </w:rPr>
        <w:t>,</w:t>
      </w:r>
      <w:r>
        <w:rPr>
          <w:rStyle w:val="StringTok"/>
        </w:rPr>
        <w:t>"nr"</w:t>
      </w:r>
      <w:r>
        <w:rPr>
          <w:rStyle w:val="OtherTok"/>
        </w:rPr>
        <w:t>,</w:t>
      </w:r>
      <w:r>
        <w:rPr>
          <w:rStyle w:val="StringTok"/>
        </w:rPr>
        <w:t>"kg"</w:t>
      </w:r>
      <w:r>
        <w:rPr>
          <w:rStyle w:val="OtherTok"/>
        </w:rPr>
        <w:t>,</w:t>
      </w:r>
      <w:r>
        <w:rPr>
          <w:rStyle w:val="StringTok"/>
        </w:rPr>
        <w:t>"t"</w:t>
      </w:r>
      <w:r>
        <w:rPr>
          <w:rStyle w:val="OtherTok"/>
        </w:rPr>
        <w:t>,</w:t>
      </w:r>
      <w:r>
        <w:rPr>
          <w:rStyle w:val="StringTok"/>
        </w:rPr>
        <w:t>"lm"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"standard_refs"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"boq_line"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"code"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"description"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"quantity"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"unit"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"standard_refs"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"cost_line"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"boq_code"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"rate_minor"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"amount_minor"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"currency"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"boq_code"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"rate_minor"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"amount_minor"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"^[A-Z]{3}$"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"rate_source"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"rate_book_ref"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"standard_refs"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"schedule_activity"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"activity"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"duration_days"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"predecessors"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"activity"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"wbs"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"duration_days"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"predecessors"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"start_offset_days"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"trade"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"procurement_package"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"package_name"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"trade"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"boq_codes"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"package_name"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"trade"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"boq_codes"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"estimated_value_minor"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"^[A-Z]{3}$"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"lead_time_weeks"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"rfi"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"subject"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"question"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"severity"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"subject"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"question"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"severity"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"medium"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,</w:t>
      </w:r>
      <w:r>
        <w:rPr>
          <w:rStyle w:val="StringTok"/>
        </w:rPr>
        <w:t>"critical"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"references"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"raised_against"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"compliance_item"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"requirement_ref"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"requirement_ref"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"requirement_text"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"met"</w:t>
      </w:r>
      <w:r>
        <w:rPr>
          <w:rStyle w:val="OtherTok"/>
        </w:rPr>
        <w:t>,</w:t>
      </w:r>
      <w:r>
        <w:rPr>
          <w:rStyle w:val="StringTok"/>
        </w:rPr>
        <w:t>"partial"</w:t>
      </w:r>
      <w:r>
        <w:rPr>
          <w:rStyle w:val="OtherTok"/>
        </w:rPr>
        <w:t>,</w:t>
      </w:r>
      <w:r>
        <w:rPr>
          <w:rStyle w:val="StringTok"/>
        </w:rPr>
        <w:t>"not_met"</w:t>
      </w:r>
      <w:r>
        <w:rPr>
          <w:rStyle w:val="OtherTok"/>
        </w:rPr>
        <w:t>,</w:t>
      </w:r>
      <w:r>
        <w:rPr>
          <w:rStyle w:val="StringTok"/>
        </w:rPr>
        <w:t>"not_applicable"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"evidence_artifact_ids"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"standard_refs"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"proposal_doc"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"title"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"sections"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"total_amount_minor"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"currency"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"sections"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"heading"</w:t>
      </w:r>
      <w:r>
        <w:rPr>
          <w:rStyle w:val="OtherTok"/>
        </w:rPr>
        <w:t>,</w:t>
      </w:r>
      <w:r>
        <w:rPr>
          <w:rStyle w:val="StringTok"/>
        </w:rPr>
        <w:t>"body"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"heading"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"total_amount_minor"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"^[A-Z]{3}$"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"submission_ready"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"bid_decision"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"decision"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"rationale"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"decision"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"go"</w:t>
      </w:r>
      <w:r>
        <w:rPr>
          <w:rStyle w:val="OtherTok"/>
        </w:rPr>
        <w:t>,</w:t>
      </w:r>
      <w:r>
        <w:rPr>
          <w:rStyle w:val="StringTok"/>
        </w:rPr>
        <w:t>"no_go"</w:t>
      </w:r>
      <w:r>
        <w:rPr>
          <w:rStyle w:val="OtherTok"/>
        </w:rPr>
        <w:t>,</w:t>
      </w:r>
      <w:r>
        <w:rPr>
          <w:rStyle w:val="StringTok"/>
        </w:rPr>
        <w:t>"conditional"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"rationale"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"signals"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"fit"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"capacity"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"competition"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"margin_headroom_pct"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"conditions"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"risk"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"category"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"title"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"likelihood"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"impact"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"commercial"</w:t>
      </w:r>
      <w:r>
        <w:rPr>
          <w:rStyle w:val="OtherTok"/>
        </w:rPr>
        <w:t>,</w:t>
      </w:r>
      <w:r>
        <w:rPr>
          <w:rStyle w:val="StringTok"/>
        </w:rPr>
        <w:t>"technical"</w:t>
      </w:r>
      <w:r>
        <w:rPr>
          <w:rStyle w:val="OtherTok"/>
        </w:rPr>
        <w:t>,</w:t>
      </w:r>
      <w:r>
        <w:rPr>
          <w:rStyle w:val="StringTok"/>
        </w:rPr>
        <w:t>"programme"</w:t>
      </w:r>
      <w:r>
        <w:rPr>
          <w:rStyle w:val="OtherTok"/>
        </w:rPr>
        <w:t>,</w:t>
      </w:r>
      <w:r>
        <w:rPr>
          <w:rStyle w:val="StringTok"/>
        </w:rPr>
        <w:t>"contractual"</w:t>
      </w:r>
      <w:r>
        <w:rPr>
          <w:rStyle w:val="OtherTok"/>
        </w:rPr>
        <w:t>,</w:t>
      </w:r>
      <w:r>
        <w:rPr>
          <w:rStyle w:val="StringTok"/>
        </w:rPr>
        <w:t>"external"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"likelihood"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"mitigation"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"owner_role"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"open"</w:t>
      </w:r>
      <w:r>
        <w:rPr>
          <w:rStyle w:val="OtherTok"/>
        </w:rPr>
        <w:t>,</w:t>
      </w:r>
      <w:r>
        <w:rPr>
          <w:rStyle w:val="StringTok"/>
        </w:rPr>
        <w:t>"mitigating"</w:t>
      </w:r>
      <w:r>
        <w:rPr>
          <w:rStyle w:val="OtherTok"/>
        </w:rPr>
        <w:t>,</w:t>
      </w:r>
      <w:r>
        <w:rPr>
          <w:rStyle w:val="StringTok"/>
        </w:rPr>
        <w:t>"closed"</w:t>
      </w:r>
      <w:r>
        <w:rPr>
          <w:rStyle w:val="OtherTok"/>
        </w:rPr>
        <w:t>,</w:t>
      </w:r>
      <w:r>
        <w:rPr>
          <w:rStyle w:val="StringTok"/>
        </w:rPr>
        <w:t>"accepted"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"bid_approval"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"total_amount_minor"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"currency"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"margin_pct"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"recommendation"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"total_amount_minor"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"^[A-Z]{3}$"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"margin_pct"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"key_risk_ids"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"compliance_status"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"clear"</w:t>
      </w:r>
      <w:r>
        <w:rPr>
          <w:rStyle w:val="OtherTok"/>
        </w:rPr>
        <w:t>,</w:t>
      </w:r>
      <w:r>
        <w:rPr>
          <w:rStyle w:val="StringTok"/>
        </w:rPr>
        <w:t>"open_items"</w:t>
      </w:r>
      <w:r>
        <w:rPr>
          <w:rStyle w:val="OtherTok"/>
        </w:rPr>
        <w:t>,</w:t>
      </w:r>
      <w:r>
        <w:rPr>
          <w:rStyle w:val="StringTok"/>
        </w:rPr>
        <w:t>"blocked"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"conditions"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"approved_by"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"client_query"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"direction"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"direction"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"inbound"</w:t>
      </w:r>
      <w:r>
        <w:rPr>
          <w:rStyle w:val="OtherTok"/>
        </w:rPr>
        <w:t>,</w:t>
      </w:r>
      <w:r>
        <w:rPr>
          <w:rStyle w:val="StringTok"/>
        </w:rPr>
        <w:t>"outbound"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"subject"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"references"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"is_addendum"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"open"</w:t>
      </w:r>
      <w:r>
        <w:rPr>
          <w:rStyle w:val="OtherTok"/>
        </w:rPr>
        <w:t>,</w:t>
      </w:r>
      <w:r>
        <w:rPr>
          <w:rStyle w:val="StringTok"/>
        </w:rPr>
        <w:t>"answered"</w:t>
      </w:r>
      <w:r>
        <w:rPr>
          <w:rStyle w:val="OtherTok"/>
        </w:rPr>
        <w:t>,</w:t>
      </w:r>
      <w:r>
        <w:rPr>
          <w:rStyle w:val="StringTok"/>
        </w:rPr>
        <w:t>"closed"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"$id"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"standard_violation"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"rule_id"</w:t>
      </w:r>
      <w:r>
        <w:rPr>
          <w:rStyle w:val="OtherTok"/>
        </w:rPr>
        <w:t>,</w:t>
      </w:r>
      <w:r>
        <w:rPr>
          <w:rStyle w:val="StringTok"/>
        </w:rPr>
        <w:t>"subject_artifact_id"</w:t>
      </w:r>
      <w:r>
        <w:rPr>
          <w:rStyle w:val="OtherTok"/>
        </w:rPr>
        <w:t>,</w:t>
      </w:r>
      <w:r>
        <w:rPr>
          <w:rStyle w:val="StringTok"/>
        </w:rPr>
        <w:t>"severity"</w:t>
      </w:r>
      <w:r>
        <w:rPr>
          <w:rStyle w:val="OtherTok"/>
        </w:rPr>
        <w:t>,</w:t>
      </w:r>
      <w:r>
        <w:rPr>
          <w:rStyle w:val="StringTok"/>
        </w:rPr>
        <w:t>"status"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"rule_id"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"subject_artifact_id"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"format"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"observed"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"expected"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"severity"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"info"</w:t>
      </w:r>
      <w:r>
        <w:rPr>
          <w:rStyle w:val="OtherTok"/>
        </w:rPr>
        <w:t>,</w:t>
      </w:r>
      <w:r>
        <w:rPr>
          <w:rStyle w:val="StringTok"/>
        </w:rPr>
        <w:t>"low"</w:t>
      </w:r>
      <w:r>
        <w:rPr>
          <w:rStyle w:val="OtherTok"/>
        </w:rPr>
        <w:t>,</w:t>
      </w:r>
      <w:r>
        <w:rPr>
          <w:rStyle w:val="StringTok"/>
        </w:rPr>
        <w:t>"medium"</w:t>
      </w:r>
      <w:r>
        <w:rPr>
          <w:rStyle w:val="OtherTok"/>
        </w:rPr>
        <w:t>,</w:t>
      </w:r>
      <w:r>
        <w:rPr>
          <w:rStyle w:val="StringTok"/>
        </w:rPr>
        <w:t>"high"</w:t>
      </w:r>
      <w:r>
        <w:rPr>
          <w:rStyle w:val="OtherTok"/>
        </w:rPr>
        <w:t>,</w:t>
      </w:r>
      <w:r>
        <w:rPr>
          <w:rStyle w:val="StringTok"/>
        </w:rPr>
        <w:t>"critical"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"open"</w:t>
      </w:r>
      <w:r>
        <w:rPr>
          <w:rStyle w:val="OtherTok"/>
        </w:rPr>
        <w:t>,</w:t>
      </w:r>
      <w:r>
        <w:rPr>
          <w:rStyle w:val="StringTok"/>
        </w:rPr>
        <w:t>"waived"</w:t>
      </w:r>
      <w:r>
        <w:rPr>
          <w:rStyle w:val="OtherTok"/>
        </w:rPr>
        <w:t>,</w:t>
      </w:r>
      <w:r>
        <w:rPr>
          <w:rStyle w:val="StringTok"/>
        </w:rPr>
        <w:t>"resolved"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Heading3"/>
        <w:rPr/>
      </w:pPr>
      <w:bookmarkStart w:id="56" w:name="X969a1b34f526aed5d0194ba5fef8d122487fd19"/>
      <w:r>
        <w:rPr/>
        <w:t xml:space="preserve">C.3 ER reconciliation — the graph </w:t>
      </w:r>
      <w:r>
        <w:rPr>
          <w:i/>
          <w:iCs/>
        </w:rPr>
        <w:t>is</w:t>
      </w:r>
      <w:r>
        <w:rPr/>
        <w:t xml:space="preserve"> the ER</w:t>
      </w:r>
    </w:p>
    <w:p>
      <w:pPr>
        <w:pStyle w:val="FirstParagraph"/>
        <w:rPr/>
      </w:pPr>
      <w:r>
        <w:rPr/>
        <w:t xml:space="preserve">Core’s data model for domain content is fixed and generic: one </w:t>
      </w:r>
      <w:r>
        <w:rPr>
          <w:rStyle w:val="VerbatimChar"/>
        </w:rPr>
        <w:t>artifact</w:t>
      </w:r>
      <w:r>
        <w:rPr/>
        <w:t xml:space="preserve"> row per value (§2.2), one </w:t>
      </w:r>
      <w:r>
        <w:rPr>
          <w:rStyle w:val="VerbatimChar"/>
        </w:rPr>
        <w:t>artifact_provenance</w:t>
      </w:r>
      <w:r>
        <w:rPr/>
        <w:t xml:space="preserve"> edge per derivation (§2.3). The construction “entity–relationship model” therefore needs </w:t>
      </w:r>
      <w:r>
        <w:rPr>
          <w:b/>
          <w:bCs/>
        </w:rPr>
        <w:t>no construction tables</w:t>
      </w:r>
      <w:r>
        <w:rPr/>
        <w:t xml:space="preserve"> — it is expressed entirely as: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 xml:space="preserve">Entities → </w:t>
      </w:r>
      <w:r>
        <w:rPr>
          <w:rStyle w:val="VerbatimChar"/>
          <w:b/>
          <w:bCs/>
        </w:rPr>
        <w:t>artifact</w:t>
      </w:r>
      <w:r>
        <w:rPr>
          <w:b/>
          <w:bCs/>
        </w:rPr>
        <w:t xml:space="preserve"> rows.</w:t>
      </w:r>
      <w:r>
        <w:rPr/>
        <w:t xml:space="preserve"> Each of the twelve types is </w:t>
      </w:r>
      <w:r>
        <w:rPr>
          <w:rStyle w:val="VerbatimChar"/>
        </w:rPr>
        <w:t>artifact.type_key</w:t>
      </w:r>
      <w:r>
        <w:rPr/>
        <w:t>; its columns (</w:t>
      </w:r>
      <w:r>
        <w:rPr>
          <w:rStyle w:val="VerbatimChar"/>
        </w:rPr>
        <w:t>payload</w:t>
      </w:r>
      <w:r>
        <w:rPr/>
        <w:t xml:space="preserve">, </w:t>
      </w:r>
      <w:r>
        <w:rPr>
          <w:rStyle w:val="VerbatimChar"/>
        </w:rPr>
        <w:t>status</w:t>
      </w:r>
      <w:r>
        <w:rPr/>
        <w:t xml:space="preserve">, </w:t>
      </w:r>
      <w:r>
        <w:rPr>
          <w:rStyle w:val="VerbatimChar"/>
        </w:rPr>
        <w:t>version</w:t>
      </w:r>
      <w:r>
        <w:rPr/>
        <w:t xml:space="preserve">, </w:t>
      </w:r>
      <w:r>
        <w:rPr>
          <w:rStyle w:val="VerbatimChar"/>
        </w:rPr>
        <w:t>confidence</w:t>
      </w:r>
      <w:r>
        <w:rPr/>
        <w:t xml:space="preserve">, </w:t>
      </w:r>
      <w:r>
        <w:rPr>
          <w:rStyle w:val="VerbatimChar"/>
        </w:rPr>
        <w:t>source</w:t>
      </w:r>
      <w:r>
        <w:rPr/>
        <w:t xml:space="preserve">, </w:t>
      </w:r>
      <w:r>
        <w:rPr>
          <w:rStyle w:val="VerbatimChar"/>
        </w:rPr>
        <w:t>confirmed_by</w:t>
      </w:r>
      <w:r>
        <w:rPr/>
        <w:t xml:space="preserve">) are Core’s, and the C.2 schema governs only </w:t>
      </w:r>
      <w:r>
        <w:rPr>
          <w:rStyle w:val="VerbatimChar"/>
        </w:rPr>
        <w:t>payload</w:t>
      </w:r>
      <w:r>
        <w:rPr/>
        <w:t xml:space="preserve">. A </w:t>
      </w:r>
      <w:r>
        <w:rPr>
          <w:rStyle w:val="VerbatimChar"/>
        </w:rPr>
        <w:t>boq_line</w:t>
      </w:r>
      <w:r>
        <w:rPr/>
        <w:t xml:space="preserve"> is not a </w:t>
      </w:r>
      <w:r>
        <w:rPr>
          <w:rStyle w:val="VerbatimChar"/>
        </w:rPr>
        <w:t>boq_line</w:t>
      </w:r>
      <w:r>
        <w:rPr/>
        <w:t xml:space="preserve"> table — it is an </w:t>
      </w:r>
      <w:r>
        <w:rPr>
          <w:rStyle w:val="VerbatimChar"/>
        </w:rPr>
        <w:t>artifact</w:t>
      </w:r>
      <w:r>
        <w:rPr/>
        <w:t xml:space="preserve"> with </w:t>
      </w:r>
      <w:r>
        <w:rPr>
          <w:rStyle w:val="VerbatimChar"/>
        </w:rPr>
        <w:t>type_key = 'construction.boq_line'</w:t>
      </w:r>
      <w:r>
        <w:rPr/>
        <w:t xml:space="preserve"> and a schema-valid payload.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 xml:space="preserve">Relationships → </w:t>
      </w:r>
      <w:r>
        <w:rPr>
          <w:rStyle w:val="VerbatimChar"/>
          <w:b/>
          <w:bCs/>
        </w:rPr>
        <w:t>artifact_provenance</w:t>
      </w:r>
      <w:r>
        <w:rPr>
          <w:b/>
          <w:bCs/>
        </w:rPr>
        <w:t xml:space="preserve"> edges</w:t>
      </w:r>
      <w:r>
        <w:rPr/>
        <w:t xml:space="preserve">, not foreign keys. The </w:t>
      </w:r>
      <w:r>
        <w:rPr>
          <w:b/>
          <w:bCs/>
        </w:rPr>
        <w:t>Derives-from</w:t>
      </w:r>
      <w:r>
        <w:rPr/>
        <w:t xml:space="preserve"> column of C.1 is the ER diagram: </w:t>
      </w:r>
      <w:r>
        <w:rPr>
          <w:rStyle w:val="VerbatimChar"/>
        </w:rPr>
        <w:t>document → {tender_summary, spec_clause, drawing_index} → drawing_measurement → boq_line → cost_line → {schedule_activity, procurement_package}</w:t>
      </w:r>
      <w:r>
        <w:rPr/>
        <w:t xml:space="preserve">, with </w:t>
      </w:r>
      <w:r>
        <w:rPr>
          <w:rStyle w:val="VerbatimChar"/>
        </w:rPr>
        <w:t>proposal_doc</w:t>
      </w:r>
      <w:r>
        <w:rPr/>
        <w:t xml:space="preserve"> fanning in from the estimate branch and </w:t>
      </w:r>
      <w:r>
        <w:rPr>
          <w:rStyle w:val="VerbatimChar"/>
        </w:rPr>
        <w:t>compliance_item</w:t>
      </w:r>
      <w:r>
        <w:rPr/>
        <w:t xml:space="preserve"> derived from </w:t>
      </w:r>
      <w:r>
        <w:rPr>
          <w:rStyle w:val="VerbatimChar"/>
        </w:rPr>
        <w:t>proposal_doc</w:t>
      </w:r>
      <w:r>
        <w:rPr/>
        <w:t xml:space="preserve">. That edge set is what drives re-plan (§2.4): edit a confirmed </w:t>
      </w:r>
      <w:r>
        <w:rPr>
          <w:rStyle w:val="VerbatimChar"/>
        </w:rPr>
        <w:t>spec_clause</w:t>
      </w:r>
      <w:r>
        <w:rPr/>
        <w:t xml:space="preserve"> and every downstream </w:t>
      </w:r>
      <w:r>
        <w:rPr>
          <w:rStyle w:val="VerbatimChar"/>
        </w:rPr>
        <w:t>boq_line</w:t>
      </w:r>
      <w:r>
        <w:rPr/>
        <w:t>/</w:t>
      </w:r>
      <w:r>
        <w:rPr>
          <w:rStyle w:val="VerbatimChar"/>
        </w:rPr>
        <w:t>cost_line</w:t>
      </w:r>
      <w:r>
        <w:rPr/>
        <w:t xml:space="preserve">/… goes </w:t>
      </w:r>
      <w:r>
        <w:rPr>
          <w:rStyle w:val="VerbatimChar"/>
        </w:rPr>
        <w:t>stale</w:t>
      </w:r>
      <w:r>
        <w:rPr/>
        <w:t>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Cross-references inside payloads are soft.</w:t>
      </w:r>
      <w:r>
        <w:rPr/>
        <w:t xml:space="preserve"> </w:t>
      </w:r>
      <w:r>
        <w:rPr>
          <w:rStyle w:val="VerbatimChar"/>
        </w:rPr>
        <w:t>file_id</w:t>
      </w:r>
      <w:r>
        <w:rPr/>
        <w:t xml:space="preserve">, </w:t>
      </w:r>
      <w:r>
        <w:rPr>
          <w:rStyle w:val="VerbatimChar"/>
        </w:rPr>
        <w:t>evidence_artifact_ids</w:t>
      </w:r>
      <w:r>
        <w:rPr/>
        <w:t xml:space="preserve">, </w:t>
      </w:r>
      <w:r>
        <w:rPr>
          <w:rStyle w:val="VerbatimChar"/>
        </w:rPr>
        <w:t>boq_code</w:t>
      </w:r>
      <w:r>
        <w:rPr/>
        <w:t xml:space="preserve"> are values in opaque </w:t>
      </w:r>
      <w:r>
        <w:rPr>
          <w:rStyle w:val="VerbatimChar"/>
        </w:rPr>
        <w:t>jsonb</w:t>
      </w:r>
      <w:r>
        <w:rPr/>
        <w:t>; Core enforces no FK on them — the pack owns payload integrity, Core owns the artifact/provenance spine. This is the domain line (§0.1) at the data layer.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Money and units.</w:t>
      </w:r>
      <w:r>
        <w:rPr/>
        <w:t xml:space="preserve"> All monetary fields are </w:t>
      </w:r>
      <w:r>
        <w:rPr>
          <w:rStyle w:val="VerbatimChar"/>
        </w:rPr>
        <w:t>*_minor</w:t>
      </w:r>
      <w:r>
        <w:rPr/>
        <w:t xml:space="preserve"> integers (§X); quantities carry an explicit </w:t>
      </w:r>
      <w:r>
        <w:rPr>
          <w:rStyle w:val="VerbatimChar"/>
        </w:rPr>
        <w:t>unit</w:t>
      </w:r>
      <w:r>
        <w:rPr/>
        <w:t>. No floats, no implicit currency.</w:t>
      </w:r>
    </w:p>
    <w:p>
      <w:pPr>
        <w:pStyle w:val="FirstParagraph"/>
        <w:rPr/>
      </w:pPr>
      <w:r>
        <w:rPr/>
        <w:t xml:space="preserve">The reconciliation, in one line: </w:t>
      </w:r>
      <w:r>
        <w:rPr>
          <w:b/>
          <w:bCs/>
        </w:rPr>
        <w:t>Core supplies the nouns (artifact) and the verbs (provenance); the pack supplies the vocabulary (type keys + schemas). There is nothing else to model.</w:t>
      </w:r>
      <w:bookmarkEnd w:id="56"/>
    </w:p>
    <w:p>
      <w:pPr>
        <w:pStyle w:val="Heading3"/>
        <w:rPr/>
      </w:pPr>
      <w:bookmarkStart w:id="57" w:name="X40b4e4e5dd6b3c0bfa57da3c9584ae96a47d5c7"/>
      <w:r>
        <w:rPr/>
        <w:t xml:space="preserve">C.4 Host map — workflow ↔ </w:t>
      </w:r>
      <w:r>
        <w:rPr>
          <w:rStyle w:val="VerbatimChar"/>
        </w:rPr>
        <w:t>module_key</w:t>
      </w:r>
      <w:r>
        <w:rPr/>
        <w:t xml:space="preserve"> (entitlements)</w:t>
      </w:r>
    </w:p>
    <w:p>
      <w:pPr>
        <w:pStyle w:val="FirstParagraph"/>
        <w:rPr/>
      </w:pPr>
      <w:r>
        <w:rPr/>
        <w:t xml:space="preserve">The Host licenses </w:t>
      </w:r>
      <w:r>
        <w:rPr>
          <w:rStyle w:val="VerbatimChar"/>
          <w:b/>
          <w:bCs/>
        </w:rPr>
        <w:t>module_key</w:t>
      </w:r>
      <w:r>
        <w:rPr>
          <w:b/>
          <w:bCs/>
        </w:rPr>
        <w:t>s</w:t>
      </w:r>
      <w:r>
        <w:rPr/>
        <w:t>; the tenant plane resolves the rest (§8). This is the tenant-side map: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module_key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entitlement_key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workflow.tenderlogix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.skeleton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workflow.tenderlogix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workflow.doclogix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workflow.doclogix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workflow.drawlogix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drawlogix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workflow.drawlogix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workflow.quantlogix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quantlogix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workflow.quantlogix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workflow.costlogix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costlogix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workflow.costlogix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workflow.schedulelogix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workflow.schedulelogix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workflow.procurelogix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procurelogix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workflow.procurelogix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workflow.bidqualification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workflow.bidqualification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workflow.riskreview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workflow.riskreview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workflow.bidassembly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workflow.bidassembly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workflow.clarificationloop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tenderlogix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workflow.clarificationloop</w:t>
            </w:r>
          </w:p>
        </w:tc>
      </w:tr>
    </w:tbl>
    <w:p>
      <w:pPr>
        <w:pStyle w:val="BodyText"/>
        <w:rPr/>
      </w:pPr>
      <w:r>
        <w:rPr>
          <w:b/>
          <w:bCs/>
        </w:rPr>
        <w:t>Resolution (§8).</w:t>
      </w:r>
      <w:r>
        <w:rPr/>
        <w:t xml:space="preserve"> The Host returns </w:t>
      </w:r>
      <w:r>
        <w:rPr>
          <w:rStyle w:val="VerbatimChar"/>
        </w:rPr>
        <w:t>licensed_modules</w:t>
      </w:r>
      <w:r>
        <w:rPr/>
        <w:t xml:space="preserve"> (a subset of the seven). The tenant plane resolves licensed </w:t>
      </w:r>
      <w:r>
        <w:rPr>
          <w:b/>
          <w:bCs/>
        </w:rPr>
        <w:t>workflows</w:t>
      </w:r>
      <w:r>
        <w:rPr/>
        <w:t xml:space="preserve"> where </w:t>
      </w:r>
      <w:r>
        <w:rPr>
          <w:rStyle w:val="VerbatimChar"/>
        </w:rPr>
        <w:t>workflow.module_key ∈ licensed_modules</w:t>
      </w:r>
      <w:r>
        <w:rPr/>
        <w:t xml:space="preserve">, and — transitively — the </w:t>
      </w:r>
      <w:r>
        <w:rPr>
          <w:b/>
          <w:bCs/>
        </w:rPr>
        <w:t>agents</w:t>
      </w:r>
      <w:r>
        <w:rPr/>
        <w:t xml:space="preserve"> those workflows reference (Appendix A) and the </w:t>
      </w:r>
      <w:r>
        <w:rPr>
          <w:b/>
          <w:bCs/>
        </w:rPr>
        <w:t>personas</w:t>
      </w:r>
      <w:r>
        <w:rPr/>
        <w:t xml:space="preserve"> whose </w:t>
      </w:r>
      <w:r>
        <w:rPr>
          <w:rStyle w:val="VerbatimChar"/>
        </w:rPr>
        <w:t>scope.module_keys</w:t>
      </w:r>
      <w:r>
        <w:rPr/>
        <w:t xml:space="preserve"> intersect the licensed set (§1, §6.4):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Agents</w:t>
      </w:r>
      <w:r>
        <w:rPr/>
        <w:t xml:space="preserve"> are available iff a licensed workflow uses them; the always-on </w:t>
      </w:r>
      <w:r>
        <w:rPr>
          <w:b/>
          <w:bCs/>
        </w:rPr>
        <w:t>Knowledge</w:t>
      </w:r>
      <w:r>
        <w:rPr/>
        <w:t xml:space="preserve"> service and the </w:t>
      </w:r>
      <w:r>
        <w:rPr>
          <w:b/>
          <w:bCs/>
        </w:rPr>
        <w:t>Construction Copilot</w:t>
      </w:r>
      <w:r>
        <w:rPr/>
        <w:t xml:space="preserve"> persona ride along whenever any module is licensed.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Commercial</w:t>
      </w:r>
      <w:r>
        <w:rPr/>
        <w:t xml:space="preserve"> persona lights up with any of </w:t>
      </w:r>
      <w:r>
        <w:rPr>
          <w:rStyle w:val="VerbatimChar"/>
        </w:rPr>
        <w:t>{costlogix, quantlogix, tenderlogix, procurelogix}</w:t>
      </w:r>
      <w:r>
        <w:rPr/>
        <w:t xml:space="preserve">; </w:t>
      </w:r>
      <w:r>
        <w:rPr>
          <w:b/>
          <w:bCs/>
        </w:rPr>
        <w:t>Compliance Lead</w:t>
      </w:r>
      <w:r>
        <w:rPr/>
        <w:t xml:space="preserve"> with any of </w:t>
      </w:r>
      <w:r>
        <w:rPr>
          <w:rStyle w:val="VerbatimChar"/>
        </w:rPr>
        <w:t>{tenderlogix, doclogix}</w:t>
      </w:r>
      <w:r>
        <w:rPr/>
        <w:t xml:space="preserve"> — so the roster scales with the edition, per §1.4.</w:t>
      </w:r>
    </w:p>
    <w:p>
      <w:pPr>
        <w:pStyle w:val="FirstParagraph"/>
        <w:rPr/>
      </w:pPr>
      <w:r>
        <w:rPr/>
        <w:t xml:space="preserve">The Host-side model (edition → </w:t>
      </w:r>
      <w:r>
        <w:rPr>
          <w:rStyle w:val="VerbatimChar"/>
        </w:rPr>
        <w:t>module_key</w:t>
      </w:r>
      <w:r>
        <w:rPr/>
        <w:t xml:space="preserve"> set, caps, forbidden deviations) lives in </w:t>
      </w:r>
      <w:r>
        <w:rPr>
          <w:rStyle w:val="VerbatimChar"/>
        </w:rPr>
        <w:t>preckon-host-backend-design.md</w:t>
      </w:r>
      <w:r>
        <w:rPr/>
        <w:t>; this deck only declares the map it reads against.</w:t>
      </w:r>
      <w:bookmarkEnd w:id="57"/>
    </w:p>
    <w:p>
      <w:pPr>
        <w:pStyle w:val="Heading3"/>
        <w:rPr/>
      </w:pPr>
      <w:bookmarkStart w:id="58" w:name="c.5-the-pack-is-complete"/>
      <w:r>
        <w:rPr/>
        <w:t>C.5 The pack is complete</w:t>
      </w:r>
    </w:p>
    <w:p>
      <w:pPr>
        <w:pStyle w:val="FirstParagraph"/>
        <w:spacing w:before="180" w:after="180"/>
        <w:rPr/>
      </w:pPr>
      <w:r>
        <w:rPr/>
        <w:t xml:space="preserve">Every piece Core needs to become a working preconstruction product is now specified as data against the finished ABI: the manifest (§0.4), the persona roster (§1), the </w:t>
      </w:r>
      <w:r>
        <w:rPr>
          <w:b/>
          <w:bCs/>
        </w:rPr>
        <w:t>bid-pursuit lifecycle</w:t>
      </w:r>
      <w:r>
        <w:rPr/>
        <w:t xml:space="preserve"> (§2), the agents (Appendix A), the workflows (Appendix B), and the types + ER + Host map (Appendix C). It adds </w:t>
      </w:r>
      <w:r>
        <w:rPr>
          <w:b/>
          <w:bCs/>
        </w:rPr>
        <w:t>no Core table, endpoint, syscall, or ABI change</w:t>
      </w:r>
      <w:r>
        <w:rPr/>
        <w:t xml:space="preserve"> — it uses only the shared, generic </w:t>
      </w:r>
      <w:r>
        <w:rPr>
          <w:rStyle w:val="VerbatimChar"/>
        </w:rPr>
        <w:t>project.lifecycle_*</w:t>
      </w:r>
      <w:r>
        <w:rPr/>
        <w:t xml:space="preserve"> field (§1.6), which is domain-neutral </w:t>
      </w:r>
      <w:r>
        <w:rPr>
          <w:i/>
          <w:iCs/>
        </w:rPr>
        <w:t>mechanism</w:t>
      </w:r>
      <w:r>
        <w:rPr/>
        <w:t>, not construction. That is the §D promise, cashed out end to end: a second pack (legal review, underwriting, diligence) is the same set of artifacts against the same Core.</w:t>
      </w:r>
      <w:bookmarkEnd w:id="0"/>
      <w:bookmarkEnd w:id="54"/>
      <w:bookmarkEnd w:id="5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2026-07-08T20:30:19Z</dcterms:created>
  <dc:creator/>
  <dc:description/>
  <dc:language>en-US</dc:language>
  <cp:lastModifiedBy/>
  <dcterms:modified xsi:type="dcterms:W3CDTF">2026-07-08T20:30:19Z</dcterms:modified>
  <cp:revision>0</cp:revision>
  <dc:subject/>
  <dc:title>Preckon Construction Pack ��� Implementation Deck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