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PROJECT PLAN</w:t>
      </w:r>
    </w:p>
    <w:p>
      <w:pPr>
        <w:pStyle w:val="Heading1"/>
      </w:pPr>
      <w:r>
        <w:t>Greenfield Tech Park — Phase 1</w:t>
      </w:r>
    </w:p>
    <w:p>
      <w:r>
        <w:rPr>
          <w:b/>
        </w:rPr>
        <w:t xml:space="preserve">Document Ref: </w:t>
      </w:r>
      <w:r>
        <w:t>APEX-MPP-2024-001</w:t>
      </w:r>
    </w:p>
    <w:p>
      <w:r>
        <w:rPr>
          <w:b/>
        </w:rPr>
        <w:t xml:space="preserve">Date: </w:t>
      </w:r>
      <w:r>
        <w:t>8 January 2024</w:t>
      </w:r>
    </w:p>
    <w:p>
      <w:r>
        <w:rPr>
          <w:b/>
        </w:rPr>
        <w:t xml:space="preserve">Prepared by: </w:t>
      </w:r>
      <w:r>
        <w:t>Apex Construction Ltd</w:t>
      </w:r>
    </w:p>
    <w:p>
      <w:r>
        <w:rPr>
          <w:b/>
        </w:rPr>
        <w:t xml:space="preserve">Prepared for: </w:t>
      </w:r>
      <w:r>
        <w:t>Meridian Infrastructures Pvt Ltd</w:t>
      </w:r>
    </w:p>
    <w:p>
      <w:pPr>
        <w:pStyle w:val="Heading1"/>
      </w:pPr>
      <w:r>
        <w:t>1. Project Overview</w:t>
      </w:r>
    </w:p>
    <w:p>
      <w:r>
        <w:t>This Master Project Plan governs the design and construction of Greenfield Tech Park Phase 1, a Grade-A commercial office development located at Plot 14-B, Electronic City Phase 2, Bengaluru 560100. The project comprises two basement levels for parking, a ground-floor retail podium, and fourteen upper floors of leasable office space, totalling approximately 4,80,000 square feet of built-up area.</w:t>
      </w:r>
    </w:p>
    <w:p>
      <w:pPr>
        <w:pStyle w:val="Heading1"/>
      </w:pPr>
      <w:r>
        <w:t>2. Parties</w:t>
      </w:r>
    </w:p>
    <w:p>
      <w:pPr>
        <w:pStyle w:val="ListBullet"/>
      </w:pPr>
      <w:r>
        <w:t>Client (hereinafter "the Employer"): Meridian Infrastructures Pvt Ltd, represented by its authorised signatory.</w:t>
      </w:r>
    </w:p>
    <w:p>
      <w:pPr>
        <w:pStyle w:val="ListBullet"/>
      </w:pPr>
      <w:r>
        <w:t>Contractor (hereinafter "the Contractor"): Apex Construction Ltd, represented by its Managing Director.</w:t>
      </w:r>
    </w:p>
    <w:p>
      <w:pPr>
        <w:pStyle w:val="ListBullet"/>
      </w:pPr>
      <w:r>
        <w:t>Architect: Stanton &amp; Partners Architects.</w:t>
      </w:r>
    </w:p>
    <w:p>
      <w:pPr>
        <w:pStyle w:val="ListBullet"/>
      </w:pPr>
      <w:r>
        <w:t>Structural Consultant: Dr. R. Kalyanaraman, F.I.Struct.E.</w:t>
      </w:r>
    </w:p>
    <w:p>
      <w:pPr>
        <w:pStyle w:val="Heading1"/>
      </w:pPr>
      <w:r>
        <w:t>3. Scope of Work</w:t>
      </w:r>
    </w:p>
    <w:p>
      <w:r>
        <w:t>The Contractor shall execute all civil, structural, mechanical, electrical, and plumbing works necessary to complete and hand over the project on a turnkey basis, in accordance with the drawings, specifications, and BoQ appended to this agreement.</w:t>
      </w:r>
    </w:p>
    <w:p>
      <w:pPr>
        <w:pStyle w:val="Heading1"/>
      </w:pPr>
      <w:r>
        <w:t>4. Contract Value</w:t>
      </w:r>
    </w:p>
    <w:p>
      <w:r>
        <w:t>The total contract value is fixed at Rupees Twelve Crores and Fifty Lakhs only (Rs 12,50,00,000), inclusive of all taxes, levies, and statutory dues. This amount shall be adjusted only through a duly executed variation order or contract amendment.</w:t>
      </w:r>
    </w:p>
    <w:p>
      <w:r>
        <w:rPr>
          <w:b/>
        </w:rPr>
        <w:t xml:space="preserve">Payment milestones: </w:t>
      </w:r>
      <w:r>
        <w:t>Payments shall be released against achieved milestones as defined in Schedule B. Each milestone payment becomes due upon certified completion of the corresponding phase by the Architect.</w:t>
      </w:r>
    </w:p>
    <w:p>
      <w:pPr>
        <w:pStyle w:val="Heading1"/>
      </w:pPr>
      <w:r>
        <w:t>5. Project Timeline</w:t>
      </w:r>
    </w:p>
    <w:p>
      <w:r>
        <w:t>The project shall be executed in six phases:</w:t>
      </w:r>
    </w:p>
    <w:p>
      <w:pPr>
        <w:pStyle w:val="ListBullet"/>
      </w:pPr>
      <w:r>
        <w:rPr>
          <w:b/>
        </w:rPr>
        <w:t xml:space="preserve">Phase 1 - Site preparation and excavation: </w:t>
      </w:r>
      <w:r>
        <w:t>1 January 2024 to 15 February 2024</w:t>
      </w:r>
    </w:p>
    <w:p>
      <w:pPr>
        <w:pStyle w:val="ListBullet"/>
      </w:pPr>
      <w:r>
        <w:rPr>
          <w:b/>
        </w:rPr>
        <w:t xml:space="preserve">Phase 2 - Foundation and sub-structure: </w:t>
      </w:r>
      <w:r>
        <w:t>15 February 2024 to 30 April 2024</w:t>
      </w:r>
    </w:p>
    <w:p>
      <w:pPr>
        <w:pStyle w:val="ListBullet"/>
      </w:pPr>
      <w:r>
        <w:rPr>
          <w:b/>
        </w:rPr>
        <w:t xml:space="preserve">Phase 3 - Superstructure (RCC frames, slabs, walls): </w:t>
      </w:r>
      <w:r>
        <w:t>1 May 2024 to 31 August 2024</w:t>
      </w:r>
    </w:p>
    <w:p>
      <w:pPr>
        <w:pStyle w:val="ListBullet"/>
      </w:pPr>
      <w:r>
        <w:rPr>
          <w:b/>
        </w:rPr>
        <w:t xml:space="preserve">Phase 4 - MEP rough-in (electrical, HVAC, plumbing): </w:t>
      </w:r>
      <w:r>
        <w:t>1 July 2024 to 31 October 2024</w:t>
      </w:r>
    </w:p>
    <w:p>
      <w:pPr>
        <w:pStyle w:val="ListBullet"/>
      </w:pPr>
      <w:r>
        <w:rPr>
          <w:b/>
        </w:rPr>
        <w:t xml:space="preserve">Phase 5 - Finishing and facade: </w:t>
      </w:r>
      <w:r>
        <w:t>1 October 2024 to 15 December 2024</w:t>
      </w:r>
    </w:p>
    <w:p>
      <w:pPr>
        <w:pStyle w:val="ListBullet"/>
      </w:pPr>
      <w:r>
        <w:rPr>
          <w:b/>
        </w:rPr>
        <w:t xml:space="preserve">Phase 6 - Handover, testing, and snagging: </w:t>
      </w:r>
      <w:r>
        <w:t>15 December 2024 to 31 December 2024</w:t>
      </w:r>
    </w:p>
    <w:p/>
    <w:p>
      <w:r>
        <w:rPr>
          <w:b/>
        </w:rPr>
        <w:t xml:space="preserve">Project handover date: </w:t>
      </w:r>
      <w:r>
        <w:t>15 December 2024.</w:t>
      </w:r>
    </w:p>
    <w:p>
      <w:pPr>
        <w:pStyle w:val="Heading1"/>
      </w:pPr>
      <w:r>
        <w:t>6. Milestone Payments (Schedule 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Description</w:t>
            </w:r>
          </w:p>
        </w:tc>
        <w:tc>
          <w:tcPr>
            <w:tcW w:type="dxa" w:w="2160"/>
          </w:tcPr>
          <w:p>
            <w:r>
              <w:t>Payment</w:t>
            </w:r>
          </w:p>
        </w:tc>
        <w:tc>
          <w:tcPr>
            <w:tcW w:type="dxa" w:w="2160"/>
          </w:tcPr>
          <w:p>
            <w:r>
              <w:t>Due Date</w:t>
            </w:r>
          </w:p>
        </w:tc>
      </w:tr>
      <w:tr>
        <w:tc>
          <w:tcPr>
            <w:tcW w:type="dxa" w:w="2160"/>
          </w:tcPr>
          <w:p>
            <w:r>
              <w:t>M1</w:t>
            </w:r>
          </w:p>
        </w:tc>
        <w:tc>
          <w:tcPr>
            <w:tcW w:type="dxa" w:w="2160"/>
          </w:tcPr>
          <w:p>
            <w:r>
              <w:t>Site preparation and excavation complete</w:t>
            </w:r>
          </w:p>
        </w:tc>
        <w:tc>
          <w:tcPr>
            <w:tcW w:type="dxa" w:w="2160"/>
          </w:tcPr>
          <w:p>
            <w:r>
              <w:t>10% of contract value</w:t>
            </w:r>
          </w:p>
        </w:tc>
        <w:tc>
          <w:tcPr>
            <w:tcW w:type="dxa" w:w="2160"/>
          </w:tcPr>
          <w:p>
            <w:r>
              <w:t>15 February 2024</w:t>
            </w:r>
          </w:p>
        </w:tc>
      </w:tr>
      <w:tr>
        <w:tc>
          <w:tcPr>
            <w:tcW w:type="dxa" w:w="2160"/>
          </w:tcPr>
          <w:p>
            <w:r>
              <w:t>M2</w:t>
            </w:r>
          </w:p>
        </w:tc>
        <w:tc>
          <w:tcPr>
            <w:tcW w:type="dxa" w:w="2160"/>
          </w:tcPr>
          <w:p>
            <w:r>
              <w:t>Foundation complete</w:t>
            </w:r>
          </w:p>
        </w:tc>
        <w:tc>
          <w:tcPr>
            <w:tcW w:type="dxa" w:w="2160"/>
          </w:tcPr>
          <w:p>
            <w:r>
              <w:t>20% of contract value</w:t>
            </w:r>
          </w:p>
        </w:tc>
        <w:tc>
          <w:tcPr>
            <w:tcW w:type="dxa" w:w="2160"/>
          </w:tcPr>
          <w:p>
            <w:r>
              <w:t>30 April 2024</w:t>
            </w:r>
          </w:p>
        </w:tc>
      </w:tr>
      <w:tr>
        <w:tc>
          <w:tcPr>
            <w:tcW w:type="dxa" w:w="2160"/>
          </w:tcPr>
          <w:p>
            <w:r>
              <w:t>M3</w:t>
            </w:r>
          </w:p>
        </w:tc>
        <w:tc>
          <w:tcPr>
            <w:tcW w:type="dxa" w:w="2160"/>
          </w:tcPr>
          <w:p>
            <w:r>
              <w:t>Superstructure complete</w:t>
            </w:r>
          </w:p>
        </w:tc>
        <w:tc>
          <w:tcPr>
            <w:tcW w:type="dxa" w:w="2160"/>
          </w:tcPr>
          <w:p>
            <w:r>
              <w:t>25% of contract value</w:t>
            </w:r>
          </w:p>
        </w:tc>
        <w:tc>
          <w:tcPr>
            <w:tcW w:type="dxa" w:w="2160"/>
          </w:tcPr>
          <w:p>
            <w:r>
              <w:t>31 August 2024</w:t>
            </w:r>
          </w:p>
        </w:tc>
      </w:tr>
      <w:tr>
        <w:tc>
          <w:tcPr>
            <w:tcW w:type="dxa" w:w="2160"/>
          </w:tcPr>
          <w:p>
            <w:r>
              <w:t>M4</w:t>
            </w:r>
          </w:p>
        </w:tc>
        <w:tc>
          <w:tcPr>
            <w:tcW w:type="dxa" w:w="2160"/>
          </w:tcPr>
          <w:p>
            <w:r>
              <w:t>MEP rough-in complete</w:t>
            </w:r>
          </w:p>
        </w:tc>
        <w:tc>
          <w:tcPr>
            <w:tcW w:type="dxa" w:w="2160"/>
          </w:tcPr>
          <w:p>
            <w:r>
              <w:t>20% of contract value</w:t>
            </w:r>
          </w:p>
        </w:tc>
        <w:tc>
          <w:tcPr>
            <w:tcW w:type="dxa" w:w="2160"/>
          </w:tcPr>
          <w:p>
            <w:r>
              <w:t>31 October 2024</w:t>
            </w:r>
          </w:p>
        </w:tc>
      </w:tr>
      <w:tr>
        <w:tc>
          <w:tcPr>
            <w:tcW w:type="dxa" w:w="2160"/>
          </w:tcPr>
          <w:p>
            <w:r>
              <w:t>M5</w:t>
            </w:r>
          </w:p>
        </w:tc>
        <w:tc>
          <w:tcPr>
            <w:tcW w:type="dxa" w:w="2160"/>
          </w:tcPr>
          <w:p>
            <w:r>
              <w:t>Finishing complete</w:t>
            </w:r>
          </w:p>
        </w:tc>
        <w:tc>
          <w:tcPr>
            <w:tcW w:type="dxa" w:w="2160"/>
          </w:tcPr>
          <w:p>
            <w:r>
              <w:t>15% of contract value</w:t>
            </w:r>
          </w:p>
        </w:tc>
        <w:tc>
          <w:tcPr>
            <w:tcW w:type="dxa" w:w="2160"/>
          </w:tcPr>
          <w:p>
            <w:r>
              <w:t>15 December 2024</w:t>
            </w:r>
          </w:p>
        </w:tc>
      </w:tr>
      <w:tr>
        <w:tc>
          <w:tcPr>
            <w:tcW w:type="dxa" w:w="2160"/>
          </w:tcPr>
          <w:p>
            <w:r>
              <w:t>M6</w:t>
            </w:r>
          </w:p>
        </w:tc>
        <w:tc>
          <w:tcPr>
            <w:tcW w:type="dxa" w:w="2160"/>
          </w:tcPr>
          <w:p>
            <w:r>
              <w:t>Handover and snagging complete</w:t>
            </w:r>
          </w:p>
        </w:tc>
        <w:tc>
          <w:tcPr>
            <w:tcW w:type="dxa" w:w="2160"/>
          </w:tcPr>
          <w:p>
            <w:r>
              <w:t>10% of contract value (less retention)</w:t>
            </w:r>
          </w:p>
        </w:tc>
        <w:tc>
          <w:tcPr>
            <w:tcW w:type="dxa" w:w="2160"/>
          </w:tcPr>
          <w:p>
            <w:r>
              <w:t>31 December 2024</w:t>
            </w:r>
          </w:p>
        </w:tc>
      </w:tr>
    </w:tbl>
    <w:p>
      <w:pPr>
        <w:pStyle w:val="Heading1"/>
      </w:pPr>
      <w:r>
        <w:t>7. Quality and Materials</w:t>
      </w:r>
    </w:p>
    <w:p>
      <w:r>
        <w:t>All materials shall conform to IS specifications or their equivalent international standards as approved by the Architect. Structural concrete shall be M40 grade for columns and M35 for slabs. Reinforcement steel shall be Fe500D conforming to IS 1786. The Contractor shall submit material test certificates for all major procurements prior to incorporation in the works.</w:t>
      </w:r>
    </w:p>
    <w:p>
      <w:pPr>
        <w:pStyle w:val="Heading1"/>
      </w:pPr>
      <w:r>
        <w:t>8. Insurance and Safety</w:t>
      </w:r>
    </w:p>
    <w:p>
      <w:r>
        <w:t>The Contractor shall maintain Contractors All Risks insurance and Workmens Compensation insurance for the full duration of the project, with cover amounts not less than 110% of the contract value. A comprehensive site safety plan conforming to the Building and Other Construction Workers Act, 1996 shall be maintained at all times.</w:t>
      </w:r>
    </w:p>
    <w:p>
      <w:pPr>
        <w:pStyle w:val="Heading1"/>
      </w:pPr>
      <w:r>
        <w:t>9. Force Majeure</w:t>
      </w:r>
    </w:p>
    <w:p>
      <w:r>
        <w:t>Neither party shall be liable for any delay or failure in performance resulting from events beyond its reasonable control, including but not limited to acts of God, war, civil unrest, pandemic, government regulation, or extreme weather conditions lasting more than seventy-two hours. The affected party shall notify the other in writing within seven days of the event.</w:t>
      </w:r>
    </w:p>
    <w:p>
      <w:pPr>
        <w:pStyle w:val="Heading1"/>
      </w:pPr>
      <w:r>
        <w:t>10. Dispute Resolution</w:t>
      </w:r>
    </w:p>
    <w:p>
      <w:r>
        <w:t>Any dispute arising out of this agreement shall first be referred to mutual discussion between senior management of both parties. Failing resolution within thirty days, the dispute shall be referred to arbitration under the Arbitration and Conciliation Act, 1996, with a sole arbitrator appointed by mutual consent. The venue of arbitration shall be Bengaluru.</w:t>
      </w:r>
    </w:p>
    <w:p>
      <w:pPr>
        <w:pStyle w:val="Heading1"/>
      </w:pPr>
      <w:r>
        <w:t>11. Defect Liability Period</w:t>
      </w:r>
    </w:p>
    <w:p>
      <w:r>
        <w:t>The Contractor shall remain liable for defects in workmanship or materials for a period of twenty-four (24) months from the date of certified handover. A retention amount equal to 5% of the contract value shall be held back and released in two equal instalments at the end of the first and second years of the defect liability period, subject to rectification of any notified defects.</w:t>
      </w:r>
    </w:p>
    <w:p>
      <w:pPr>
        <w:pStyle w:val="Heading1"/>
      </w:pPr>
      <w:r>
        <w:t>12. Liquidated Damages (Penalty Clause)</w:t>
      </w:r>
    </w:p>
    <w:p>
      <w:r>
        <w:t>In the event that the Contractor fails to achieve the project handover date specified in Section 5, liquidated damages shall be levied at the rate of 0.5% (zero point five percent) of the total contract value per week of delay, subject to a maximum cap of 5% (five percent) of the total contract value. Time is of the essence in this agreement. Liquidated damages shall be deducted from amounts otherwise due to the Contractor or recovered from the retention. The Employer reserves the right to terminate the contract if the delay exceeds 180 days beyond the agreed handover date.</w:t>
      </w:r>
    </w:p>
    <w:p>
      <w:pPr>
        <w:pStyle w:val="Heading1"/>
      </w:pPr>
      <w:r>
        <w:t>13. Variation Orders</w:t>
      </w:r>
    </w:p>
    <w:p>
      <w:r>
        <w:t>Any variation to the scope, specifications, or value of the contract shall be executed through a formal Variation Order signed by authorised representatives of both parties. No verbal instructions shall constitute a variation.</w:t>
      </w:r>
    </w:p>
    <w:p>
      <w:pPr>
        <w:pStyle w:val="Heading1"/>
      </w:pPr>
      <w:r>
        <w:t>14. Governing Law</w:t>
      </w:r>
    </w:p>
    <w:p>
      <w:r>
        <w:t>This agreement shall be governed by and construed in accordance with the laws of India. The courts at Bengaluru shall have exclusive jurisdiction.</w:t>
      </w:r>
    </w:p>
    <w:p/>
    <w:p>
      <w:r>
        <w:t>--- END OF DOCUMENT ---</w:t>
      </w:r>
    </w:p>
    <w:p>
      <w:r>
        <w:rPr>
          <w:b/>
        </w:rPr>
        <w:t>Signed for and on behalf of Apex Construction Ltd:</w:t>
        <w:br/>
      </w:r>
    </w:p>
    <w:p>
      <w:r>
        <w:t>______________________________</w:t>
      </w:r>
    </w:p>
    <w:p>
      <w:r>
        <w:rPr>
          <w:b/>
        </w:rPr>
        <w:t>Signed for and on behalf of Meridian Infrastructures Pvt Ltd:</w:t>
        <w:br/>
      </w:r>
    </w:p>
    <w:p>
      <w:r>
        <w:t>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