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55" w:rsidRDefault="00720755" w:rsidP="00720755">
      <w:pPr>
        <w:spacing w:after="0" w:line="265" w:lineRule="auto"/>
        <w:ind w:right="53"/>
        <w:jc w:val="center"/>
      </w:pPr>
      <w:proofErr w:type="spellStart"/>
      <w:r>
        <w:rPr>
          <w:b/>
          <w:sz w:val="28"/>
        </w:rPr>
        <w:t>Annex</w:t>
      </w:r>
      <w:proofErr w:type="spellEnd"/>
      <w:r>
        <w:rPr>
          <w:b/>
          <w:sz w:val="28"/>
        </w:rPr>
        <w:t xml:space="preserve"> C</w:t>
      </w:r>
      <w:r>
        <w:rPr>
          <w:sz w:val="28"/>
        </w:rPr>
        <w:t xml:space="preserve"> </w:t>
      </w:r>
    </w:p>
    <w:p w:rsidR="00720755" w:rsidRDefault="00720755" w:rsidP="00720755">
      <w:pPr>
        <w:spacing w:after="0" w:line="259" w:lineRule="auto"/>
        <w:ind w:right="58"/>
        <w:jc w:val="center"/>
      </w:pPr>
      <w:r>
        <w:rPr>
          <w:sz w:val="28"/>
        </w:rPr>
        <w:t>(</w:t>
      </w:r>
      <w:proofErr w:type="spellStart"/>
      <w:r>
        <w:rPr>
          <w:sz w:val="28"/>
        </w:rPr>
        <w:t>informative</w:t>
      </w:r>
      <w:proofErr w:type="spellEnd"/>
      <w:r>
        <w:rPr>
          <w:sz w:val="28"/>
        </w:rPr>
        <w:t xml:space="preserve">) </w:t>
      </w:r>
    </w:p>
    <w:p w:rsidR="00720755" w:rsidRDefault="00720755" w:rsidP="00720755">
      <w:pPr>
        <w:spacing w:after="0" w:line="259" w:lineRule="auto"/>
        <w:ind w:left="21" w:right="0" w:firstLine="0"/>
        <w:jc w:val="center"/>
      </w:pPr>
      <w:r>
        <w:rPr>
          <w:b/>
          <w:sz w:val="28"/>
        </w:rPr>
        <w:t xml:space="preserve"> </w:t>
      </w:r>
    </w:p>
    <w:p w:rsidR="00720755" w:rsidRDefault="00720755" w:rsidP="00720755">
      <w:pPr>
        <w:pStyle w:val="Nadpis2"/>
        <w:spacing w:after="652" w:line="265" w:lineRule="auto"/>
        <w:ind w:right="55"/>
        <w:jc w:val="center"/>
      </w:pPr>
      <w:proofErr w:type="spellStart"/>
      <w:r>
        <w:rPr>
          <w:sz w:val="28"/>
        </w:rPr>
        <w:t>Examples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typical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threats</w:t>
      </w:r>
      <w:proofErr w:type="spellEnd"/>
      <w:r>
        <w:rPr>
          <w:sz w:val="28"/>
        </w:rPr>
        <w:t xml:space="preserve"> </w:t>
      </w:r>
    </w:p>
    <w:p w:rsidR="00720755" w:rsidRDefault="00720755" w:rsidP="00720755">
      <w:pPr>
        <w:spacing w:after="10"/>
        <w:ind w:left="19" w:right="48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, 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(natural)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list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type </w:t>
      </w:r>
      <w:proofErr w:type="spellStart"/>
      <w:r>
        <w:t>where</w:t>
      </w:r>
      <w:proofErr w:type="spellEnd"/>
      <w:r>
        <w:t xml:space="preserve"> D (</w:t>
      </w:r>
      <w:proofErr w:type="spellStart"/>
      <w:r>
        <w:t>deliberate</w:t>
      </w:r>
      <w:proofErr w:type="spellEnd"/>
      <w:r>
        <w:t>), A (</w:t>
      </w:r>
      <w:proofErr w:type="spellStart"/>
      <w:r>
        <w:t>accidental</w:t>
      </w:r>
      <w:proofErr w:type="spellEnd"/>
      <w:r>
        <w:t>), E (</w:t>
      </w:r>
      <w:proofErr w:type="spellStart"/>
      <w:r>
        <w:t>environmental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. 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and 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are not in priority </w:t>
      </w:r>
      <w:proofErr w:type="spellStart"/>
      <w:r>
        <w:t>order</w:t>
      </w:r>
      <w:proofErr w:type="spellEnd"/>
      <w:r>
        <w:t xml:space="preserve">. </w:t>
      </w:r>
    </w:p>
    <w:tbl>
      <w:tblPr>
        <w:tblStyle w:val="TableGrid"/>
        <w:tblW w:w="8489" w:type="dxa"/>
        <w:tblInd w:w="632" w:type="dxa"/>
        <w:tblCellMar>
          <w:top w:w="89" w:type="dxa"/>
          <w:left w:w="128" w:type="dxa"/>
          <w:right w:w="77" w:type="dxa"/>
        </w:tblCellMar>
        <w:tblLook w:val="04A0" w:firstRow="1" w:lastRow="0" w:firstColumn="1" w:lastColumn="0" w:noHBand="0" w:noVBand="1"/>
      </w:tblPr>
      <w:tblGrid>
        <w:gridCol w:w="1938"/>
        <w:gridCol w:w="5580"/>
        <w:gridCol w:w="971"/>
      </w:tblGrid>
      <w:tr w:rsidR="00720755" w:rsidTr="00403FBA">
        <w:trPr>
          <w:trHeight w:val="335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>Type</w:t>
            </w:r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rPr>
                <w:b/>
              </w:rPr>
              <w:t>Threats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Origin</w:t>
            </w:r>
            <w:proofErr w:type="spellEnd"/>
            <w:r>
              <w:t xml:space="preserve"> </w:t>
            </w:r>
          </w:p>
        </w:tc>
      </w:tr>
      <w:tr w:rsidR="00720755" w:rsidTr="00403FBA">
        <w:trPr>
          <w:trHeight w:val="336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Fire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39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Pollution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r>
              <w:t xml:space="preserve">Major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39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media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Dust</w:t>
            </w:r>
            <w:proofErr w:type="spellEnd"/>
            <w:r>
              <w:t xml:space="preserve">, </w:t>
            </w:r>
            <w:proofErr w:type="spellStart"/>
            <w:r>
              <w:t>corrosion</w:t>
            </w:r>
            <w:proofErr w:type="spellEnd"/>
            <w:r>
              <w:t xml:space="preserve">, </w:t>
            </w:r>
            <w:proofErr w:type="spellStart"/>
            <w:r>
              <w:t>freezing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57" w:firstLine="0"/>
              <w:jc w:val="center"/>
            </w:pPr>
            <w:r>
              <w:t xml:space="preserve">Natural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Climatic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7" w:firstLine="0"/>
              <w:jc w:val="center"/>
            </w:pPr>
            <w:r>
              <w:t xml:space="preserve">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Seismic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6" w:firstLine="0"/>
              <w:jc w:val="center"/>
            </w:pPr>
            <w:r>
              <w:t xml:space="preserve">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Volcanic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7" w:firstLine="0"/>
              <w:jc w:val="center"/>
            </w:pPr>
            <w:r>
              <w:t xml:space="preserve">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Meteorological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6" w:firstLine="0"/>
              <w:jc w:val="center"/>
            </w:pPr>
            <w:r>
              <w:t xml:space="preserve">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Flood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5" w:firstLine="0"/>
              <w:jc w:val="center"/>
            </w:pPr>
            <w:r>
              <w:t xml:space="preserve">E </w:t>
            </w:r>
          </w:p>
        </w:tc>
      </w:tr>
      <w:tr w:rsidR="00720755" w:rsidTr="00403FBA">
        <w:trPr>
          <w:trHeight w:val="336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air-</w:t>
            </w:r>
            <w:proofErr w:type="spellStart"/>
            <w:r>
              <w:t>conditioning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3" w:firstLine="0"/>
              <w:jc w:val="center"/>
            </w:pPr>
            <w:r>
              <w:t xml:space="preserve">A, 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39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telecommunication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t xml:space="preserve">A, D </w:t>
            </w:r>
          </w:p>
        </w:tc>
      </w:tr>
      <w:tr w:rsidR="00720755" w:rsidTr="00403FBA">
        <w:trPr>
          <w:trHeight w:val="336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r>
              <w:t xml:space="preserve">Disturbance </w:t>
            </w:r>
            <w:proofErr w:type="spellStart"/>
            <w:r>
              <w:t>due</w:t>
            </w:r>
            <w:proofErr w:type="spellEnd"/>
            <w:r>
              <w:t xml:space="preserve"> to </w:t>
            </w:r>
            <w:proofErr w:type="spellStart"/>
            <w:r>
              <w:t>radiation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Electromagnetic</w:t>
            </w:r>
            <w:proofErr w:type="spellEnd"/>
            <w:r>
              <w:t xml:space="preserve"> </w:t>
            </w:r>
            <w:proofErr w:type="spellStart"/>
            <w:r>
              <w:t>radiation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Thermal</w:t>
            </w:r>
            <w:proofErr w:type="spellEnd"/>
            <w:r>
              <w:t xml:space="preserve"> </w:t>
            </w:r>
            <w:proofErr w:type="spellStart"/>
            <w:r>
              <w:t>radiation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Electromagnetic</w:t>
            </w:r>
            <w:proofErr w:type="spellEnd"/>
            <w:r>
              <w:t xml:space="preserve"> </w:t>
            </w:r>
            <w:proofErr w:type="spellStart"/>
            <w:r>
              <w:t>pulses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40" w:right="0" w:firstLine="0"/>
              <w:jc w:val="left"/>
            </w:pPr>
            <w:r>
              <w:t xml:space="preserve">A, D, E </w:t>
            </w:r>
          </w:p>
        </w:tc>
      </w:tr>
      <w:tr w:rsidR="00720755" w:rsidTr="00403FBA">
        <w:trPr>
          <w:trHeight w:val="336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Compromise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Interception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compromising</w:t>
            </w:r>
            <w:proofErr w:type="spellEnd"/>
            <w:r>
              <w:t xml:space="preserve"> interference </w:t>
            </w:r>
            <w:proofErr w:type="spellStart"/>
            <w:r>
              <w:t>signals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3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spying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Eavesdropping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media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1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1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Retrieval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recycled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discarded</w:t>
            </w:r>
            <w:proofErr w:type="spellEnd"/>
            <w:r>
              <w:t xml:space="preserve"> media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Disclosure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4" w:firstLine="0"/>
              <w:jc w:val="center"/>
            </w:pPr>
            <w:r>
              <w:t xml:space="preserve">A, 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r>
              <w:t xml:space="preserve">Data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untrustworthy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6" w:firstLine="0"/>
              <w:jc w:val="center"/>
            </w:pPr>
            <w:r>
              <w:t xml:space="preserve">A, 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Tampering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hardware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</w:tr>
      <w:tr w:rsidR="00720755" w:rsidTr="00403FB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Tampering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software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5" w:firstLine="0"/>
              <w:jc w:val="center"/>
            </w:pPr>
            <w:r>
              <w:t xml:space="preserve">A, D </w:t>
            </w:r>
          </w:p>
        </w:tc>
      </w:tr>
      <w:tr w:rsidR="00720755" w:rsidTr="00403FBA">
        <w:trPr>
          <w:trHeight w:val="3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t>Position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51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Type</w:t>
            </w:r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31" w:firstLine="0"/>
              <w:jc w:val="center"/>
            </w:pPr>
            <w:proofErr w:type="spellStart"/>
            <w:r>
              <w:rPr>
                <w:b/>
              </w:rPr>
              <w:t>Threats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rPr>
                <w:b/>
              </w:rPr>
              <w:t>Origin</w:t>
            </w:r>
            <w:proofErr w:type="spellEnd"/>
            <w:r>
              <w:t xml:space="preserve">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5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failures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4" w:firstLine="0"/>
              <w:jc w:val="center"/>
            </w:pPr>
            <w:r>
              <w:t xml:space="preserve">A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5" w:firstLine="0"/>
              <w:jc w:val="center"/>
            </w:pPr>
            <w:r>
              <w:t xml:space="preserve">A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Saturation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3" w:firstLine="0"/>
              <w:jc w:val="center"/>
            </w:pPr>
            <w:r>
              <w:t xml:space="preserve">A, 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Software </w:t>
            </w:r>
            <w:proofErr w:type="spellStart"/>
            <w:r>
              <w:t>malfunction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5" w:firstLine="0"/>
              <w:jc w:val="center"/>
            </w:pPr>
            <w:r>
              <w:t xml:space="preserve">A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Breach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maintainability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3" w:firstLine="0"/>
              <w:jc w:val="center"/>
            </w:pPr>
            <w:r>
              <w:t xml:space="preserve">A, 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5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Unauthorised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Unauthorised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3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Fraudulent</w:t>
            </w:r>
            <w:proofErr w:type="spellEnd"/>
            <w:r>
              <w:t xml:space="preserve"> </w:t>
            </w:r>
            <w:proofErr w:type="spellStart"/>
            <w:r>
              <w:t>copying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software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1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counterfeit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copied</w:t>
            </w:r>
            <w:proofErr w:type="spellEnd"/>
            <w:r>
              <w:t xml:space="preserve"> software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3" w:firstLine="0"/>
              <w:jc w:val="center"/>
            </w:pPr>
            <w:r>
              <w:t xml:space="preserve">A, 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Corruption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2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2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5"/>
        </w:trPr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Compromise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Error</w:t>
            </w:r>
            <w:proofErr w:type="spellEnd"/>
            <w:r>
              <w:t xml:space="preserve"> in use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4" w:firstLine="0"/>
              <w:jc w:val="center"/>
            </w:pPr>
            <w:r>
              <w:t xml:space="preserve">A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Abuse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3" w:firstLine="0"/>
              <w:jc w:val="center"/>
            </w:pPr>
            <w:r>
              <w:t xml:space="preserve">A, 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Forging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1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31" w:firstLine="0"/>
              <w:jc w:val="center"/>
            </w:pPr>
            <w:r>
              <w:t xml:space="preserve">D </w:t>
            </w:r>
          </w:p>
        </w:tc>
      </w:tr>
      <w:tr w:rsidR="00720755" w:rsidTr="00403FBA">
        <w:tblPrEx>
          <w:tblCellMar>
            <w:left w:w="146" w:type="dxa"/>
            <w:right w:w="115" w:type="dxa"/>
          </w:tblCellMar>
        </w:tblPrEx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Breach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0" w:line="259" w:lineRule="auto"/>
              <w:ind w:left="22" w:right="0" w:firstLine="0"/>
              <w:jc w:val="left"/>
            </w:pPr>
            <w:r>
              <w:t xml:space="preserve">A, D, E </w:t>
            </w:r>
          </w:p>
        </w:tc>
      </w:tr>
    </w:tbl>
    <w:p w:rsidR="00720755" w:rsidRDefault="00720755" w:rsidP="00720755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720755" w:rsidRDefault="00720755" w:rsidP="00720755">
      <w:pPr>
        <w:spacing w:after="10"/>
        <w:ind w:left="19" w:right="48"/>
      </w:pPr>
      <w:proofErr w:type="spellStart"/>
      <w:r>
        <w:t>Particular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These are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itemized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table: </w:t>
      </w:r>
    </w:p>
    <w:tbl>
      <w:tblPr>
        <w:tblStyle w:val="TableGrid"/>
        <w:tblW w:w="9749" w:type="dxa"/>
        <w:tblInd w:w="6" w:type="dxa"/>
        <w:tblCellMar>
          <w:top w:w="10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"/>
        <w:gridCol w:w="1975"/>
        <w:gridCol w:w="14"/>
        <w:gridCol w:w="108"/>
        <w:gridCol w:w="3791"/>
        <w:gridCol w:w="13"/>
        <w:gridCol w:w="108"/>
        <w:gridCol w:w="3637"/>
        <w:gridCol w:w="51"/>
      </w:tblGrid>
      <w:tr w:rsidR="00720755" w:rsidTr="00403FBA">
        <w:trPr>
          <w:trHeight w:val="359"/>
        </w:trPr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Origin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threat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7" w:right="0" w:firstLine="0"/>
              <w:jc w:val="center"/>
            </w:pPr>
            <w:proofErr w:type="spellStart"/>
            <w:r>
              <w:rPr>
                <w:b/>
              </w:rPr>
              <w:t>Motivation</w:t>
            </w:r>
            <w:proofErr w:type="spellEnd"/>
            <w: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9" w:right="0" w:firstLine="0"/>
              <w:jc w:val="center"/>
            </w:pPr>
            <w:proofErr w:type="spellStart"/>
            <w:r>
              <w:rPr>
                <w:b/>
              </w:rPr>
              <w:t>Possible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consequences</w:t>
            </w:r>
            <w:proofErr w:type="spellEnd"/>
            <w:r>
              <w:t xml:space="preserve"> </w:t>
            </w:r>
          </w:p>
        </w:tc>
      </w:tr>
      <w:tr w:rsidR="00720755" w:rsidTr="00403FBA">
        <w:trPr>
          <w:trHeight w:val="1760"/>
        </w:trPr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20755" w:rsidRDefault="00720755" w:rsidP="00403FBA">
            <w:pPr>
              <w:spacing w:after="0" w:line="259" w:lineRule="auto"/>
              <w:ind w:left="0" w:right="0" w:firstLine="0"/>
              <w:jc w:val="center"/>
            </w:pPr>
            <w:r>
              <w:t xml:space="preserve">Hacker, </w:t>
            </w:r>
            <w:proofErr w:type="spellStart"/>
            <w:r>
              <w:t>cracker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Challenge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r>
              <w:t xml:space="preserve">Ego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Rebellion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1" w:line="259" w:lineRule="auto"/>
              <w:ind w:left="0" w:right="0" w:firstLine="0"/>
              <w:jc w:val="left"/>
            </w:pPr>
            <w:r>
              <w:t xml:space="preserve">Status </w:t>
            </w:r>
          </w:p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Money 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720755">
            <w:pPr>
              <w:numPr>
                <w:ilvl w:val="0"/>
                <w:numId w:val="1"/>
              </w:numPr>
              <w:spacing w:after="103" w:line="259" w:lineRule="auto"/>
              <w:ind w:right="0" w:hanging="125"/>
              <w:jc w:val="left"/>
            </w:pPr>
            <w:proofErr w:type="spellStart"/>
            <w:r>
              <w:t>Hacking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1"/>
              </w:numPr>
              <w:spacing w:after="103" w:line="259" w:lineRule="auto"/>
              <w:ind w:right="0" w:hanging="125"/>
              <w:jc w:val="left"/>
            </w:pP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1"/>
              </w:numPr>
              <w:spacing w:after="103" w:line="259" w:lineRule="auto"/>
              <w:ind w:right="0" w:hanging="125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intrusion</w:t>
            </w:r>
            <w:proofErr w:type="spellEnd"/>
            <w:r>
              <w:t xml:space="preserve">, </w:t>
            </w:r>
            <w:proofErr w:type="spellStart"/>
            <w:r>
              <w:t>break-ins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1"/>
              </w:numPr>
              <w:spacing w:after="0" w:line="259" w:lineRule="auto"/>
              <w:ind w:right="0" w:hanging="125"/>
              <w:jc w:val="left"/>
            </w:pPr>
            <w:proofErr w:type="spellStart"/>
            <w:r>
              <w:t>Unauthorized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</w:p>
        </w:tc>
      </w:tr>
      <w:tr w:rsidR="00720755" w:rsidTr="00403FBA">
        <w:trPr>
          <w:trHeight w:val="1991"/>
        </w:trPr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20755" w:rsidRDefault="00720755" w:rsidP="00403FBA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lastRenderedPageBreak/>
              <w:t>Computer</w:t>
            </w:r>
            <w:proofErr w:type="spellEnd"/>
            <w:r>
              <w:t xml:space="preserve"> </w:t>
            </w:r>
            <w:proofErr w:type="spellStart"/>
            <w:r>
              <w:t>criminal</w:t>
            </w:r>
            <w:proofErr w:type="spellEnd"/>
            <w:r>
              <w:t xml:space="preserve"> </w:t>
            </w: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gain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Unauthorized</w:t>
            </w:r>
            <w:proofErr w:type="spellEnd"/>
            <w:r>
              <w:t xml:space="preserve"> data </w:t>
            </w:r>
            <w:proofErr w:type="spellStart"/>
            <w:r>
              <w:t>alteration</w:t>
            </w:r>
            <w:proofErr w:type="spellEnd"/>
            <w: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720755">
            <w:pPr>
              <w:numPr>
                <w:ilvl w:val="0"/>
                <w:numId w:val="2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crime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stalking</w:t>
            </w:r>
            <w:proofErr w:type="spellEnd"/>
            <w:r>
              <w:t xml:space="preserve">) </w:t>
            </w:r>
          </w:p>
          <w:p w:rsidR="00720755" w:rsidRDefault="00720755" w:rsidP="00720755">
            <w:pPr>
              <w:numPr>
                <w:ilvl w:val="0"/>
                <w:numId w:val="2"/>
              </w:numPr>
              <w:spacing w:after="120" w:line="241" w:lineRule="auto"/>
              <w:ind w:right="0" w:firstLine="0"/>
              <w:jc w:val="left"/>
            </w:pPr>
            <w:proofErr w:type="spellStart"/>
            <w:r>
              <w:t>Fraudulent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replay</w:t>
            </w:r>
            <w:proofErr w:type="spellEnd"/>
            <w:r>
              <w:t xml:space="preserve">, </w:t>
            </w:r>
            <w:proofErr w:type="spellStart"/>
            <w:r>
              <w:t>impersonation</w:t>
            </w:r>
            <w:proofErr w:type="spellEnd"/>
            <w:r>
              <w:t xml:space="preserve">, </w:t>
            </w:r>
            <w:proofErr w:type="spellStart"/>
            <w:r>
              <w:t>interception</w:t>
            </w:r>
            <w:proofErr w:type="spellEnd"/>
            <w:r>
              <w:t xml:space="preserve">) </w:t>
            </w:r>
          </w:p>
          <w:p w:rsidR="00720755" w:rsidRDefault="00720755" w:rsidP="00720755">
            <w:pPr>
              <w:numPr>
                <w:ilvl w:val="0"/>
                <w:numId w:val="2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bribery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2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Spoofing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2"/>
              </w:numPr>
              <w:spacing w:after="0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intrusion</w:t>
            </w:r>
            <w:proofErr w:type="spellEnd"/>
            <w:r>
              <w:t xml:space="preserve"> </w:t>
            </w:r>
          </w:p>
        </w:tc>
      </w:tr>
      <w:tr w:rsidR="00720755" w:rsidTr="00403FBA">
        <w:trPr>
          <w:trHeight w:val="2108"/>
        </w:trPr>
        <w:tc>
          <w:tcPr>
            <w:tcW w:w="2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20755" w:rsidRDefault="00720755" w:rsidP="00403FBA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Terrorist</w:t>
            </w:r>
            <w:proofErr w:type="spellEnd"/>
            <w:r>
              <w:t xml:space="preserve"> </w:t>
            </w: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01" w:line="259" w:lineRule="auto"/>
              <w:ind w:left="0" w:right="0" w:firstLine="0"/>
              <w:jc w:val="left"/>
            </w:pPr>
            <w:proofErr w:type="spellStart"/>
            <w:r>
              <w:t>Blackmail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Destruction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Exploitation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Revenge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0" w:right="0" w:firstLine="0"/>
              <w:jc w:val="left"/>
            </w:pPr>
            <w:proofErr w:type="spellStart"/>
            <w:r>
              <w:t>Political</w:t>
            </w:r>
            <w:proofErr w:type="spellEnd"/>
            <w:r>
              <w:t xml:space="preserve"> </w:t>
            </w:r>
            <w:proofErr w:type="spellStart"/>
            <w:r>
              <w:t>Gain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0" w:right="0" w:firstLine="0"/>
              <w:jc w:val="left"/>
            </w:pPr>
            <w:r>
              <w:t xml:space="preserve">Media </w:t>
            </w:r>
            <w:proofErr w:type="spellStart"/>
            <w:r>
              <w:t>Coverage</w:t>
            </w:r>
            <w:proofErr w:type="spellEnd"/>
            <w: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755" w:rsidRDefault="00720755" w:rsidP="00720755">
            <w:pPr>
              <w:numPr>
                <w:ilvl w:val="0"/>
                <w:numId w:val="3"/>
              </w:numPr>
              <w:spacing w:after="101" w:line="259" w:lineRule="auto"/>
              <w:ind w:right="0" w:firstLine="0"/>
              <w:jc w:val="left"/>
            </w:pPr>
            <w:r>
              <w:t>Bomb/</w:t>
            </w:r>
            <w:proofErr w:type="spellStart"/>
            <w:r>
              <w:t>Terrorism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3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warfare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3"/>
              </w:numPr>
              <w:spacing w:after="120" w:line="241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) </w:t>
            </w:r>
          </w:p>
          <w:p w:rsidR="00720755" w:rsidRDefault="00720755" w:rsidP="00720755">
            <w:pPr>
              <w:numPr>
                <w:ilvl w:val="0"/>
                <w:numId w:val="3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penetration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tampering</w:t>
            </w:r>
            <w:proofErr w:type="spellEnd"/>
            <w:r>
              <w:t xml:space="preserve"> </w:t>
            </w:r>
          </w:p>
        </w:tc>
      </w:tr>
      <w:tr w:rsidR="00720755" w:rsidTr="00403FBA">
        <w:tblPrEx>
          <w:tblCellMar>
            <w:left w:w="62" w:type="dxa"/>
            <w:right w:w="48" w:type="dxa"/>
          </w:tblCellMar>
        </w:tblPrEx>
        <w:trPr>
          <w:gridBefore w:val="1"/>
          <w:gridAfter w:val="1"/>
          <w:wBefore w:w="52" w:type="dxa"/>
          <w:wAfter w:w="51" w:type="dxa"/>
          <w:trHeight w:val="36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Origin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threat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b/>
              </w:rPr>
              <w:t>Motivation</w:t>
            </w:r>
            <w:proofErr w:type="spellEnd"/>
            <w:r>
              <w:t xml:space="preserve"> </w:t>
            </w:r>
          </w:p>
        </w:tc>
        <w:tc>
          <w:tcPr>
            <w:tcW w:w="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0755" w:rsidRDefault="00720755" w:rsidP="00403FB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A"/>
          </w:tcPr>
          <w:p w:rsidR="00720755" w:rsidRDefault="00720755" w:rsidP="00403FBA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rPr>
                <w:b/>
              </w:rPr>
              <w:t>Possible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consequences</w:t>
            </w:r>
            <w:proofErr w:type="spellEnd"/>
            <w:r>
              <w:t xml:space="preserve"> </w:t>
            </w:r>
          </w:p>
        </w:tc>
      </w:tr>
      <w:tr w:rsidR="00720755" w:rsidTr="00403FBA">
        <w:tblPrEx>
          <w:tblCellMar>
            <w:left w:w="62" w:type="dxa"/>
            <w:right w:w="48" w:type="dxa"/>
          </w:tblCellMar>
        </w:tblPrEx>
        <w:trPr>
          <w:gridBefore w:val="1"/>
          <w:gridAfter w:val="1"/>
          <w:wBefore w:w="52" w:type="dxa"/>
          <w:wAfter w:w="51" w:type="dxa"/>
          <w:trHeight w:val="3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20755" w:rsidRDefault="00720755" w:rsidP="00403FBA">
            <w:pPr>
              <w:spacing w:after="0" w:line="259" w:lineRule="auto"/>
              <w:ind w:right="0" w:firstLine="0"/>
            </w:pP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espionage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41" w:lineRule="auto"/>
              <w:ind w:left="60" w:right="0" w:firstLine="278"/>
              <w:jc w:val="left"/>
            </w:pPr>
            <w:r>
              <w:t>(</w:t>
            </w:r>
            <w:proofErr w:type="spellStart"/>
            <w:r>
              <w:t>Intelligence</w:t>
            </w:r>
            <w:proofErr w:type="spellEnd"/>
            <w:r>
              <w:t xml:space="preserve">, </w:t>
            </w:r>
            <w:proofErr w:type="spellStart"/>
            <w:r>
              <w:t>companies</w:t>
            </w:r>
            <w:proofErr w:type="spellEnd"/>
            <w:r>
              <w:t xml:space="preserve">,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377" w:right="0" w:hanging="334"/>
              <w:jc w:val="left"/>
            </w:pPr>
            <w:proofErr w:type="spellStart"/>
            <w:r>
              <w:t>governments</w:t>
            </w:r>
            <w:proofErr w:type="spellEnd"/>
            <w:r>
              <w:t xml:space="preserve">,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) 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03" w:line="259" w:lineRule="auto"/>
              <w:ind w:left="60" w:right="0" w:firstLine="0"/>
              <w:jc w:val="left"/>
            </w:pP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60" w:right="0" w:firstLine="0"/>
              <w:jc w:val="left"/>
            </w:pP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espionage</w:t>
            </w:r>
            <w:proofErr w:type="spellEnd"/>
            <w:r>
              <w:t xml:space="preserve"> 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Defence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Political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exploitation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theft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Intrusion</w:t>
            </w:r>
            <w:proofErr w:type="spellEnd"/>
            <w:r>
              <w:t xml:space="preserve"> on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1" w:line="259" w:lineRule="auto"/>
              <w:ind w:left="184" w:right="0" w:hanging="125"/>
              <w:jc w:val="left"/>
            </w:pP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103" w:line="259" w:lineRule="auto"/>
              <w:ind w:left="184" w:right="0" w:hanging="125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penetration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4"/>
              </w:numPr>
              <w:spacing w:after="0" w:line="259" w:lineRule="auto"/>
              <w:ind w:left="184" w:right="0" w:hanging="125"/>
              <w:jc w:val="left"/>
            </w:pPr>
            <w:proofErr w:type="spellStart"/>
            <w:r>
              <w:t>Unauthorized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(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59" w:right="0" w:firstLine="0"/>
              <w:jc w:val="left"/>
            </w:pPr>
            <w:r>
              <w:t xml:space="preserve">to </w:t>
            </w:r>
            <w:proofErr w:type="spellStart"/>
            <w:r>
              <w:t>classified</w:t>
            </w:r>
            <w:proofErr w:type="spellEnd"/>
            <w:r>
              <w:t xml:space="preserve">, </w:t>
            </w:r>
            <w:proofErr w:type="spellStart"/>
            <w:r>
              <w:t>proprietary</w:t>
            </w:r>
            <w:proofErr w:type="spellEnd"/>
            <w:r>
              <w:t>, and/</w:t>
            </w:r>
            <w:proofErr w:type="spellStart"/>
            <w:r>
              <w:t>or</w:t>
            </w:r>
            <w:proofErr w:type="spellEnd"/>
            <w:r>
              <w:t xml:space="preserve"> technology-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) </w:t>
            </w:r>
          </w:p>
        </w:tc>
      </w:tr>
      <w:tr w:rsidR="00720755" w:rsidTr="00403FBA">
        <w:tblPrEx>
          <w:tblCellMar>
            <w:left w:w="62" w:type="dxa"/>
            <w:right w:w="48" w:type="dxa"/>
          </w:tblCellMar>
        </w:tblPrEx>
        <w:trPr>
          <w:gridBefore w:val="1"/>
          <w:gridAfter w:val="1"/>
          <w:wBefore w:w="52" w:type="dxa"/>
          <w:wAfter w:w="51" w:type="dxa"/>
          <w:trHeight w:val="514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20755" w:rsidRDefault="00720755" w:rsidP="00403FBA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t>Insiders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41" w:lineRule="auto"/>
              <w:ind w:left="389" w:right="0" w:hanging="151"/>
              <w:jc w:val="left"/>
            </w:pPr>
            <w:r>
              <w:t>(</w:t>
            </w:r>
            <w:proofErr w:type="spellStart"/>
            <w:r>
              <w:t>poorly</w:t>
            </w:r>
            <w:proofErr w:type="spellEnd"/>
            <w:r>
              <w:t xml:space="preserve"> </w:t>
            </w:r>
            <w:proofErr w:type="spellStart"/>
            <w:r>
              <w:t>trained</w:t>
            </w:r>
            <w:proofErr w:type="spellEnd"/>
            <w:r>
              <w:t xml:space="preserve">, </w:t>
            </w:r>
            <w:proofErr w:type="spellStart"/>
            <w:r>
              <w:t>disgruntled</w:t>
            </w:r>
            <w:proofErr w:type="spellEnd"/>
            <w:r>
              <w:t xml:space="preserve">, </w:t>
            </w:r>
          </w:p>
          <w:p w:rsidR="00720755" w:rsidRDefault="00720755" w:rsidP="00403FBA">
            <w:pPr>
              <w:spacing w:after="0" w:line="259" w:lineRule="auto"/>
              <w:ind w:left="334" w:right="0" w:hanging="334"/>
              <w:jc w:val="left"/>
            </w:pPr>
            <w:proofErr w:type="spellStart"/>
            <w:r>
              <w:t>malicious</w:t>
            </w:r>
            <w:proofErr w:type="spellEnd"/>
            <w:r>
              <w:t xml:space="preserve">, </w:t>
            </w:r>
            <w:proofErr w:type="spellStart"/>
            <w:r>
              <w:t>negligent</w:t>
            </w:r>
            <w:proofErr w:type="spellEnd"/>
            <w:r>
              <w:t xml:space="preserve">, </w:t>
            </w:r>
            <w:proofErr w:type="spellStart"/>
            <w:r>
              <w:t>dishonest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terminated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) 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403FBA">
            <w:pPr>
              <w:spacing w:after="103" w:line="259" w:lineRule="auto"/>
              <w:ind w:left="60" w:right="0" w:firstLine="0"/>
              <w:jc w:val="left"/>
            </w:pPr>
            <w:proofErr w:type="spellStart"/>
            <w:r>
              <w:t>Curiosity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60" w:right="0" w:firstLine="0"/>
              <w:jc w:val="left"/>
            </w:pPr>
            <w:r>
              <w:t xml:space="preserve">Ego </w:t>
            </w:r>
          </w:p>
          <w:p w:rsidR="00720755" w:rsidRDefault="00720755" w:rsidP="00403FBA">
            <w:pPr>
              <w:spacing w:after="101" w:line="259" w:lineRule="auto"/>
              <w:ind w:left="60" w:right="0" w:firstLine="0"/>
              <w:jc w:val="left"/>
            </w:pPr>
            <w:proofErr w:type="spellStart"/>
            <w:r>
              <w:t>Intelligence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60" w:right="0" w:firstLine="0"/>
              <w:jc w:val="left"/>
            </w:pP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gain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103" w:line="259" w:lineRule="auto"/>
              <w:ind w:left="60" w:right="0" w:firstLine="0"/>
              <w:jc w:val="left"/>
            </w:pPr>
            <w:proofErr w:type="spellStart"/>
            <w:r>
              <w:t>Revenge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60" w:right="0" w:firstLine="0"/>
              <w:jc w:val="left"/>
            </w:pPr>
            <w:proofErr w:type="spellStart"/>
            <w:r>
              <w:t>Unintentional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and </w:t>
            </w:r>
            <w:proofErr w:type="spellStart"/>
            <w:r>
              <w:t>omissions</w:t>
            </w:r>
            <w:proofErr w:type="spellEnd"/>
            <w:r>
              <w:t xml:space="preserve"> </w:t>
            </w:r>
          </w:p>
          <w:p w:rsidR="00720755" w:rsidRDefault="00720755" w:rsidP="00403FBA">
            <w:pPr>
              <w:spacing w:after="0" w:line="259" w:lineRule="auto"/>
              <w:ind w:left="60" w:right="0" w:firstLine="0"/>
              <w:jc w:val="left"/>
            </w:pPr>
            <w:r>
              <w:t>(</w:t>
            </w:r>
            <w:proofErr w:type="spellStart"/>
            <w:r>
              <w:t>e.g</w:t>
            </w:r>
            <w:proofErr w:type="spellEnd"/>
            <w:r>
              <w:t xml:space="preserve">. data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,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) 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Assault</w:t>
            </w:r>
            <w:proofErr w:type="spellEnd"/>
            <w:r>
              <w:t xml:space="preserve"> on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Blackmail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1" w:line="259" w:lineRule="auto"/>
              <w:ind w:right="0" w:firstLine="0"/>
              <w:jc w:val="left"/>
            </w:pPr>
            <w:proofErr w:type="spellStart"/>
            <w:r>
              <w:t>Browsing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proprietary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Computer</w:t>
            </w:r>
            <w:proofErr w:type="spellEnd"/>
            <w:r>
              <w:t xml:space="preserve"> abuse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Fraud</w:t>
            </w:r>
            <w:proofErr w:type="spellEnd"/>
            <w:r>
              <w:t xml:space="preserve"> and </w:t>
            </w:r>
            <w:proofErr w:type="spellStart"/>
            <w:r>
              <w:t>theft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bribery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r>
              <w:t xml:space="preserve">Input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falsified</w:t>
            </w:r>
            <w:proofErr w:type="spellEnd"/>
            <w:r>
              <w:t xml:space="preserve">, </w:t>
            </w:r>
            <w:proofErr w:type="spellStart"/>
            <w:r>
              <w:t>corrupted</w:t>
            </w:r>
            <w:proofErr w:type="spellEnd"/>
            <w:r>
              <w:t xml:space="preserve"> data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Interception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22" w:line="239" w:lineRule="auto"/>
              <w:ind w:right="0" w:firstLine="0"/>
              <w:jc w:val="left"/>
            </w:pPr>
            <w:proofErr w:type="spellStart"/>
            <w:r>
              <w:t>Malicious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virus, </w:t>
            </w:r>
            <w:proofErr w:type="spellStart"/>
            <w:r>
              <w:t>logic</w:t>
            </w:r>
            <w:proofErr w:type="spellEnd"/>
            <w:r>
              <w:t xml:space="preserve"> bomb, Trojan </w:t>
            </w:r>
            <w:proofErr w:type="spellStart"/>
            <w:r>
              <w:t>horse</w:t>
            </w:r>
            <w:proofErr w:type="spellEnd"/>
            <w:r>
              <w:t xml:space="preserve">)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Sale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intrusion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103" w:line="259" w:lineRule="auto"/>
              <w:ind w:right="0" w:firstLine="0"/>
              <w:jc w:val="left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sabotage</w:t>
            </w:r>
            <w:proofErr w:type="spellEnd"/>
            <w:r>
              <w:t xml:space="preserve"> </w:t>
            </w:r>
          </w:p>
          <w:p w:rsidR="00720755" w:rsidRDefault="00720755" w:rsidP="00720755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proofErr w:type="spellStart"/>
            <w:r>
              <w:t>Unauthorized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</w:p>
        </w:tc>
      </w:tr>
    </w:tbl>
    <w:p w:rsidR="00720755" w:rsidRDefault="00720755" w:rsidP="00720755">
      <w:pPr>
        <w:spacing w:after="0" w:line="259" w:lineRule="auto"/>
        <w:ind w:left="0" w:right="0" w:firstLine="0"/>
      </w:pPr>
      <w:r>
        <w:t xml:space="preserve"> </w:t>
      </w:r>
      <w:bookmarkStart w:id="0" w:name="_GoBack"/>
      <w:bookmarkEnd w:id="0"/>
    </w:p>
    <w:sectPr w:rsidR="0072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DED"/>
    <w:multiLevelType w:val="hybridMultilevel"/>
    <w:tmpl w:val="DCEAB68A"/>
    <w:lvl w:ilvl="0" w:tplc="7EAAA75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CBD22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265AA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368AE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4CC922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0B74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AEC5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E08EF6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1CAC5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6621E"/>
    <w:multiLevelType w:val="hybridMultilevel"/>
    <w:tmpl w:val="C9B479AC"/>
    <w:lvl w:ilvl="0" w:tplc="43C40EE0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69292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64426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8EA4F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00A1C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0CA91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A49C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EE97A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0F882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B18AC"/>
    <w:multiLevelType w:val="hybridMultilevel"/>
    <w:tmpl w:val="5A1C653E"/>
    <w:lvl w:ilvl="0" w:tplc="88243452">
      <w:start w:val="1"/>
      <w:numFmt w:val="bullet"/>
      <w:lvlText w:val="•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8EF54">
      <w:start w:val="1"/>
      <w:numFmt w:val="bullet"/>
      <w:lvlText w:val="o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34705E">
      <w:start w:val="1"/>
      <w:numFmt w:val="bullet"/>
      <w:lvlText w:val="▪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CD702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B427C6">
      <w:start w:val="1"/>
      <w:numFmt w:val="bullet"/>
      <w:lvlText w:val="o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8802E6">
      <w:start w:val="1"/>
      <w:numFmt w:val="bullet"/>
      <w:lvlText w:val="▪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300ED6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A7F6C">
      <w:start w:val="1"/>
      <w:numFmt w:val="bullet"/>
      <w:lvlText w:val="o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AD728">
      <w:start w:val="1"/>
      <w:numFmt w:val="bullet"/>
      <w:lvlText w:val="▪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C6556"/>
    <w:multiLevelType w:val="hybridMultilevel"/>
    <w:tmpl w:val="B7AE15B2"/>
    <w:lvl w:ilvl="0" w:tplc="D2E40BF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5EEC7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AACBA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28D26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8613A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E66C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C633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A8CD1C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AE12BA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704EB"/>
    <w:multiLevelType w:val="hybridMultilevel"/>
    <w:tmpl w:val="C96E1652"/>
    <w:lvl w:ilvl="0" w:tplc="A45841F2">
      <w:start w:val="1"/>
      <w:numFmt w:val="bullet"/>
      <w:lvlText w:val="•"/>
      <w:lvlJc w:val="left"/>
      <w:pPr>
        <w:ind w:left="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0A97E">
      <w:start w:val="1"/>
      <w:numFmt w:val="bullet"/>
      <w:lvlText w:val="o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4DF0C">
      <w:start w:val="1"/>
      <w:numFmt w:val="bullet"/>
      <w:lvlText w:val="▪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6A51BA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7072F0">
      <w:start w:val="1"/>
      <w:numFmt w:val="bullet"/>
      <w:lvlText w:val="o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0968A">
      <w:start w:val="1"/>
      <w:numFmt w:val="bullet"/>
      <w:lvlText w:val="▪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66602A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C73C4">
      <w:start w:val="1"/>
      <w:numFmt w:val="bullet"/>
      <w:lvlText w:val="o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6C7B6">
      <w:start w:val="1"/>
      <w:numFmt w:val="bullet"/>
      <w:lvlText w:val="▪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55"/>
    <w:rsid w:val="00720755"/>
    <w:rsid w:val="009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344A"/>
  <w15:chartTrackingRefBased/>
  <w15:docId w15:val="{D6D1A043-2CE3-4598-BA51-ACE5BB39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0755"/>
    <w:pPr>
      <w:spacing w:after="233" w:line="250" w:lineRule="auto"/>
      <w:ind w:left="10" w:right="60" w:hanging="10"/>
      <w:jc w:val="both"/>
    </w:pPr>
    <w:rPr>
      <w:rFonts w:ascii="Arial" w:eastAsia="Arial" w:hAnsi="Arial" w:cs="Arial"/>
      <w:color w:val="000000"/>
      <w:sz w:val="20"/>
      <w:lang w:eastAsia="cs-CZ"/>
    </w:rPr>
  </w:style>
  <w:style w:type="paragraph" w:styleId="Nadpis2">
    <w:name w:val="heading 2"/>
    <w:next w:val="Normln"/>
    <w:link w:val="Nadpis2Char"/>
    <w:uiPriority w:val="9"/>
    <w:unhideWhenUsed/>
    <w:qFormat/>
    <w:rsid w:val="00720755"/>
    <w:pPr>
      <w:keepNext/>
      <w:keepLines/>
      <w:spacing w:after="183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20755"/>
    <w:rPr>
      <w:rFonts w:ascii="Arial" w:eastAsia="Arial" w:hAnsi="Arial" w:cs="Arial"/>
      <w:b/>
      <w:color w:val="000000"/>
      <w:sz w:val="24"/>
      <w:lang w:eastAsia="cs-CZ"/>
    </w:rPr>
  </w:style>
  <w:style w:type="table" w:customStyle="1" w:styleId="TableGrid">
    <w:name w:val="TableGrid"/>
    <w:rsid w:val="00720755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Kunderová</dc:creator>
  <cp:keywords/>
  <dc:description/>
  <cp:lastModifiedBy>Ludmila Kunderová</cp:lastModifiedBy>
  <cp:revision>1</cp:revision>
  <dcterms:created xsi:type="dcterms:W3CDTF">2021-02-12T12:08:00Z</dcterms:created>
  <dcterms:modified xsi:type="dcterms:W3CDTF">2021-02-12T12:10:00Z</dcterms:modified>
</cp:coreProperties>
</file>