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A80" w:rsidRDefault="009B0A80" w:rsidP="009B0A80">
      <w:pPr>
        <w:spacing w:after="0" w:line="265" w:lineRule="auto"/>
        <w:ind w:right="54"/>
        <w:jc w:val="center"/>
      </w:pPr>
      <w:proofErr w:type="spellStart"/>
      <w:r>
        <w:rPr>
          <w:b/>
          <w:sz w:val="28"/>
        </w:rPr>
        <w:t>Annex</w:t>
      </w:r>
      <w:proofErr w:type="spellEnd"/>
      <w:r>
        <w:rPr>
          <w:b/>
          <w:sz w:val="28"/>
        </w:rPr>
        <w:t xml:space="preserve"> D</w:t>
      </w:r>
      <w:r>
        <w:rPr>
          <w:sz w:val="28"/>
        </w:rPr>
        <w:t xml:space="preserve"> </w:t>
      </w:r>
    </w:p>
    <w:p w:rsidR="009B0A80" w:rsidRDefault="009B0A80" w:rsidP="009B0A80">
      <w:pPr>
        <w:spacing w:after="0" w:line="259" w:lineRule="auto"/>
        <w:ind w:right="59"/>
        <w:jc w:val="center"/>
      </w:pPr>
      <w:r>
        <w:rPr>
          <w:sz w:val="28"/>
        </w:rPr>
        <w:t>(</w:t>
      </w:r>
      <w:proofErr w:type="spellStart"/>
      <w:r>
        <w:rPr>
          <w:sz w:val="28"/>
        </w:rPr>
        <w:t>informative</w:t>
      </w:r>
      <w:proofErr w:type="spellEnd"/>
      <w:r>
        <w:rPr>
          <w:sz w:val="28"/>
        </w:rPr>
        <w:t xml:space="preserve">) </w:t>
      </w:r>
    </w:p>
    <w:p w:rsidR="009B0A80" w:rsidRDefault="009B0A80" w:rsidP="009B0A80">
      <w:pPr>
        <w:spacing w:after="0" w:line="259" w:lineRule="auto"/>
        <w:ind w:left="20" w:right="0" w:firstLine="0"/>
        <w:jc w:val="center"/>
      </w:pPr>
      <w:r>
        <w:rPr>
          <w:b/>
          <w:sz w:val="28"/>
        </w:rPr>
        <w:t xml:space="preserve"> </w:t>
      </w:r>
    </w:p>
    <w:p w:rsidR="009B0A80" w:rsidRDefault="009B0A80" w:rsidP="009B0A80">
      <w:pPr>
        <w:pStyle w:val="Nadpis2"/>
        <w:spacing w:after="955" w:line="265" w:lineRule="auto"/>
        <w:ind w:right="58"/>
        <w:jc w:val="center"/>
      </w:pPr>
      <w:proofErr w:type="spellStart"/>
      <w:r>
        <w:rPr>
          <w:sz w:val="28"/>
        </w:rPr>
        <w:t>Vulnerabilities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methods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vulnerability </w:t>
      </w:r>
      <w:proofErr w:type="spellStart"/>
      <w:r>
        <w:rPr>
          <w:sz w:val="28"/>
        </w:rPr>
        <w:t>assessment</w:t>
      </w:r>
      <w:proofErr w:type="spellEnd"/>
      <w:r>
        <w:rPr>
          <w:sz w:val="28"/>
        </w:rPr>
        <w:t xml:space="preserve"> </w:t>
      </w:r>
    </w:p>
    <w:p w:rsidR="009B0A80" w:rsidRDefault="009B0A80" w:rsidP="009B0A80">
      <w:pPr>
        <w:pStyle w:val="Nadpis3"/>
        <w:spacing w:after="183" w:line="259" w:lineRule="auto"/>
        <w:ind w:left="-5"/>
      </w:pPr>
      <w:r>
        <w:rPr>
          <w:sz w:val="24"/>
        </w:rPr>
        <w:t xml:space="preserve">D.1 </w:t>
      </w:r>
      <w:proofErr w:type="spellStart"/>
      <w:r>
        <w:rPr>
          <w:sz w:val="24"/>
        </w:rPr>
        <w:t>Examples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vulnerabilities</w:t>
      </w:r>
      <w:proofErr w:type="spellEnd"/>
      <w:r>
        <w:rPr>
          <w:sz w:val="24"/>
        </w:rPr>
        <w:t xml:space="preserve"> </w:t>
      </w:r>
    </w:p>
    <w:p w:rsidR="009B0A80" w:rsidRDefault="009B0A80" w:rsidP="009B0A80">
      <w:pPr>
        <w:spacing w:after="10"/>
        <w:ind w:left="19" w:right="48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these </w:t>
      </w:r>
      <w:proofErr w:type="spellStart"/>
      <w:r>
        <w:t>vulnerabilities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vulnerabilities</w:t>
      </w:r>
      <w:proofErr w:type="spellEnd"/>
      <w:r>
        <w:t xml:space="preserve">,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incident </w:t>
      </w:r>
      <w:proofErr w:type="spellStart"/>
      <w:r>
        <w:t>scenarios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these </w:t>
      </w:r>
      <w:proofErr w:type="spellStart"/>
      <w:r>
        <w:t>vulnerabilities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</w:p>
    <w:tbl>
      <w:tblPr>
        <w:tblStyle w:val="TableGrid"/>
        <w:tblW w:w="9286" w:type="dxa"/>
        <w:tblInd w:w="6" w:type="dxa"/>
        <w:tblCellMar>
          <w:top w:w="106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461"/>
        <w:gridCol w:w="4046"/>
        <w:gridCol w:w="3779"/>
      </w:tblGrid>
      <w:tr w:rsidR="009B0A80" w:rsidTr="00403FBA">
        <w:trPr>
          <w:trHeight w:val="442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2" w:space="0" w:color="FFFFCC"/>
              <w:right w:val="single" w:sz="4" w:space="0" w:color="000000"/>
            </w:tcBorders>
            <w:shd w:val="clear" w:color="auto" w:fill="FFCC9A"/>
            <w:vAlign w:val="center"/>
          </w:tcPr>
          <w:p w:rsidR="009B0A80" w:rsidRDefault="009B0A80" w:rsidP="00403FBA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Types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CC9A"/>
            <w:vAlign w:val="center"/>
          </w:tcPr>
          <w:p w:rsidR="009B0A80" w:rsidRDefault="009B0A80" w:rsidP="00403FBA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Examples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vulnerabilities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CC9A"/>
            <w:vAlign w:val="center"/>
          </w:tcPr>
          <w:p w:rsidR="009B0A80" w:rsidRDefault="009B0A80" w:rsidP="00403FBA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/>
              </w:rPr>
              <w:t>Examples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threats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B0A80" w:rsidTr="00403FBA">
        <w:trPr>
          <w:trHeight w:val="594"/>
        </w:trPr>
        <w:tc>
          <w:tcPr>
            <w:tcW w:w="1460" w:type="dxa"/>
            <w:vMerge w:val="restart"/>
            <w:tcBorders>
              <w:top w:val="single" w:sz="2" w:space="0" w:color="FFFFCC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Hardware 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</w:pPr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maintenance</w:t>
            </w:r>
            <w:proofErr w:type="spellEnd"/>
            <w:r>
              <w:t>/</w:t>
            </w:r>
            <w:proofErr w:type="spellStart"/>
            <w:r>
              <w:t>faulty</w:t>
            </w:r>
            <w:proofErr w:type="spellEnd"/>
            <w:r>
              <w:t xml:space="preserve"> </w:t>
            </w:r>
            <w:proofErr w:type="spellStart"/>
            <w:r>
              <w:t>installation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media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Breach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maintainability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replacement</w:t>
            </w:r>
            <w:proofErr w:type="spellEnd"/>
            <w:r>
              <w:t xml:space="preserve"> </w:t>
            </w:r>
            <w:proofErr w:type="spellStart"/>
            <w:r>
              <w:t>schemes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Destruction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media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Susceptibility to humidity, </w:t>
            </w:r>
            <w:proofErr w:type="spellStart"/>
            <w:r>
              <w:t>dust</w:t>
            </w:r>
            <w:proofErr w:type="spellEnd"/>
            <w:r>
              <w:t xml:space="preserve">, </w:t>
            </w:r>
            <w:proofErr w:type="spellStart"/>
            <w:r>
              <w:t>soiling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Dust</w:t>
            </w:r>
            <w:proofErr w:type="spellEnd"/>
            <w:r>
              <w:t xml:space="preserve">, </w:t>
            </w:r>
            <w:proofErr w:type="spellStart"/>
            <w:r>
              <w:t>corrosion</w:t>
            </w:r>
            <w:proofErr w:type="spellEnd"/>
            <w:r>
              <w:t xml:space="preserve">, </w:t>
            </w:r>
            <w:proofErr w:type="spellStart"/>
            <w:r>
              <w:t>freezing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Sensitivity to </w:t>
            </w:r>
            <w:proofErr w:type="spellStart"/>
            <w:r>
              <w:t>electromagnetic</w:t>
            </w:r>
            <w:proofErr w:type="spellEnd"/>
            <w:r>
              <w:t xml:space="preserve"> </w:t>
            </w:r>
            <w:proofErr w:type="spellStart"/>
            <w:r>
              <w:t>radiation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Electromagnetic</w:t>
            </w:r>
            <w:proofErr w:type="spellEnd"/>
            <w:r>
              <w:t xml:space="preserve"> </w:t>
            </w:r>
            <w:proofErr w:type="spellStart"/>
            <w:r>
              <w:t>radiation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Susceptibility to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variations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Susceptibility to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variations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Meteorological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Unprotected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care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disposal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Uncontrolled</w:t>
            </w:r>
            <w:proofErr w:type="spellEnd"/>
            <w:r>
              <w:t xml:space="preserve"> </w:t>
            </w:r>
            <w:proofErr w:type="spellStart"/>
            <w:r>
              <w:t>copying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14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Software 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No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insufficient</w:t>
            </w:r>
            <w:proofErr w:type="spellEnd"/>
            <w:r>
              <w:t xml:space="preserve"> software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Well-known</w:t>
            </w:r>
            <w:proofErr w:type="spellEnd"/>
            <w:r>
              <w:t xml:space="preserve"> </w:t>
            </w:r>
            <w:proofErr w:type="spellStart"/>
            <w:r>
              <w:t>flaws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software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>No '</w:t>
            </w:r>
            <w:proofErr w:type="spellStart"/>
            <w:r>
              <w:t>logout</w:t>
            </w:r>
            <w:proofErr w:type="spellEnd"/>
            <w:r>
              <w:t xml:space="preserve">'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workstation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</w:pPr>
            <w:proofErr w:type="spellStart"/>
            <w:r>
              <w:t>Disposal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media </w:t>
            </w:r>
            <w:proofErr w:type="spellStart"/>
            <w:r>
              <w:t>without</w:t>
            </w:r>
            <w:proofErr w:type="spellEnd"/>
            <w:r>
              <w:t xml:space="preserve"> proper </w:t>
            </w:r>
            <w:proofErr w:type="spellStart"/>
            <w:r>
              <w:t>erasure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audit </w:t>
            </w:r>
            <w:proofErr w:type="spellStart"/>
            <w:r>
              <w:t>trail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3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Widely-distributed</w:t>
            </w:r>
            <w:proofErr w:type="spellEnd"/>
            <w:r>
              <w:t xml:space="preserve"> software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Corruption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</w:pPr>
            <w:proofErr w:type="spellStart"/>
            <w:r>
              <w:t>Applying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programs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data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Corruption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Complicated</w:t>
            </w:r>
            <w:proofErr w:type="spellEnd"/>
            <w:r>
              <w:t xml:space="preserve"> user interface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set up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  <w:r>
              <w:t xml:space="preserve"> </w:t>
            </w:r>
          </w:p>
        </w:tc>
        <w:tc>
          <w:tcPr>
            <w:tcW w:w="3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</w:tbl>
    <w:p w:rsidR="009B0A80" w:rsidRDefault="009B0A80" w:rsidP="009B0A8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0A80" w:rsidRDefault="009B0A80" w:rsidP="009B0A80">
      <w:pPr>
        <w:spacing w:after="0" w:line="259" w:lineRule="auto"/>
        <w:ind w:left="-743" w:right="763" w:firstLine="0"/>
        <w:jc w:val="left"/>
      </w:pPr>
    </w:p>
    <w:tbl>
      <w:tblPr>
        <w:tblStyle w:val="TableGrid"/>
        <w:tblW w:w="9287" w:type="dxa"/>
        <w:tblInd w:w="0" w:type="dxa"/>
        <w:tblCellMar>
          <w:top w:w="105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459"/>
        <w:gridCol w:w="4048"/>
        <w:gridCol w:w="3780"/>
      </w:tblGrid>
      <w:tr w:rsidR="009B0A80" w:rsidTr="00403FBA">
        <w:trPr>
          <w:trHeight w:val="593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FFFFCC"/>
              <w:right w:val="single" w:sz="4" w:space="0" w:color="000000"/>
            </w:tcBorders>
            <w:shd w:val="clear" w:color="auto" w:fill="FFFFCC"/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  <w:r>
              <w:t xml:space="preserve"> and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mechanisms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user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Forging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Unprotected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Forging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Poor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management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Forging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Unnecessary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</w:tr>
      <w:tr w:rsidR="009B0A80" w:rsidTr="00403FBA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Immature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software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Software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Unclear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incomplete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r>
              <w:t xml:space="preserve">Software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r>
              <w:t xml:space="preserve">Software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Uncontrolled</w:t>
            </w:r>
            <w:proofErr w:type="spellEnd"/>
            <w:r>
              <w:t xml:space="preserve"> </w:t>
            </w:r>
            <w:proofErr w:type="spellStart"/>
            <w:r>
              <w:t>downloading</w:t>
            </w:r>
            <w:proofErr w:type="spellEnd"/>
            <w:r>
              <w:t xml:space="preserve"> and use </w:t>
            </w:r>
            <w:proofErr w:type="spellStart"/>
            <w:r>
              <w:t>of</w:t>
            </w:r>
            <w:proofErr w:type="spellEnd"/>
            <w:r>
              <w:t xml:space="preserve"> software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Tampering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software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-up </w:t>
            </w:r>
            <w:proofErr w:type="spellStart"/>
            <w:r>
              <w:t>copies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Tampering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software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, </w:t>
            </w:r>
            <w:proofErr w:type="spellStart"/>
            <w:r>
              <w:t>doors</w:t>
            </w:r>
            <w:proofErr w:type="spellEnd"/>
            <w:r>
              <w:t xml:space="preserve"> and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FFFFCC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Failure</w:t>
            </w:r>
            <w:proofErr w:type="spellEnd"/>
            <w:r>
              <w:t xml:space="preserve"> to </w:t>
            </w:r>
            <w:proofErr w:type="spellStart"/>
            <w:r>
              <w:t>produce</w:t>
            </w:r>
            <w:proofErr w:type="spellEnd"/>
            <w:r>
              <w:t xml:space="preserve"> management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Unauthorised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4"/>
        </w:trPr>
        <w:tc>
          <w:tcPr>
            <w:tcW w:w="1459" w:type="dxa"/>
            <w:vMerge w:val="restart"/>
            <w:tcBorders>
              <w:top w:val="single" w:sz="2" w:space="0" w:color="FFFFCC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Network </w:t>
            </w: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receiving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Unprotected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 lines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Eavesdropping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Unprotected</w:t>
            </w:r>
            <w:proofErr w:type="spellEnd"/>
            <w:r>
              <w:t xml:space="preserve"> sensitive </w:t>
            </w:r>
            <w:proofErr w:type="spellStart"/>
            <w:r>
              <w:t>traffic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Eavesdropping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Poor</w:t>
            </w:r>
            <w:proofErr w:type="spellEnd"/>
            <w:r>
              <w:t xml:space="preserve"> joint </w:t>
            </w:r>
            <w:proofErr w:type="spellStart"/>
            <w:r>
              <w:t>cabling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telecommunication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r>
              <w:t xml:space="preserve">Single 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telecommunication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  <w:r>
              <w:t xml:space="preserve"> and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 and </w:t>
            </w:r>
            <w:proofErr w:type="spellStart"/>
            <w:r>
              <w:t>receiver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Forging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Insecure</w:t>
            </w:r>
            <w:proofErr w:type="spellEnd"/>
            <w:r>
              <w:t xml:space="preserve"> network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spying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r>
              <w:t xml:space="preserve">Transfer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passwords</w:t>
            </w:r>
            <w:proofErr w:type="spellEnd"/>
            <w:r>
              <w:t xml:space="preserve"> in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spying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tabs>
                <w:tab w:val="center" w:pos="502"/>
                <w:tab w:val="center" w:pos="1833"/>
                <w:tab w:val="center" w:pos="32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Inadequate</w:t>
            </w:r>
            <w:proofErr w:type="spellEnd"/>
            <w:r>
              <w:t xml:space="preserve"> </w:t>
            </w:r>
            <w:r>
              <w:tab/>
              <w:t xml:space="preserve">network </w:t>
            </w:r>
            <w:r>
              <w:tab/>
              <w:t xml:space="preserve">management </w:t>
            </w:r>
          </w:p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r>
              <w:t>(</w:t>
            </w:r>
            <w:proofErr w:type="spellStart"/>
            <w:r>
              <w:t>resilience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)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Saturation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Unprotected</w:t>
            </w:r>
            <w:proofErr w:type="spellEnd"/>
            <w:r>
              <w:t xml:space="preserve"> public network </w:t>
            </w:r>
            <w:proofErr w:type="spellStart"/>
            <w:r>
              <w:t>connections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Unauthorised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406"/>
        </w:trPr>
        <w:tc>
          <w:tcPr>
            <w:tcW w:w="145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Personnel</w:t>
            </w:r>
            <w:proofErr w:type="spellEnd"/>
            <w:r>
              <w:t xml:space="preserve"> </w:t>
            </w: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r>
              <w:t xml:space="preserve">Absence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Breach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availability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Inadequate</w:t>
            </w:r>
            <w:proofErr w:type="spellEnd"/>
            <w:r>
              <w:t xml:space="preserve"> </w:t>
            </w:r>
            <w:proofErr w:type="spellStart"/>
            <w:r>
              <w:t>recruitment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Destruction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media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Incorrect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software and hardware 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awareness</w:t>
            </w:r>
            <w:proofErr w:type="spellEnd"/>
            <w:r>
              <w:t xml:space="preserve"> 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monitoring </w:t>
            </w:r>
            <w:proofErr w:type="spellStart"/>
            <w:r>
              <w:t>mechanisms</w:t>
            </w:r>
            <w:proofErr w:type="spellEnd"/>
            <w:r>
              <w:t xml:space="preserve"> 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</w:tr>
      <w:tr w:rsidR="009B0A80" w:rsidTr="00403FBA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Unsupervised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by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cleaning</w:t>
            </w:r>
            <w:proofErr w:type="spellEnd"/>
            <w:r>
              <w:t xml:space="preserve"> </w:t>
            </w:r>
            <w:proofErr w:type="spellStart"/>
            <w:r>
              <w:t>staff</w:t>
            </w:r>
            <w:proofErr w:type="spellEnd"/>
            <w:r>
              <w:t xml:space="preserve"> 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trHeight w:val="5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2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telecommunications</w:t>
            </w:r>
            <w:proofErr w:type="spellEnd"/>
            <w:r>
              <w:t xml:space="preserve"> media and </w:t>
            </w:r>
            <w:proofErr w:type="spellStart"/>
            <w:r>
              <w:t>messaging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Unauthorised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</w:tbl>
    <w:p w:rsidR="009B0A80" w:rsidRDefault="009B0A80" w:rsidP="009B0A80">
      <w:pPr>
        <w:spacing w:after="0" w:line="259" w:lineRule="auto"/>
        <w:ind w:left="-1422" w:right="1442" w:firstLine="0"/>
        <w:jc w:val="left"/>
      </w:pPr>
    </w:p>
    <w:tbl>
      <w:tblPr>
        <w:tblStyle w:val="TableGrid"/>
        <w:tblW w:w="9287" w:type="dxa"/>
        <w:tblInd w:w="0" w:type="dxa"/>
        <w:tblCellMar>
          <w:top w:w="107" w:type="dxa"/>
          <w:right w:w="52" w:type="dxa"/>
        </w:tblCellMar>
        <w:tblLook w:val="04A0" w:firstRow="1" w:lastRow="0" w:firstColumn="1" w:lastColumn="0" w:noHBand="0" w:noVBand="1"/>
      </w:tblPr>
      <w:tblGrid>
        <w:gridCol w:w="6"/>
        <w:gridCol w:w="1453"/>
        <w:gridCol w:w="6"/>
        <w:gridCol w:w="4037"/>
        <w:gridCol w:w="6"/>
        <w:gridCol w:w="1662"/>
        <w:gridCol w:w="1367"/>
        <w:gridCol w:w="744"/>
        <w:gridCol w:w="6"/>
      </w:tblGrid>
      <w:tr w:rsidR="009B0A80" w:rsidTr="00403FBA">
        <w:trPr>
          <w:gridAfter w:val="1"/>
          <w:wAfter w:w="6" w:type="dxa"/>
          <w:trHeight w:val="614"/>
        </w:trPr>
        <w:tc>
          <w:tcPr>
            <w:tcW w:w="14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B0A80" w:rsidRDefault="009B0A80" w:rsidP="00403FBA">
            <w:pPr>
              <w:spacing w:after="0" w:line="259" w:lineRule="auto"/>
              <w:ind w:left="107" w:right="0" w:firstLine="0"/>
              <w:jc w:val="left"/>
            </w:pPr>
            <w:proofErr w:type="spellStart"/>
            <w:r>
              <w:t>Site</w:t>
            </w:r>
            <w:proofErr w:type="spellEnd"/>
            <w:r>
              <w:t xml:space="preserve"> </w:t>
            </w: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Inadequate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careless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to </w:t>
            </w:r>
            <w:proofErr w:type="spellStart"/>
            <w:r>
              <w:t>buildings</w:t>
            </w:r>
            <w:proofErr w:type="spellEnd"/>
            <w:r>
              <w:t xml:space="preserve"> and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Destruction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media </w:t>
            </w:r>
          </w:p>
        </w:tc>
      </w:tr>
      <w:tr w:rsidR="009B0A80" w:rsidTr="00403FBA">
        <w:trPr>
          <w:gridAfter w:val="1"/>
          <w:wAfter w:w="6" w:type="dxa"/>
          <w:trHeight w:val="36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Location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area </w:t>
            </w:r>
            <w:proofErr w:type="spellStart"/>
            <w:r>
              <w:t>susceptible</w:t>
            </w:r>
            <w:proofErr w:type="spellEnd"/>
            <w:r>
              <w:t xml:space="preserve"> to </w:t>
            </w:r>
            <w:proofErr w:type="spellStart"/>
            <w:r>
              <w:t>flood</w:t>
            </w:r>
            <w:proofErr w:type="spellEnd"/>
            <w: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Flood</w:t>
            </w:r>
            <w:proofErr w:type="spellEnd"/>
            <w: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36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Unstable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59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, </w:t>
            </w:r>
            <w:proofErr w:type="spellStart"/>
            <w:r>
              <w:t>doors</w:t>
            </w:r>
            <w:proofErr w:type="spellEnd"/>
            <w:r>
              <w:t xml:space="preserve"> and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676"/>
        </w:trPr>
        <w:tc>
          <w:tcPr>
            <w:tcW w:w="14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B0A80" w:rsidRDefault="009B0A80" w:rsidP="00403FBA">
            <w:pPr>
              <w:spacing w:after="0" w:line="259" w:lineRule="auto"/>
              <w:ind w:left="107" w:right="0" w:firstLine="0"/>
              <w:jc w:val="left"/>
            </w:pPr>
            <w:proofErr w:type="spellStart"/>
            <w:r>
              <w:t>Organization</w:t>
            </w:r>
            <w:proofErr w:type="spellEnd"/>
            <w:r>
              <w:t xml:space="preserve"> </w:t>
            </w: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tabs>
                <w:tab w:val="center" w:pos="320"/>
                <w:tab w:val="center" w:pos="848"/>
                <w:tab w:val="center" w:pos="1442"/>
                <w:tab w:val="center" w:pos="2402"/>
                <w:tab w:val="center" w:pos="3200"/>
                <w:tab w:val="center" w:pos="37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Lack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formal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tab/>
              <w:t xml:space="preserve">user </w:t>
            </w:r>
          </w:p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registration</w:t>
            </w:r>
            <w:proofErr w:type="spellEnd"/>
            <w:r>
              <w:t xml:space="preserve"> and de-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formal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(</w:t>
            </w:r>
            <w:proofErr w:type="spellStart"/>
            <w:r>
              <w:t>supervision</w:t>
            </w:r>
            <w:proofErr w:type="spellEnd"/>
            <w:r>
              <w:t xml:space="preserve">)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8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55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provisions</w:t>
            </w:r>
            <w:proofErr w:type="spellEnd"/>
            <w:r>
              <w:t xml:space="preserve"> (</w:t>
            </w:r>
            <w:proofErr w:type="spellStart"/>
            <w:r>
              <w:t>concerning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) in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69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monitoring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</w:p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facilities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36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 (</w:t>
            </w:r>
            <w:proofErr w:type="spellStart"/>
            <w:r>
              <w:t>supervision</w:t>
            </w:r>
            <w:proofErr w:type="spellEnd"/>
            <w:r>
              <w:t xml:space="preserve">)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risk </w:t>
            </w:r>
            <w:proofErr w:type="spellStart"/>
            <w:r>
              <w:t>identification</w:t>
            </w:r>
            <w:proofErr w:type="spellEnd"/>
            <w:r>
              <w:t xml:space="preserve"> and </w:t>
            </w:r>
            <w:proofErr w:type="spellStart"/>
            <w:r>
              <w:t>assessment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60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tabs>
                <w:tab w:val="center" w:pos="320"/>
                <w:tab w:val="center" w:pos="875"/>
                <w:tab w:val="center" w:pos="1407"/>
                <w:tab w:val="center" w:pos="2165"/>
                <w:tab w:val="center" w:pos="3129"/>
                <w:tab w:val="center" w:pos="38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Lack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fault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recorded</w:t>
            </w:r>
            <w:proofErr w:type="spellEnd"/>
            <w:r>
              <w:t xml:space="preserve"> </w:t>
            </w:r>
            <w:r>
              <w:tab/>
              <w:t xml:space="preserve">in </w:t>
            </w:r>
          </w:p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administrator</w:t>
            </w:r>
            <w:proofErr w:type="spellEnd"/>
            <w:r>
              <w:t xml:space="preserve"> and </w:t>
            </w:r>
            <w:proofErr w:type="spellStart"/>
            <w:r>
              <w:t>operator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Inadequate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maintenance</w:t>
            </w:r>
            <w:proofErr w:type="spellEnd"/>
            <w:r>
              <w:t xml:space="preserve"> response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tabs>
                <w:tab w:val="center" w:pos="424"/>
                <w:tab w:val="center" w:pos="12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Breach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</w:p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maintainability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</w:pP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or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insufficient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tabs>
                <w:tab w:val="center" w:pos="424"/>
                <w:tab w:val="center" w:pos="12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Breach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</w:p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maintainability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</w:pP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tabs>
                <w:tab w:val="center" w:pos="424"/>
                <w:tab w:val="center" w:pos="12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Breach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</w:p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maintainability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</w:pP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formal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ISMS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Corruption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66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formal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ISMS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supervision</w:t>
            </w:r>
            <w:proofErr w:type="spellEnd"/>
            <w: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Corruption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  <w:tc>
          <w:tcPr>
            <w:tcW w:w="7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B0A80" w:rsidTr="00403FBA">
        <w:trPr>
          <w:gridAfter w:val="1"/>
          <w:wAfter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formal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public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r>
              <w:t xml:space="preserve">Data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untrustworthy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gridAfter w:val="1"/>
          <w:wAfter w:w="6" w:type="dxa"/>
          <w:trHeight w:val="63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proper </w:t>
            </w:r>
            <w:proofErr w:type="spellStart"/>
            <w:r>
              <w:t>allocation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gridAfter w:val="1"/>
          <w:wAfter w:w="6" w:type="dxa"/>
          <w:trHeight w:val="4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continuity</w:t>
            </w:r>
            <w:proofErr w:type="spellEnd"/>
            <w:r>
              <w:t xml:space="preserve"> </w:t>
            </w:r>
            <w:proofErr w:type="spellStart"/>
            <w:r>
              <w:t>plans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 xml:space="preserve"> </w:t>
            </w:r>
          </w:p>
        </w:tc>
      </w:tr>
      <w:tr w:rsidR="009B0A80" w:rsidTr="00403FBA">
        <w:trPr>
          <w:gridAfter w:val="1"/>
          <w:wAfter w:w="6" w:type="dxa"/>
          <w:trHeight w:val="36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e-mail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gridAfter w:val="1"/>
          <w:wAfter w:w="6" w:type="dxa"/>
          <w:trHeight w:val="63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introducing</w:t>
            </w:r>
            <w:proofErr w:type="spellEnd"/>
            <w:r>
              <w:t xml:space="preserve"> software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gridAfter w:val="1"/>
          <w:wAfter w:w="6" w:type="dxa"/>
          <w:trHeight w:val="60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 </w:t>
            </w:r>
            <w:proofErr w:type="spellStart"/>
            <w:r>
              <w:t>administrator</w:t>
            </w:r>
            <w:proofErr w:type="spellEnd"/>
            <w:r>
              <w:t xml:space="preserve"> and </w:t>
            </w:r>
            <w:proofErr w:type="spellStart"/>
            <w:r>
              <w:t>operator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gridAfter w:val="1"/>
          <w:wAfter w:w="6" w:type="dxa"/>
          <w:trHeight w:val="61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tabs>
                <w:tab w:val="center" w:pos="320"/>
                <w:tab w:val="center" w:pos="912"/>
                <w:tab w:val="center" w:pos="1791"/>
                <w:tab w:val="center" w:pos="2703"/>
                <w:tab w:val="center" w:pos="35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Lack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procedures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classified</w:t>
            </w:r>
            <w:proofErr w:type="spellEnd"/>
            <w:r>
              <w:t xml:space="preserve"> </w:t>
            </w:r>
          </w:p>
          <w:p w:rsidR="009B0A80" w:rsidRDefault="009B0A80" w:rsidP="00403FBA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rPr>
          <w:gridAfter w:val="1"/>
          <w:wAfter w:w="6" w:type="dxa"/>
          <w:trHeight w:val="59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09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in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descriptions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823"/>
        </w:trPr>
        <w:tc>
          <w:tcPr>
            <w:tcW w:w="14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58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provisions</w:t>
            </w:r>
            <w:proofErr w:type="spellEnd"/>
            <w:r>
              <w:t xml:space="preserve"> (</w:t>
            </w:r>
            <w:proofErr w:type="spellStart"/>
            <w:r>
              <w:t>concerning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) in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6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disciplinary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in case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incident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59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formal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on mobile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36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off</w:t>
            </w:r>
            <w:proofErr w:type="spellEnd"/>
            <w:r>
              <w:t xml:space="preserve">-premise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59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insufficient</w:t>
            </w:r>
            <w:proofErr w:type="spellEnd"/>
            <w:r>
              <w:t xml:space="preserve"> '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desk</w:t>
            </w:r>
            <w:proofErr w:type="spellEnd"/>
            <w:r>
              <w:t xml:space="preserve"> and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'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facilities</w:t>
            </w:r>
            <w:proofErr w:type="spellEnd"/>
            <w:r>
              <w:t xml:space="preserve"> </w:t>
            </w:r>
            <w:proofErr w:type="spellStart"/>
            <w:r>
              <w:t>authorization</w:t>
            </w:r>
            <w:proofErr w:type="spellEnd"/>
            <w:r>
              <w:t xml:space="preserve"> 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59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tabs>
                <w:tab w:val="center" w:pos="940"/>
                <w:tab w:val="center" w:pos="1961"/>
                <w:tab w:val="right" w:pos="3887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established</w:t>
            </w:r>
            <w:proofErr w:type="spellEnd"/>
            <w:r>
              <w:t xml:space="preserve"> </w:t>
            </w:r>
            <w:r>
              <w:tab/>
              <w:t xml:space="preserve">monitoring </w:t>
            </w:r>
          </w:p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mechanisms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breaches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36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management </w:t>
            </w:r>
            <w:proofErr w:type="spellStart"/>
            <w:r>
              <w:t>reviews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Unauthorised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63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reporting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weaknesses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Unauthorised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</w:tr>
      <w:tr w:rsidR="009B0A80" w:rsidTr="00403FBA">
        <w:tblPrEx>
          <w:tblCellMar>
            <w:top w:w="105" w:type="dxa"/>
            <w:left w:w="108" w:type="dxa"/>
            <w:right w:w="53" w:type="dxa"/>
          </w:tblCellMar>
        </w:tblPrEx>
        <w:trPr>
          <w:gridBefore w:val="1"/>
          <w:wBefore w:w="6" w:type="dxa"/>
          <w:trHeight w:val="59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80" w:rsidRDefault="009B0A80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B0A80" w:rsidRDefault="009B0A80" w:rsidP="00403FBA">
            <w:pPr>
              <w:tabs>
                <w:tab w:val="center" w:pos="802"/>
                <w:tab w:val="center" w:pos="1678"/>
                <w:tab w:val="center" w:pos="2553"/>
                <w:tab w:val="right" w:pos="3887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t>Lack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procedures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provisions</w:t>
            </w:r>
            <w:proofErr w:type="spellEnd"/>
            <w:r>
              <w:t xml:space="preserve"> </w:t>
            </w:r>
          </w:p>
          <w:p w:rsidR="009B0A80" w:rsidRDefault="009B0A80" w:rsidP="00403FB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compliance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intellectual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B0A80" w:rsidRDefault="009B0A80" w:rsidP="00403FB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Use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counterfeit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copied</w:t>
            </w:r>
            <w:proofErr w:type="spellEnd"/>
            <w:r>
              <w:rPr>
                <w:sz w:val="18"/>
              </w:rPr>
              <w:t xml:space="preserve"> software </w:t>
            </w:r>
          </w:p>
        </w:tc>
      </w:tr>
    </w:tbl>
    <w:p w:rsidR="009C73AD" w:rsidRDefault="009C73AD">
      <w:bookmarkStart w:id="0" w:name="_GoBack"/>
      <w:bookmarkEnd w:id="0"/>
    </w:p>
    <w:sectPr w:rsidR="009C7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80"/>
    <w:rsid w:val="009B0A80"/>
    <w:rsid w:val="009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23D7F-3575-4573-9330-FC09F5A7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B0A80"/>
    <w:pPr>
      <w:spacing w:after="233" w:line="250" w:lineRule="auto"/>
      <w:ind w:left="10" w:right="60" w:hanging="10"/>
      <w:jc w:val="both"/>
    </w:pPr>
    <w:rPr>
      <w:rFonts w:ascii="Arial" w:eastAsia="Arial" w:hAnsi="Arial" w:cs="Arial"/>
      <w:color w:val="000000"/>
      <w:sz w:val="20"/>
      <w:lang w:eastAsia="cs-CZ"/>
    </w:rPr>
  </w:style>
  <w:style w:type="paragraph" w:styleId="Nadpis2">
    <w:name w:val="heading 2"/>
    <w:next w:val="Normln"/>
    <w:link w:val="Nadpis2Char"/>
    <w:uiPriority w:val="9"/>
    <w:unhideWhenUsed/>
    <w:qFormat/>
    <w:rsid w:val="009B0A80"/>
    <w:pPr>
      <w:keepNext/>
      <w:keepLines/>
      <w:spacing w:after="183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cs-CZ"/>
    </w:rPr>
  </w:style>
  <w:style w:type="paragraph" w:styleId="Nadpis3">
    <w:name w:val="heading 3"/>
    <w:next w:val="Normln"/>
    <w:link w:val="Nadpis3Char"/>
    <w:uiPriority w:val="9"/>
    <w:unhideWhenUsed/>
    <w:qFormat/>
    <w:rsid w:val="009B0A80"/>
    <w:pPr>
      <w:keepNext/>
      <w:keepLines/>
      <w:spacing w:after="197" w:line="265" w:lineRule="auto"/>
      <w:ind w:left="10" w:hanging="10"/>
      <w:outlineLvl w:val="2"/>
    </w:pPr>
    <w:rPr>
      <w:rFonts w:ascii="Arial" w:eastAsia="Arial" w:hAnsi="Arial" w:cs="Arial"/>
      <w:b/>
      <w:color w:val="00000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B0A80"/>
    <w:rPr>
      <w:rFonts w:ascii="Arial" w:eastAsia="Arial" w:hAnsi="Arial" w:cs="Arial"/>
      <w:b/>
      <w:color w:val="000000"/>
      <w:sz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9B0A80"/>
    <w:rPr>
      <w:rFonts w:ascii="Arial" w:eastAsia="Arial" w:hAnsi="Arial" w:cs="Arial"/>
      <w:b/>
      <w:color w:val="000000"/>
      <w:lang w:eastAsia="cs-CZ"/>
    </w:rPr>
  </w:style>
  <w:style w:type="table" w:customStyle="1" w:styleId="TableGrid">
    <w:name w:val="TableGrid"/>
    <w:rsid w:val="009B0A80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Kunderová</dc:creator>
  <cp:keywords/>
  <dc:description/>
  <cp:lastModifiedBy>Ludmila Kunderová</cp:lastModifiedBy>
  <cp:revision>1</cp:revision>
  <dcterms:created xsi:type="dcterms:W3CDTF">2021-02-12T12:12:00Z</dcterms:created>
  <dcterms:modified xsi:type="dcterms:W3CDTF">2021-02-12T12:13:00Z</dcterms:modified>
</cp:coreProperties>
</file>