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EF837C" w14:textId="4BB2C314" w:rsidR="0017638D" w:rsidRPr="004C3415" w:rsidRDefault="00F46D71" w:rsidP="0017638D">
      <w:pPr>
        <w:pStyle w:val="Heading1"/>
      </w:pPr>
      <w:r>
        <w:rPr>
          <w:noProof/>
          <w:lang w:eastAsia="en-AU"/>
        </w:rPr>
        <mc:AlternateContent>
          <mc:Choice Requires="wps">
            <w:drawing>
              <wp:anchor distT="0" distB="0" distL="114300" distR="114300" simplePos="0" relativeHeight="251659264" behindDoc="0" locked="1" layoutInCell="1" allowOverlap="1" wp14:anchorId="60B77E38" wp14:editId="7A721AF5">
                <wp:simplePos x="0" y="0"/>
                <wp:positionH relativeFrom="margin">
                  <wp:align>left</wp:align>
                </wp:positionH>
                <wp:positionV relativeFrom="margin">
                  <wp:posOffset>-1980565</wp:posOffset>
                </wp:positionV>
                <wp:extent cx="4320000" cy="1800000"/>
                <wp:effectExtent l="0" t="0" r="4445" b="10160"/>
                <wp:wrapNone/>
                <wp:docPr id="11" name="Text Box 11"/>
                <wp:cNvGraphicFramePr/>
                <a:graphic xmlns:a="http://schemas.openxmlformats.org/drawingml/2006/main">
                  <a:graphicData uri="http://schemas.microsoft.com/office/word/2010/wordprocessingShape">
                    <wps:wsp>
                      <wps:cNvSpPr txBox="1"/>
                      <wps:spPr>
                        <a:xfrm>
                          <a:off x="0" y="0"/>
                          <a:ext cx="4320000" cy="1800000"/>
                        </a:xfrm>
                        <a:prstGeom prst="rect">
                          <a:avLst/>
                        </a:prstGeom>
                        <a:noFill/>
                        <a:ln w="6350">
                          <a:noFill/>
                        </a:ln>
                      </wps:spPr>
                      <wps:txbx>
                        <w:txbxContent>
                          <w:p w14:paraId="4DA195AD" w14:textId="77777777" w:rsidR="00BE75CD" w:rsidRDefault="00D74C58" w:rsidP="00265DCB">
                            <w:pPr>
                              <w:pStyle w:val="Title"/>
                            </w:pPr>
                            <w:r>
                              <w:t xml:space="preserve">Australian Government </w:t>
                            </w:r>
                            <w:r w:rsidR="00BE75CD">
                              <w:t>Information Security</w:t>
                            </w:r>
                            <w:r>
                              <w:t xml:space="preserve"> </w:t>
                            </w:r>
                            <w:r w:rsidR="00BE75CD">
                              <w:t>Manual</w:t>
                            </w:r>
                          </w:p>
                          <w:p w14:paraId="4AF7E164" w14:textId="473D2E49" w:rsidR="00ED72FB" w:rsidRDefault="00E37192" w:rsidP="00ED72FB">
                            <w:pPr>
                              <w:pStyle w:val="BodyText"/>
                            </w:pPr>
                            <w:r>
                              <w:t>JUNE</w:t>
                            </w:r>
                            <w:r w:rsidR="009712B4">
                              <w:t xml:space="preserve"> 2021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B77E38" id="_x0000_t202" coordsize="21600,21600" o:spt="202" path="m,l,21600r21600,l21600,xe">
                <v:stroke joinstyle="miter"/>
                <v:path gradientshapeok="t" o:connecttype="rect"/>
              </v:shapetype>
              <v:shape id="Text Box 11" o:spid="_x0000_s1026" type="#_x0000_t202" style="position:absolute;margin-left:0;margin-top:-155.95pt;width:340.15pt;height:141.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F4cIQIAAEYEAAAOAAAAZHJzL2Uyb0RvYy54bWysU11r2zAUfR/sPwi9L3barRQTp2QtGYPQ&#10;FpLRZ0WWY4Otq0lK7OzX70i209LtaexFvr736n6cc7S469uGnZR1Nemcz2cpZ0pLKmp9yPmP3frT&#10;LWfOC12IhrTK+Vk5frf8+GHRmUxdUUVNoSxDEe2yzuS88t5kSeJkpVrhZmSURrAk2wqPX3tICis6&#10;VG+b5CpNb5KObGEsSeUcvA9DkC9j/bJU0j+VpVOeNTnHbD6eNp77cCbLhcgOVpiqluMY4h+maEWt&#10;0fRS6kF4wY62/qNUW0tLjko/k9QmVJa1VHEHbDNP322zrYRRcReA48wFJvf/ysrH07NldQHu5pxp&#10;0YKjneo9+0o9gwv4dMZlSNsaJPoefuROfgdnWLsvbRu+WIghDqTPF3RDNQnn52sQliIkEZvfBjvi&#10;n7xeN9b5b4paFoycW9AXURWnjfMYBalTSuimaV03TaSw0azL+c31lzReuERwo9G4GJYYhg2W7/f9&#10;uNmeijMWszRIwxm5rtF8I5x/FhZawMDQt3/CUTaEJjRanFVkf/3NH/JBEaKcddBWzt3Po7CKs+a7&#10;BnlBiJNhJ2M/GfrY3hPkCj4wTTRxwfpmMktL7QtkvwpdEBJaolfOpbfTz70fNI6HI9VqFdMgOCP8&#10;Rm+NDMUDgAHMXf8irBkR9yDrkSbdiewd8EPuAP3q6KmsIysB0gHHEWmINZI1PqzwGt7+x6zX57/8&#10;DQAA//8DAFBLAwQUAAYACAAAACEAqRAULuAAAAAJAQAADwAAAGRycy9kb3ducmV2LnhtbEyPwU7D&#10;MBBE70j8g7VI3FonLapCiFMhJEpBAomWD3DjbZwmXkexm4a/ZznBcXZWM2+K9eQ6MeIQGk8K0nkC&#10;AqnypqFawdf+eZaBCFGT0Z0nVPCNAdbl9VWhc+Mv9InjLtaCQyjkWoGNsc+lDJVFp8Pc90jsHf3g&#10;dGQ51NIM+sLhrpOLJFlJpxviBqt7fLJYtbuzU7Bpjun+Y2zr3ravL5u37ftpe4pK3d5Mjw8gIk7x&#10;7xl+8RkdSmY6+DOZIDoFPCQqmC3T9B4E+6ssWYI48GmR3YEsC/l/QfkDAAD//wMAUEsBAi0AFAAG&#10;AAgAAAAhALaDOJL+AAAA4QEAABMAAAAAAAAAAAAAAAAAAAAAAFtDb250ZW50X1R5cGVzXS54bWxQ&#10;SwECLQAUAAYACAAAACEAOP0h/9YAAACUAQAACwAAAAAAAAAAAAAAAAAvAQAAX3JlbHMvLnJlbHNQ&#10;SwECLQAUAAYACAAAACEAoQBeHCECAABGBAAADgAAAAAAAAAAAAAAAAAuAgAAZHJzL2Uyb0RvYy54&#10;bWxQSwECLQAUAAYACAAAACEAqRAULuAAAAAJAQAADwAAAAAAAAAAAAAAAAB7BAAAZHJzL2Rvd25y&#10;ZXYueG1sUEsFBgAAAAAEAAQA8wAAAIgFAAAAAA==&#10;" filled="f" stroked="f" strokeweight=".5pt">
                <v:textbox inset="0,0,0,0">
                  <w:txbxContent>
                    <w:p w14:paraId="4DA195AD" w14:textId="77777777" w:rsidR="00BE75CD" w:rsidRDefault="00D74C58" w:rsidP="00265DCB">
                      <w:pPr>
                        <w:pStyle w:val="Title"/>
                      </w:pPr>
                      <w:r>
                        <w:t xml:space="preserve">Australian Government </w:t>
                      </w:r>
                      <w:r w:rsidR="00BE75CD">
                        <w:t>Information Security</w:t>
                      </w:r>
                      <w:r>
                        <w:t xml:space="preserve"> </w:t>
                      </w:r>
                      <w:r w:rsidR="00BE75CD">
                        <w:t>Manual</w:t>
                      </w:r>
                    </w:p>
                    <w:p w14:paraId="4AF7E164" w14:textId="473D2E49" w:rsidR="00ED72FB" w:rsidRDefault="00E37192" w:rsidP="00ED72FB">
                      <w:pPr>
                        <w:pStyle w:val="BodyText"/>
                      </w:pPr>
                      <w:r>
                        <w:t>JUNE</w:t>
                      </w:r>
                      <w:r w:rsidR="009712B4">
                        <w:t xml:space="preserve"> 2021</w:t>
                      </w:r>
                    </w:p>
                  </w:txbxContent>
                </v:textbox>
                <w10:wrap anchorx="margin" anchory="margin"/>
                <w10:anchorlock/>
              </v:shape>
            </w:pict>
          </mc:Fallback>
        </mc:AlternateContent>
      </w:r>
      <w:bookmarkStart w:id="0" w:name="_Toc41044764"/>
      <w:bookmarkStart w:id="1" w:name="_Toc50141093"/>
      <w:r w:rsidR="0017638D" w:rsidRPr="004C3415">
        <w:t>Guidelines for Outsourcing</w:t>
      </w:r>
      <w:bookmarkEnd w:id="0"/>
      <w:bookmarkEnd w:id="1"/>
    </w:p>
    <w:p w14:paraId="4F93E8D0" w14:textId="77777777" w:rsidR="0017638D" w:rsidRPr="004C3415" w:rsidRDefault="0017638D" w:rsidP="0017638D">
      <w:pPr>
        <w:pStyle w:val="Heading2"/>
      </w:pPr>
      <w:bookmarkStart w:id="2" w:name="_Toc41044765"/>
      <w:bookmarkStart w:id="3" w:name="_Toc50141094"/>
      <w:r w:rsidRPr="004C3415">
        <w:t>Information technology and cloud services</w:t>
      </w:r>
      <w:bookmarkEnd w:id="2"/>
      <w:bookmarkEnd w:id="3"/>
    </w:p>
    <w:p w14:paraId="78575950" w14:textId="77777777" w:rsidR="0017638D" w:rsidRPr="00535892" w:rsidRDefault="0017638D" w:rsidP="0017638D">
      <w:pPr>
        <w:pStyle w:val="Heading3"/>
      </w:pPr>
      <w:r w:rsidRPr="00535892">
        <w:t>Information technology services</w:t>
      </w:r>
    </w:p>
    <w:p w14:paraId="4A0A4587" w14:textId="77777777" w:rsidR="0017638D" w:rsidRPr="00DF7362" w:rsidRDefault="0017638D" w:rsidP="0017638D">
      <w:pPr>
        <w:pStyle w:val="BodyText"/>
      </w:pPr>
      <w:r w:rsidRPr="00DF7362">
        <w:t>Information technology services encompass business process services, application processes and infrastructure services. The range of information technology services that can be outsourced is extensive.</w:t>
      </w:r>
    </w:p>
    <w:p w14:paraId="071A2270" w14:textId="77777777" w:rsidR="0017638D" w:rsidRPr="00535892" w:rsidRDefault="0017638D" w:rsidP="0017638D">
      <w:pPr>
        <w:pStyle w:val="Heading3"/>
      </w:pPr>
      <w:r w:rsidRPr="00535892">
        <w:t>Cloud services</w:t>
      </w:r>
    </w:p>
    <w:p w14:paraId="10A7E6BA" w14:textId="77777777" w:rsidR="0017638D" w:rsidRDefault="0017638D" w:rsidP="0017638D">
      <w:pPr>
        <w:pStyle w:val="BodyText"/>
      </w:pPr>
      <w:r w:rsidRPr="00DF7362">
        <w:t xml:space="preserve">The terminology and definitions used in this section for cloud services are consistent with National Institute of Standards and Technology (NIST) Special Publication (SP) 800-145, </w:t>
      </w:r>
      <w:r w:rsidRPr="00DF7362">
        <w:rPr>
          <w:rStyle w:val="BookTitle"/>
        </w:rPr>
        <w:t>The NIST Definition of Cloud Computing</w:t>
      </w:r>
      <w:r w:rsidRPr="00DF7362">
        <w:t>. This section also applies to cloud services that have a payment model which differs to the NIST pay-per-use measured service characteristic.</w:t>
      </w:r>
    </w:p>
    <w:p w14:paraId="144B1E5A" w14:textId="77777777" w:rsidR="0017638D" w:rsidRPr="00535892" w:rsidRDefault="0017638D" w:rsidP="0017638D">
      <w:pPr>
        <w:pStyle w:val="Heading3"/>
      </w:pPr>
      <w:r w:rsidRPr="00535892">
        <w:t>Cyber supply chain risk management</w:t>
      </w:r>
    </w:p>
    <w:p w14:paraId="1E44773C" w14:textId="08C3797F" w:rsidR="0017638D" w:rsidRDefault="0017638D" w:rsidP="0017638D">
      <w:pPr>
        <w:pStyle w:val="BodyText"/>
      </w:pPr>
      <w:r w:rsidRPr="001B53D1">
        <w:t>As part of cyber supply chain risk management activities, organisations should consider the security risks that may arise as s</w:t>
      </w:r>
      <w:r w:rsidR="00345BC6">
        <w:t xml:space="preserve">ystems, software and hardware </w:t>
      </w:r>
      <w:r w:rsidR="002C6CA5">
        <w:t>are</w:t>
      </w:r>
      <w:r w:rsidRPr="001B53D1">
        <w:t xml:space="preserve"> being designed, built, stored, delivered, installed, operated, maintained or decommissioned. This includes identifying and managing jurisdictional, governance, privacy and security risks associated with the use of suppliers and service providers. For example, outsourced information technology or cloud services may be located offshore and subject to lawful and covert </w:t>
      </w:r>
      <w:r w:rsidR="00F13258">
        <w:t xml:space="preserve">data </w:t>
      </w:r>
      <w:r w:rsidRPr="001B53D1">
        <w:t xml:space="preserve">collection without </w:t>
      </w:r>
      <w:r w:rsidR="00EC303E">
        <w:t>their customers’</w:t>
      </w:r>
      <w:r w:rsidRPr="001B53D1">
        <w:t xml:space="preserve"> knowledge. Additionally, use of offshore services introduces jurisdictional risks as foreign countries’ laws could change with little warning. Finally, foreign owned service providers operating in Australia may be subject to a foreign government’s lawful access</w:t>
      </w:r>
      <w:r w:rsidR="00EC303E">
        <w:t xml:space="preserve"> to data belonging to their customers</w:t>
      </w:r>
      <w:r w:rsidRPr="001B53D1">
        <w:t>.</w:t>
      </w:r>
    </w:p>
    <w:p w14:paraId="2795A7D5" w14:textId="11109752" w:rsidR="001C1D42" w:rsidRDefault="001C1D42" w:rsidP="0017638D">
      <w:pPr>
        <w:pStyle w:val="BodyText"/>
      </w:pPr>
      <w:r w:rsidRPr="001B53D1">
        <w:t xml:space="preserve">Furthermore, </w:t>
      </w:r>
      <w:r w:rsidR="00525666">
        <w:t>during the earliest</w:t>
      </w:r>
      <w:r w:rsidR="00D67A0F">
        <w:t xml:space="preserve"> possible stage</w:t>
      </w:r>
      <w:r w:rsidR="00525666">
        <w:t xml:space="preserve"> of procurement process</w:t>
      </w:r>
      <w:r w:rsidR="00E35C6F">
        <w:t>es</w:t>
      </w:r>
      <w:r w:rsidR="00525666">
        <w:t xml:space="preserve">, </w:t>
      </w:r>
      <w:r w:rsidRPr="001B53D1">
        <w:t>organisations should consider the security risks that a particular</w:t>
      </w:r>
      <w:r>
        <w:t xml:space="preserve"> supplier or</w:t>
      </w:r>
      <w:r w:rsidRPr="001B53D1">
        <w:t xml:space="preserve"> service provider may introduce </w:t>
      </w:r>
      <w:r>
        <w:t xml:space="preserve">to </w:t>
      </w:r>
      <w:r w:rsidR="00DF54D7">
        <w:t xml:space="preserve">their </w:t>
      </w:r>
      <w:r>
        <w:t>systems</w:t>
      </w:r>
      <w:r w:rsidRPr="001B53D1">
        <w:t xml:space="preserve">. In doing so, it is important that organisations preference </w:t>
      </w:r>
      <w:r>
        <w:t xml:space="preserve">suppliers and </w:t>
      </w:r>
      <w:r w:rsidRPr="001B53D1">
        <w:t>service providers that have demonstrated a commitment to secure</w:t>
      </w:r>
      <w:r>
        <w:t>-by-design</w:t>
      </w:r>
      <w:r w:rsidRPr="001B53D1">
        <w:t xml:space="preserve"> practices and have a strong track record of </w:t>
      </w:r>
      <w:r>
        <w:t xml:space="preserve">transparency and </w:t>
      </w:r>
      <w:r w:rsidRPr="001B53D1">
        <w:t xml:space="preserve">maintaining the security of their </w:t>
      </w:r>
      <w:r>
        <w:t xml:space="preserve">own </w:t>
      </w:r>
      <w:r w:rsidRPr="001B53D1">
        <w:t>systems</w:t>
      </w:r>
      <w:r>
        <w:t>,</w:t>
      </w:r>
      <w:r w:rsidRPr="001B53D1">
        <w:t xml:space="preserve"> services</w:t>
      </w:r>
      <w:r>
        <w:t xml:space="preserve"> and cyber supply chains</w:t>
      </w:r>
      <w:r w:rsidRPr="001B53D1">
        <w:t xml:space="preserve">. </w:t>
      </w:r>
      <w:r>
        <w:t>Finally, i</w:t>
      </w:r>
      <w:r w:rsidRPr="001B53D1">
        <w:t>n some cases</w:t>
      </w:r>
      <w:r>
        <w:t>,</w:t>
      </w:r>
      <w:r w:rsidRPr="001B53D1">
        <w:t xml:space="preserve"> a shared responsibly model which clearly defines the responsibilities of </w:t>
      </w:r>
      <w:r w:rsidR="00C36330">
        <w:t xml:space="preserve">suppliers, </w:t>
      </w:r>
      <w:r w:rsidRPr="001B53D1">
        <w:t xml:space="preserve">service providers and </w:t>
      </w:r>
      <w:r w:rsidR="000C60A5">
        <w:t>their customers</w:t>
      </w:r>
      <w:r w:rsidRPr="001B53D1">
        <w:t xml:space="preserve"> </w:t>
      </w:r>
      <w:r>
        <w:t>can</w:t>
      </w:r>
      <w:r w:rsidRPr="001B53D1">
        <w:t xml:space="preserve"> be highly beneficial.</w:t>
      </w:r>
    </w:p>
    <w:p w14:paraId="5ED90BB8" w14:textId="6FC4C631" w:rsidR="003436AF" w:rsidRPr="000E43A7" w:rsidRDefault="003436AF" w:rsidP="003436AF">
      <w:pPr>
        <w:pStyle w:val="IntenseHeading"/>
      </w:pPr>
      <w:r w:rsidRPr="000E43A7">
        <w:t xml:space="preserve">Security Control: </w:t>
      </w:r>
      <w:r>
        <w:t>1631</w:t>
      </w:r>
      <w:r w:rsidRPr="000E43A7">
        <w:t xml:space="preserve">; Revision: </w:t>
      </w:r>
      <w:r>
        <w:t>0</w:t>
      </w:r>
      <w:r w:rsidRPr="000E43A7">
        <w:t xml:space="preserve">; Updated: </w:t>
      </w:r>
      <w:r>
        <w:t>Dec-20</w:t>
      </w:r>
      <w:r w:rsidRPr="000E43A7">
        <w:t>; Applicability: O, P, S, TS</w:t>
      </w:r>
    </w:p>
    <w:p w14:paraId="47A3830F" w14:textId="73A79B08" w:rsidR="003436AF" w:rsidRPr="00954827" w:rsidRDefault="003436AF" w:rsidP="003436AF">
      <w:pPr>
        <w:pStyle w:val="BodyText"/>
      </w:pPr>
      <w:r>
        <w:rPr>
          <w:rStyle w:val="IntenseEmphasis"/>
        </w:rPr>
        <w:t xml:space="preserve">Components and services </w:t>
      </w:r>
      <w:r w:rsidR="007B0B23">
        <w:rPr>
          <w:rStyle w:val="IntenseEmphasis"/>
        </w:rPr>
        <w:t>relevant</w:t>
      </w:r>
      <w:r>
        <w:rPr>
          <w:rStyle w:val="IntenseEmphasis"/>
        </w:rPr>
        <w:t xml:space="preserve"> to the security of systems are identified and understood</w:t>
      </w:r>
      <w:r w:rsidRPr="00845B51">
        <w:rPr>
          <w:rStyle w:val="IntenseEmphasis"/>
        </w:rPr>
        <w:t>.</w:t>
      </w:r>
    </w:p>
    <w:p w14:paraId="26F4F47C" w14:textId="6F81B411" w:rsidR="0017638D" w:rsidRPr="000E43A7" w:rsidRDefault="0017638D" w:rsidP="0017638D">
      <w:pPr>
        <w:pStyle w:val="IntenseHeading"/>
      </w:pPr>
      <w:r w:rsidRPr="000E43A7">
        <w:t xml:space="preserve">Security Control: 1452; Revision: </w:t>
      </w:r>
      <w:r w:rsidR="00EA3C53">
        <w:t>3</w:t>
      </w:r>
      <w:r w:rsidRPr="000E43A7">
        <w:t xml:space="preserve">; Updated: </w:t>
      </w:r>
      <w:r w:rsidR="00EA3C53">
        <w:t>Dec</w:t>
      </w:r>
      <w:r>
        <w:t>-20</w:t>
      </w:r>
      <w:r w:rsidRPr="000E43A7">
        <w:t>; Applicability: O, P, S, TS</w:t>
      </w:r>
    </w:p>
    <w:p w14:paraId="1B0D8423" w14:textId="030B9038" w:rsidR="00EA3C53" w:rsidRDefault="00EA3C53" w:rsidP="00EA3C53">
      <w:pPr>
        <w:rPr>
          <w:rStyle w:val="IntenseEmphasis"/>
        </w:rPr>
      </w:pPr>
      <w:r>
        <w:rPr>
          <w:rStyle w:val="IntenseEmphasis"/>
        </w:rPr>
        <w:lastRenderedPageBreak/>
        <w:t xml:space="preserve">Before obtaining components and services </w:t>
      </w:r>
      <w:r w:rsidR="007B0B23">
        <w:rPr>
          <w:rStyle w:val="IntenseEmphasis"/>
        </w:rPr>
        <w:t>relevant</w:t>
      </w:r>
      <w:r>
        <w:rPr>
          <w:rStyle w:val="IntenseEmphasis"/>
        </w:rPr>
        <w:t xml:space="preserve"> to the security of systems, a</w:t>
      </w:r>
      <w:r w:rsidRPr="00845B51">
        <w:rPr>
          <w:rStyle w:val="IntenseEmphasis"/>
        </w:rPr>
        <w:t xml:space="preserve"> review of suppliers and service providers</w:t>
      </w:r>
      <w:r w:rsidR="009C49F9">
        <w:rPr>
          <w:rStyle w:val="IntenseEmphasis"/>
        </w:rPr>
        <w:t xml:space="preserve"> (</w:t>
      </w:r>
      <w:r w:rsidRPr="00845B51">
        <w:rPr>
          <w:rStyle w:val="IntenseEmphasis"/>
        </w:rPr>
        <w:t>including their country of origin</w:t>
      </w:r>
      <w:r w:rsidR="009C49F9">
        <w:rPr>
          <w:rStyle w:val="IntenseEmphasis"/>
        </w:rPr>
        <w:t>)</w:t>
      </w:r>
      <w:r w:rsidRPr="00845B51">
        <w:rPr>
          <w:rStyle w:val="IntenseEmphasis"/>
        </w:rPr>
        <w:t xml:space="preserve"> is performed to assess the potential increase to </w:t>
      </w:r>
      <w:r>
        <w:rPr>
          <w:rStyle w:val="IntenseEmphasis"/>
        </w:rPr>
        <w:t>systems’</w:t>
      </w:r>
      <w:r w:rsidRPr="00845B51">
        <w:rPr>
          <w:rStyle w:val="IntenseEmphasis"/>
        </w:rPr>
        <w:t xml:space="preserve"> security risk profile</w:t>
      </w:r>
      <w:r w:rsidR="009C49F9">
        <w:rPr>
          <w:rStyle w:val="IntenseEmphasis"/>
        </w:rPr>
        <w:t>, including by identifying those that are high risk</w:t>
      </w:r>
      <w:r w:rsidRPr="00845B51">
        <w:rPr>
          <w:rStyle w:val="IntenseEmphasis"/>
        </w:rPr>
        <w:t>.</w:t>
      </w:r>
    </w:p>
    <w:p w14:paraId="17184629" w14:textId="414F50EB" w:rsidR="0017638D" w:rsidRPr="000E43A7" w:rsidRDefault="0017638D" w:rsidP="0017638D">
      <w:pPr>
        <w:pStyle w:val="IntenseHeading"/>
      </w:pPr>
      <w:r w:rsidRPr="000E43A7">
        <w:t xml:space="preserve">Security Control: </w:t>
      </w:r>
      <w:r>
        <w:t>1567</w:t>
      </w:r>
      <w:r w:rsidRPr="000E43A7">
        <w:t xml:space="preserve">; Revision: </w:t>
      </w:r>
      <w:r w:rsidR="008578EA">
        <w:t>1</w:t>
      </w:r>
      <w:r w:rsidRPr="000E43A7">
        <w:t xml:space="preserve">; Updated: </w:t>
      </w:r>
      <w:r w:rsidR="008578EA">
        <w:t>Dec</w:t>
      </w:r>
      <w:r>
        <w:t>-20</w:t>
      </w:r>
      <w:r w:rsidRPr="000E43A7">
        <w:t>; Applicability: O, P, S, TS</w:t>
      </w:r>
    </w:p>
    <w:p w14:paraId="19485C41" w14:textId="0CC7BF3C" w:rsidR="0017638D" w:rsidRPr="00845B51" w:rsidRDefault="008578EA" w:rsidP="0017638D">
      <w:pPr>
        <w:rPr>
          <w:rStyle w:val="IntenseEmphasis"/>
        </w:rPr>
      </w:pPr>
      <w:r>
        <w:rPr>
          <w:rStyle w:val="IntenseEmphasis"/>
        </w:rPr>
        <w:t>S</w:t>
      </w:r>
      <w:r w:rsidR="0017638D" w:rsidRPr="00845B51">
        <w:rPr>
          <w:rStyle w:val="IntenseEmphasis"/>
        </w:rPr>
        <w:t xml:space="preserve">uppliers and service providers </w:t>
      </w:r>
      <w:r>
        <w:rPr>
          <w:rStyle w:val="IntenseEmphasis"/>
        </w:rPr>
        <w:t xml:space="preserve">identified as high risk </w:t>
      </w:r>
      <w:r w:rsidR="0017638D" w:rsidRPr="00845B51">
        <w:rPr>
          <w:rStyle w:val="IntenseEmphasis"/>
        </w:rPr>
        <w:t>are not used.</w:t>
      </w:r>
    </w:p>
    <w:p w14:paraId="64B40FD9" w14:textId="77777777" w:rsidR="00D64C92" w:rsidRPr="00E51AB5" w:rsidRDefault="00D64C92" w:rsidP="00D64C92">
      <w:pPr>
        <w:pStyle w:val="IntenseHeading"/>
      </w:pPr>
      <w:r w:rsidRPr="00E51AB5">
        <w:t xml:space="preserve">Security Control: </w:t>
      </w:r>
      <w:r>
        <w:t>1568</w:t>
      </w:r>
      <w:r w:rsidRPr="00E51AB5">
        <w:t xml:space="preserve">; Revision: </w:t>
      </w:r>
      <w:r>
        <w:t>1</w:t>
      </w:r>
      <w:r w:rsidRPr="00E51AB5">
        <w:t xml:space="preserve">; Updated: </w:t>
      </w:r>
      <w:r>
        <w:t>Dec-20</w:t>
      </w:r>
      <w:r w:rsidRPr="00E51AB5">
        <w:t>; Applicability: O, P, S, TS</w:t>
      </w:r>
    </w:p>
    <w:p w14:paraId="6AD0D258" w14:textId="4AA79EDC" w:rsidR="00D64C92" w:rsidRDefault="00D64C92" w:rsidP="00D64C92">
      <w:pPr>
        <w:rPr>
          <w:rStyle w:val="IntenseEmphasis"/>
        </w:rPr>
      </w:pPr>
      <w:r w:rsidRPr="003A1338">
        <w:rPr>
          <w:rStyle w:val="IntenseEmphasis"/>
        </w:rPr>
        <w:t xml:space="preserve">Components and services </w:t>
      </w:r>
      <w:r w:rsidR="007B0B23">
        <w:rPr>
          <w:rStyle w:val="IntenseEmphasis"/>
        </w:rPr>
        <w:t>relevant</w:t>
      </w:r>
      <w:r w:rsidRPr="003A1338">
        <w:rPr>
          <w:rStyle w:val="IntenseEmphasis"/>
        </w:rPr>
        <w:t xml:space="preserve"> to the security of systems</w:t>
      </w:r>
      <w:r>
        <w:rPr>
          <w:rStyle w:val="IntenseEmphasis"/>
        </w:rPr>
        <w:t xml:space="preserve"> </w:t>
      </w:r>
      <w:r w:rsidRPr="00845B51">
        <w:rPr>
          <w:rStyle w:val="IntenseEmphasis"/>
        </w:rPr>
        <w:t xml:space="preserve">are chosen from </w:t>
      </w:r>
      <w:r>
        <w:rPr>
          <w:rStyle w:val="IntenseEmphasis"/>
        </w:rPr>
        <w:t xml:space="preserve">suppliers and </w:t>
      </w:r>
      <w:r w:rsidRPr="00845B51">
        <w:rPr>
          <w:rStyle w:val="IntenseEmphasis"/>
        </w:rPr>
        <w:t>service providers that have made a commitment to secure</w:t>
      </w:r>
      <w:r>
        <w:rPr>
          <w:rStyle w:val="IntenseEmphasis"/>
        </w:rPr>
        <w:t>-by-design</w:t>
      </w:r>
      <w:r w:rsidRPr="00845B51">
        <w:rPr>
          <w:rStyle w:val="IntenseEmphasis"/>
        </w:rPr>
        <w:t xml:space="preserve"> practices.</w:t>
      </w:r>
    </w:p>
    <w:p w14:paraId="1A3B8D8D" w14:textId="77777777" w:rsidR="0022438A" w:rsidRPr="000E43A7" w:rsidRDefault="0022438A" w:rsidP="0022438A">
      <w:pPr>
        <w:pStyle w:val="IntenseHeading"/>
      </w:pPr>
      <w:r w:rsidRPr="000E43A7">
        <w:t xml:space="preserve">Security Control: </w:t>
      </w:r>
      <w:r>
        <w:t>1632</w:t>
      </w:r>
      <w:r w:rsidRPr="000E43A7">
        <w:t xml:space="preserve">; Revision: </w:t>
      </w:r>
      <w:r>
        <w:t>0</w:t>
      </w:r>
      <w:r w:rsidRPr="000E43A7">
        <w:t xml:space="preserve">; Updated: </w:t>
      </w:r>
      <w:r>
        <w:t>Dec-20</w:t>
      </w:r>
      <w:r w:rsidRPr="000E43A7">
        <w:t>; Applicability: O, P</w:t>
      </w:r>
      <w:r>
        <w:t>, S, TS</w:t>
      </w:r>
    </w:p>
    <w:p w14:paraId="50B45F18" w14:textId="605D4B24" w:rsidR="0022438A" w:rsidRPr="00845B51" w:rsidRDefault="0022438A" w:rsidP="00D64C92">
      <w:pPr>
        <w:rPr>
          <w:rStyle w:val="IntenseEmphasis"/>
        </w:rPr>
      </w:pPr>
      <w:r>
        <w:rPr>
          <w:rStyle w:val="IntenseEmphasis"/>
        </w:rPr>
        <w:t xml:space="preserve">Components and services </w:t>
      </w:r>
      <w:r w:rsidR="007B0B23">
        <w:rPr>
          <w:rStyle w:val="IntenseEmphasis"/>
        </w:rPr>
        <w:t>relevant</w:t>
      </w:r>
      <w:r>
        <w:rPr>
          <w:rStyle w:val="IntenseEmphasis"/>
        </w:rPr>
        <w:t xml:space="preserve"> to the security of systems are chosen from suppliers and s</w:t>
      </w:r>
      <w:r w:rsidRPr="00845B51">
        <w:rPr>
          <w:rStyle w:val="IntenseEmphasis"/>
        </w:rPr>
        <w:t xml:space="preserve">ervice providers </w:t>
      </w:r>
      <w:r>
        <w:rPr>
          <w:rStyle w:val="IntenseEmphasis"/>
        </w:rPr>
        <w:t>that have a strong track record of transparency and maintaining the security of their own systems, services and cyber supply chains</w:t>
      </w:r>
      <w:r w:rsidRPr="00845B51">
        <w:rPr>
          <w:rStyle w:val="IntenseEmphasis"/>
        </w:rPr>
        <w:t>.</w:t>
      </w:r>
    </w:p>
    <w:p w14:paraId="61292FA3" w14:textId="3E6D5C19" w:rsidR="0017638D" w:rsidRPr="00E51AB5" w:rsidRDefault="0017638D" w:rsidP="0017638D">
      <w:pPr>
        <w:pStyle w:val="IntenseHeading"/>
      </w:pPr>
      <w:r w:rsidRPr="00E51AB5">
        <w:t xml:space="preserve">Security Control: </w:t>
      </w:r>
      <w:r>
        <w:t>1569</w:t>
      </w:r>
      <w:r w:rsidRPr="00E51AB5">
        <w:t xml:space="preserve">; Revision: </w:t>
      </w:r>
      <w:r w:rsidR="001D0109">
        <w:t>1</w:t>
      </w:r>
      <w:r w:rsidRPr="00E51AB5">
        <w:t xml:space="preserve">; Updated: </w:t>
      </w:r>
      <w:r w:rsidR="001D0109">
        <w:t>Dec</w:t>
      </w:r>
      <w:r>
        <w:t>-20</w:t>
      </w:r>
      <w:r w:rsidRPr="00E51AB5">
        <w:t>; Applicability: O, P, S, TS</w:t>
      </w:r>
    </w:p>
    <w:p w14:paraId="1A96106D" w14:textId="77777777" w:rsidR="001D0109" w:rsidRPr="00845B51" w:rsidRDefault="001D0109" w:rsidP="001D0109">
      <w:pPr>
        <w:rPr>
          <w:rStyle w:val="IntenseEmphasis"/>
        </w:rPr>
      </w:pPr>
      <w:r w:rsidRPr="00845B51">
        <w:rPr>
          <w:rStyle w:val="IntenseEmphasis"/>
        </w:rPr>
        <w:t>A shared responsibility model is created</w:t>
      </w:r>
      <w:r>
        <w:rPr>
          <w:rStyle w:val="IntenseEmphasis"/>
        </w:rPr>
        <w:t>, documented and shared</w:t>
      </w:r>
      <w:r w:rsidRPr="00845B51">
        <w:rPr>
          <w:rStyle w:val="IntenseEmphasis"/>
        </w:rPr>
        <w:t xml:space="preserve"> between </w:t>
      </w:r>
      <w:r>
        <w:rPr>
          <w:rStyle w:val="IntenseEmphasis"/>
        </w:rPr>
        <w:t xml:space="preserve">suppliers, </w:t>
      </w:r>
      <w:r w:rsidRPr="00845B51">
        <w:rPr>
          <w:rStyle w:val="IntenseEmphasis"/>
        </w:rPr>
        <w:t xml:space="preserve">service providers and </w:t>
      </w:r>
      <w:r>
        <w:rPr>
          <w:rStyle w:val="IntenseEmphasis"/>
        </w:rPr>
        <w:t>their customers</w:t>
      </w:r>
      <w:r w:rsidRPr="00845B51">
        <w:rPr>
          <w:rStyle w:val="IntenseEmphasis"/>
        </w:rPr>
        <w:t xml:space="preserve"> in order to articulate the security responsibilities of each party.</w:t>
      </w:r>
    </w:p>
    <w:p w14:paraId="4268FA0B" w14:textId="77777777" w:rsidR="0017638D" w:rsidRPr="00535892" w:rsidRDefault="0017638D" w:rsidP="0017638D">
      <w:pPr>
        <w:pStyle w:val="Heading3"/>
      </w:pPr>
      <w:r w:rsidRPr="00535892">
        <w:t>Outsourced gateway services</w:t>
      </w:r>
    </w:p>
    <w:p w14:paraId="504D4792" w14:textId="77777777" w:rsidR="0017638D" w:rsidRDefault="0017638D" w:rsidP="0017638D">
      <w:pPr>
        <w:pStyle w:val="BodyText"/>
      </w:pPr>
      <w:r>
        <w:t>Commercial and government gateway services selected by the Australian Cyber Security Centre (ACSC) will need to undergo regular security assessments to determine their security posture and security risks associated with their use.</w:t>
      </w:r>
    </w:p>
    <w:p w14:paraId="3FBF8222" w14:textId="77777777" w:rsidR="0017638D" w:rsidRPr="000E43A7" w:rsidRDefault="0017638D" w:rsidP="0017638D">
      <w:pPr>
        <w:pStyle w:val="IntenseHeading"/>
      </w:pPr>
      <w:r w:rsidRPr="000E43A7">
        <w:t xml:space="preserve">Security Control: 0100; Revision: </w:t>
      </w:r>
      <w:r>
        <w:t>10</w:t>
      </w:r>
      <w:r w:rsidRPr="000E43A7">
        <w:t xml:space="preserve">; Updated: </w:t>
      </w:r>
      <w:r>
        <w:t>Jul-20</w:t>
      </w:r>
      <w:r w:rsidRPr="000E43A7">
        <w:t>; Applicability: O, P</w:t>
      </w:r>
    </w:p>
    <w:p w14:paraId="30F020E1" w14:textId="3481A3C4" w:rsidR="0017638D" w:rsidRPr="00845B51" w:rsidRDefault="0017638D" w:rsidP="0017638D">
      <w:pPr>
        <w:rPr>
          <w:rStyle w:val="IntenseEmphasis"/>
        </w:rPr>
      </w:pPr>
      <w:r w:rsidRPr="00845B51">
        <w:rPr>
          <w:rStyle w:val="IntenseEmphasis"/>
        </w:rPr>
        <w:t>Commercial and government gateway services selected by the ACSC undergo a joint secur</w:t>
      </w:r>
      <w:r w:rsidR="005E1042">
        <w:rPr>
          <w:rStyle w:val="IntenseEmphasis"/>
        </w:rPr>
        <w:t xml:space="preserve">ity assessment by ACSC and </w:t>
      </w:r>
      <w:proofErr w:type="spellStart"/>
      <w:r w:rsidR="005E1042">
        <w:rPr>
          <w:rStyle w:val="IntenseEmphasis"/>
        </w:rPr>
        <w:t>Infosec</w:t>
      </w:r>
      <w:proofErr w:type="spellEnd"/>
      <w:r w:rsidRPr="00845B51">
        <w:rPr>
          <w:rStyle w:val="IntenseEmphasis"/>
        </w:rPr>
        <w:t xml:space="preserve"> Registered Assessors Program (IRAP) assessors at least every 24 months.</w:t>
      </w:r>
    </w:p>
    <w:p w14:paraId="072A1901" w14:textId="77777777" w:rsidR="0017638D" w:rsidRPr="00535892" w:rsidRDefault="0017638D" w:rsidP="0017638D">
      <w:pPr>
        <w:pStyle w:val="Heading3"/>
      </w:pPr>
      <w:r w:rsidRPr="00535892">
        <w:t>Outsourced cloud services</w:t>
      </w:r>
    </w:p>
    <w:p w14:paraId="750DF6DA" w14:textId="77777777" w:rsidR="0017638D" w:rsidRDefault="0017638D" w:rsidP="0017638D">
      <w:pPr>
        <w:pStyle w:val="BodyText"/>
      </w:pPr>
      <w:r w:rsidRPr="00DF7362">
        <w:t xml:space="preserve">Outsourcing can be a cost-effective option for providing cloud services, as well as potentially delivering a superior service; however, it can also affect an organisation’s security risk profile. </w:t>
      </w:r>
      <w:r>
        <w:t>Ultimately</w:t>
      </w:r>
      <w:r w:rsidRPr="00DF7362">
        <w:t>, organisations will still need to decide whether a particular outsourced cloud service represents an acceptable risk and, if appropriate to do so, authorise it for their own use.</w:t>
      </w:r>
    </w:p>
    <w:p w14:paraId="2051CB15" w14:textId="62060670" w:rsidR="009712B4" w:rsidRDefault="0017638D" w:rsidP="009712B4">
      <w:pPr>
        <w:pStyle w:val="BodyText"/>
        <w:rPr>
          <w:rFonts w:ascii="Calibri" w:hAnsi="Calibri"/>
        </w:rPr>
      </w:pPr>
      <w:r>
        <w:rPr>
          <w:rFonts w:ascii="Calibri" w:hAnsi="Calibri"/>
        </w:rPr>
        <w:t>Cloud service providers</w:t>
      </w:r>
      <w:r w:rsidRPr="001371D4">
        <w:rPr>
          <w:rFonts w:ascii="Calibri" w:hAnsi="Calibri"/>
        </w:rPr>
        <w:t xml:space="preserve"> and their cloud services will need to undergo regular security assessments to determine their security posture and security risks associated with their use. Following an initial security assessment, subsequent security assessments should focus on any new cloud services that are being offered as well as any security-related changes that have occurred since the previous security assessment.</w:t>
      </w:r>
    </w:p>
    <w:p w14:paraId="7CE8A0B8" w14:textId="77777777" w:rsidR="009712B4" w:rsidRDefault="009712B4" w:rsidP="009712B4">
      <w:pPr>
        <w:pStyle w:val="IntenseHeading"/>
      </w:pPr>
      <w:r>
        <w:t>Security Control: 1637; Revision: 0; Updated: Jan-21; Applicability: O, P, S, TS</w:t>
      </w:r>
    </w:p>
    <w:p w14:paraId="036AA69D" w14:textId="77777777" w:rsidR="009712B4" w:rsidRDefault="009712B4" w:rsidP="009712B4">
      <w:pPr>
        <w:rPr>
          <w:i/>
          <w:iCs/>
          <w:color w:val="4F81BD" w:themeColor="accent1"/>
        </w:rPr>
      </w:pPr>
      <w:r>
        <w:rPr>
          <w:rStyle w:val="IntenseEmphasis"/>
        </w:rPr>
        <w:t>An outsourced cloud services register is maintained and regularly audited.</w:t>
      </w:r>
    </w:p>
    <w:p w14:paraId="2D867A93" w14:textId="3A40B7F1" w:rsidR="009712B4" w:rsidRDefault="009712B4" w:rsidP="009712B4">
      <w:pPr>
        <w:pStyle w:val="IntenseHeading"/>
      </w:pPr>
      <w:r>
        <w:t xml:space="preserve">Security Control: 1638; Revision: </w:t>
      </w:r>
      <w:r w:rsidR="00E37192">
        <w:t>1</w:t>
      </w:r>
      <w:r>
        <w:t>; Updated: J</w:t>
      </w:r>
      <w:r w:rsidR="00E37192">
        <w:t>un</w:t>
      </w:r>
      <w:r>
        <w:t>-21; Applicability: O, P, S, TS</w:t>
      </w:r>
    </w:p>
    <w:p w14:paraId="1B193352" w14:textId="3214C75A" w:rsidR="009712B4" w:rsidRDefault="00E37192" w:rsidP="009712B4">
      <w:pPr>
        <w:rPr>
          <w:rStyle w:val="IntenseEmphasis"/>
        </w:rPr>
      </w:pPr>
      <w:r>
        <w:rPr>
          <w:rStyle w:val="IntenseEmphasis"/>
        </w:rPr>
        <w:t>An o</w:t>
      </w:r>
      <w:r w:rsidR="009712B4">
        <w:rPr>
          <w:rStyle w:val="IntenseEmphasis"/>
        </w:rPr>
        <w:t>utsourced cloud services register contain</w:t>
      </w:r>
      <w:r>
        <w:rPr>
          <w:rStyle w:val="IntenseEmphasis"/>
        </w:rPr>
        <w:t>s</w:t>
      </w:r>
      <w:r w:rsidR="009712B4">
        <w:rPr>
          <w:rStyle w:val="IntenseEmphasis"/>
        </w:rPr>
        <w:t xml:space="preserve"> the following for each outsourced cloud service:</w:t>
      </w:r>
    </w:p>
    <w:p w14:paraId="30D28311" w14:textId="77777777" w:rsidR="009712B4" w:rsidRPr="00751833" w:rsidRDefault="009712B4" w:rsidP="009712B4">
      <w:pPr>
        <w:pStyle w:val="Bullets1"/>
        <w:rPr>
          <w:rStyle w:val="IntenseEmphasis"/>
        </w:rPr>
      </w:pPr>
      <w:r w:rsidRPr="00751833">
        <w:rPr>
          <w:rStyle w:val="IntenseEmphasis"/>
        </w:rPr>
        <w:t>cloud service provider</w:t>
      </w:r>
      <w:r>
        <w:rPr>
          <w:rStyle w:val="IntenseEmphasis"/>
        </w:rPr>
        <w:t>’s name</w:t>
      </w:r>
    </w:p>
    <w:p w14:paraId="16FAF872" w14:textId="77777777" w:rsidR="009712B4" w:rsidRPr="00751833" w:rsidRDefault="009712B4" w:rsidP="009712B4">
      <w:pPr>
        <w:pStyle w:val="Bullets1"/>
        <w:rPr>
          <w:rStyle w:val="IntenseEmphasis"/>
        </w:rPr>
      </w:pPr>
      <w:r w:rsidRPr="00751833">
        <w:rPr>
          <w:rStyle w:val="IntenseEmphasis"/>
        </w:rPr>
        <w:t>cloud service</w:t>
      </w:r>
      <w:r>
        <w:rPr>
          <w:rStyle w:val="IntenseEmphasis"/>
        </w:rPr>
        <w:t>’s name</w:t>
      </w:r>
    </w:p>
    <w:p w14:paraId="3519FC04" w14:textId="77777777" w:rsidR="009712B4" w:rsidRPr="00751833" w:rsidRDefault="009712B4" w:rsidP="009712B4">
      <w:pPr>
        <w:pStyle w:val="Bullets1"/>
        <w:rPr>
          <w:rStyle w:val="IntenseEmphasis"/>
        </w:rPr>
      </w:pPr>
      <w:r w:rsidRPr="00751833">
        <w:rPr>
          <w:rStyle w:val="IntenseEmphasis"/>
        </w:rPr>
        <w:t>purpose</w:t>
      </w:r>
      <w:r>
        <w:rPr>
          <w:rStyle w:val="IntenseEmphasis"/>
        </w:rPr>
        <w:t xml:space="preserve"> for using the cloud service</w:t>
      </w:r>
    </w:p>
    <w:p w14:paraId="40E5EDAF" w14:textId="0CEF09E3" w:rsidR="009712B4" w:rsidRPr="00751833" w:rsidRDefault="009712B4" w:rsidP="009712B4">
      <w:pPr>
        <w:pStyle w:val="Bullets1"/>
        <w:rPr>
          <w:rStyle w:val="IntenseEmphasis"/>
        </w:rPr>
      </w:pPr>
      <w:r w:rsidRPr="00751833">
        <w:rPr>
          <w:rStyle w:val="IntenseEmphasis"/>
        </w:rPr>
        <w:t xml:space="preserve">sensitivity or classification of </w:t>
      </w:r>
      <w:r w:rsidR="00E37192">
        <w:rPr>
          <w:rStyle w:val="IntenseEmphasis"/>
        </w:rPr>
        <w:t>data</w:t>
      </w:r>
      <w:r>
        <w:rPr>
          <w:rStyle w:val="IntenseEmphasis"/>
        </w:rPr>
        <w:t xml:space="preserve"> involved</w:t>
      </w:r>
    </w:p>
    <w:p w14:paraId="4FDC304F" w14:textId="77777777" w:rsidR="009712B4" w:rsidRPr="00751833" w:rsidRDefault="009712B4" w:rsidP="009712B4">
      <w:pPr>
        <w:pStyle w:val="Bullets1"/>
        <w:rPr>
          <w:rStyle w:val="IntenseEmphasis"/>
        </w:rPr>
      </w:pPr>
      <w:r w:rsidRPr="00751833">
        <w:rPr>
          <w:rStyle w:val="IntenseEmphasis"/>
        </w:rPr>
        <w:t xml:space="preserve">due date for </w:t>
      </w:r>
      <w:r>
        <w:rPr>
          <w:rStyle w:val="IntenseEmphasis"/>
        </w:rPr>
        <w:t xml:space="preserve">the </w:t>
      </w:r>
      <w:r w:rsidRPr="00751833">
        <w:rPr>
          <w:rStyle w:val="IntenseEmphasis"/>
        </w:rPr>
        <w:t>next security assessment</w:t>
      </w:r>
      <w:r>
        <w:rPr>
          <w:rStyle w:val="IntenseEmphasis"/>
        </w:rPr>
        <w:t xml:space="preserve"> of the cloud service</w:t>
      </w:r>
    </w:p>
    <w:p w14:paraId="4D362974" w14:textId="77777777" w:rsidR="009712B4" w:rsidRDefault="009712B4" w:rsidP="009712B4">
      <w:pPr>
        <w:pStyle w:val="Bullets1"/>
        <w:rPr>
          <w:rStyle w:val="IntenseEmphasis"/>
        </w:rPr>
      </w:pPr>
      <w:r>
        <w:rPr>
          <w:rStyle w:val="IntenseEmphasis"/>
        </w:rPr>
        <w:t>point of contact for users of the cloud service</w:t>
      </w:r>
    </w:p>
    <w:p w14:paraId="31E1306B" w14:textId="77777777" w:rsidR="009712B4" w:rsidRPr="00751833" w:rsidRDefault="009712B4" w:rsidP="009712B4">
      <w:pPr>
        <w:pStyle w:val="Bullets1"/>
        <w:rPr>
          <w:rStyle w:val="IntenseEmphasis"/>
        </w:rPr>
      </w:pPr>
      <w:proofErr w:type="gramStart"/>
      <w:r>
        <w:rPr>
          <w:rStyle w:val="IntenseEmphasis"/>
        </w:rPr>
        <w:t>point</w:t>
      </w:r>
      <w:proofErr w:type="gramEnd"/>
      <w:r>
        <w:rPr>
          <w:rStyle w:val="IntenseEmphasis"/>
        </w:rPr>
        <w:t xml:space="preserve"> of contact for the cloud service provider</w:t>
      </w:r>
      <w:r w:rsidRPr="00751833">
        <w:rPr>
          <w:rStyle w:val="IntenseEmphasis"/>
        </w:rPr>
        <w:t>.</w:t>
      </w:r>
    </w:p>
    <w:p w14:paraId="03F11110" w14:textId="77777777" w:rsidR="0017638D" w:rsidRPr="000E43A7" w:rsidRDefault="0017638D" w:rsidP="0017638D">
      <w:pPr>
        <w:pStyle w:val="IntenseHeading"/>
      </w:pPr>
      <w:r w:rsidRPr="000E43A7">
        <w:lastRenderedPageBreak/>
        <w:t xml:space="preserve">Security Control: </w:t>
      </w:r>
      <w:r>
        <w:t>1570</w:t>
      </w:r>
      <w:r w:rsidRPr="000E43A7">
        <w:t xml:space="preserve">; Revision: 0; Updated: </w:t>
      </w:r>
      <w:r>
        <w:t>Jul-20</w:t>
      </w:r>
      <w:r w:rsidRPr="000E43A7">
        <w:t xml:space="preserve">; Applicability: </w:t>
      </w:r>
      <w:r>
        <w:t xml:space="preserve">O, P, S, </w:t>
      </w:r>
      <w:r w:rsidRPr="000E43A7">
        <w:t>TS</w:t>
      </w:r>
    </w:p>
    <w:p w14:paraId="5228435E" w14:textId="77777777" w:rsidR="0017638D" w:rsidRPr="00845B51" w:rsidRDefault="0017638D" w:rsidP="0017638D">
      <w:pPr>
        <w:rPr>
          <w:rStyle w:val="IntenseEmphasis"/>
        </w:rPr>
      </w:pPr>
      <w:r w:rsidRPr="00845B51">
        <w:rPr>
          <w:rStyle w:val="IntenseEmphasis"/>
        </w:rPr>
        <w:t>Cloud service providers and their cloud services undergo a security assessment by an IRAP assessor at least every 24 months.</w:t>
      </w:r>
    </w:p>
    <w:p w14:paraId="6DAD3B99" w14:textId="77777777" w:rsidR="0017638D" w:rsidRPr="000E43A7" w:rsidRDefault="0017638D" w:rsidP="0017638D">
      <w:pPr>
        <w:pStyle w:val="IntenseHeading"/>
      </w:pPr>
      <w:r w:rsidRPr="000E43A7">
        <w:t xml:space="preserve">Security Control: 1529; Revision: </w:t>
      </w:r>
      <w:r>
        <w:t>1</w:t>
      </w:r>
      <w:r w:rsidRPr="000E43A7">
        <w:t xml:space="preserve">; Updated: </w:t>
      </w:r>
      <w:r>
        <w:t>Jul-20</w:t>
      </w:r>
      <w:r w:rsidRPr="000E43A7">
        <w:t>; Applicability: S, TS</w:t>
      </w:r>
    </w:p>
    <w:p w14:paraId="29D43D3E" w14:textId="77777777" w:rsidR="0017638D" w:rsidRPr="00845B51" w:rsidRDefault="0017638D" w:rsidP="0017638D">
      <w:pPr>
        <w:rPr>
          <w:rStyle w:val="IntenseEmphasis"/>
        </w:rPr>
      </w:pPr>
      <w:r w:rsidRPr="00845B51">
        <w:rPr>
          <w:rStyle w:val="IntenseEmphasis"/>
        </w:rPr>
        <w:t>Only community or private clouds are used for outsourced cloud services.</w:t>
      </w:r>
    </w:p>
    <w:p w14:paraId="4E3E3349" w14:textId="77777777" w:rsidR="0017638D" w:rsidRPr="00535892" w:rsidRDefault="0017638D" w:rsidP="0017638D">
      <w:pPr>
        <w:pStyle w:val="Heading3"/>
      </w:pPr>
      <w:r w:rsidRPr="00535892">
        <w:t>Contractual security requirements</w:t>
      </w:r>
    </w:p>
    <w:p w14:paraId="43426776" w14:textId="16E5F1FA" w:rsidR="0017638D" w:rsidRDefault="0017638D" w:rsidP="0017638D">
      <w:pPr>
        <w:pStyle w:val="BodyText"/>
      </w:pPr>
      <w:r w:rsidRPr="00DF7362">
        <w:t xml:space="preserve">Obligations for protecting </w:t>
      </w:r>
      <w:r>
        <w:t>the confidentiality, integrity and availability of</w:t>
      </w:r>
      <w:r w:rsidRPr="00DF7362">
        <w:t xml:space="preserve"> </w:t>
      </w:r>
      <w:r w:rsidR="00E37192">
        <w:t>data</w:t>
      </w:r>
      <w:r w:rsidRPr="00DF7362">
        <w:t xml:space="preserve"> are no different when using an outsourced information technology or cloud service than using an in-house service. As such, contract</w:t>
      </w:r>
      <w:r>
        <w:t>ual arrangements</w:t>
      </w:r>
      <w:r w:rsidRPr="00DF7362">
        <w:t xml:space="preserve"> between an organisation and a service provider should address </w:t>
      </w:r>
      <w:r>
        <w:t>how security risks will be managed</w:t>
      </w:r>
      <w:r w:rsidRPr="00DF7362">
        <w:t>.</w:t>
      </w:r>
      <w:r>
        <w:t xml:space="preserve"> However, in some cases an organisation may require information technology or cloud services to be used before all security requirements have been implemented by the service provider. In such cases, contractual arrangements should include appropriate timeframes for the implementation of security requirements and break clauses if these are not achieved.</w:t>
      </w:r>
    </w:p>
    <w:p w14:paraId="658801F1" w14:textId="6DBD1B63" w:rsidR="0017638D" w:rsidRDefault="0017638D" w:rsidP="0017638D">
      <w:pPr>
        <w:pStyle w:val="BodyText"/>
      </w:pPr>
      <w:r>
        <w:t>In addition, a</w:t>
      </w:r>
      <w:r w:rsidRPr="00DF7362">
        <w:t xml:space="preserve">lthough </w:t>
      </w:r>
      <w:r w:rsidR="00E37192">
        <w:t>data</w:t>
      </w:r>
      <w:r w:rsidRPr="00DF7362">
        <w:t xml:space="preserve"> ownership resides with an organisation, this can become less clear in some circumstances, such as when legal action is taken and a service provider is asked to provide access to, or </w:t>
      </w:r>
      <w:r w:rsidR="00E37192">
        <w:t>data</w:t>
      </w:r>
      <w:r w:rsidRPr="00DF7362">
        <w:t xml:space="preserve"> from, their assets. To mitigate the likelihood of </w:t>
      </w:r>
      <w:r w:rsidR="00E37192">
        <w:t>data</w:t>
      </w:r>
      <w:r w:rsidRPr="00DF7362">
        <w:t xml:space="preserve"> being unavailable or compromised, organisations can </w:t>
      </w:r>
      <w:r>
        <w:t xml:space="preserve">document the types of </w:t>
      </w:r>
      <w:r w:rsidR="00E37192">
        <w:t>data</w:t>
      </w:r>
      <w:r>
        <w:t xml:space="preserve"> and its </w:t>
      </w:r>
      <w:r w:rsidRPr="00DF7362">
        <w:t>ownership through contract</w:t>
      </w:r>
      <w:r>
        <w:t>ual arrangements</w:t>
      </w:r>
      <w:r w:rsidRPr="00DF7362">
        <w:t>.</w:t>
      </w:r>
    </w:p>
    <w:p w14:paraId="2DBF5FDB" w14:textId="7F36CA0C" w:rsidR="0017638D" w:rsidRDefault="0017638D" w:rsidP="0017638D">
      <w:pPr>
        <w:pStyle w:val="BodyText"/>
      </w:pPr>
      <w:r>
        <w:t xml:space="preserve">Furthermore, organisations may make the decision to move from their current service provider for strategic, operational or governance reasons. This may include scenarios such as changing to another service provider, moving to a different service with the same service provider or moving back to an on-premises solution. In many cases, transferring </w:t>
      </w:r>
      <w:r w:rsidR="00E37192">
        <w:t>data</w:t>
      </w:r>
      <w:r>
        <w:t xml:space="preserve"> and functionality between old and new services or systems will be desired. Service providers can assist organisations by ensuring </w:t>
      </w:r>
      <w:r w:rsidR="00E37192">
        <w:t>data</w:t>
      </w:r>
      <w:r>
        <w:t xml:space="preserve"> is as portable as possible and that as much </w:t>
      </w:r>
      <w:r w:rsidR="00E37192">
        <w:t>data</w:t>
      </w:r>
      <w:r>
        <w:t xml:space="preserve"> can be exported as possible. As such, </w:t>
      </w:r>
      <w:r w:rsidR="00E37192">
        <w:t>data</w:t>
      </w:r>
      <w:r>
        <w:t xml:space="preserve"> should be stored in a documented format, preferably an open standard, noting that undocumented or proprietary formats may make it more difficult for organisations to perform backup, service migration or service decommissioning activities.</w:t>
      </w:r>
    </w:p>
    <w:p w14:paraId="21CD1E37" w14:textId="4F0889A4" w:rsidR="0017638D" w:rsidRDefault="0017638D" w:rsidP="0017638D">
      <w:pPr>
        <w:pStyle w:val="BodyText"/>
      </w:pPr>
      <w:r>
        <w:t xml:space="preserve">Finally, to ensure that organisations are given sufficient time to download their </w:t>
      </w:r>
      <w:r w:rsidR="00E37192">
        <w:t>data</w:t>
      </w:r>
      <w:r>
        <w:t xml:space="preserve"> or move to another service provider should a service provider cease offering a particular service, a one month notification period should be documented in contractual arrangements.</w:t>
      </w:r>
    </w:p>
    <w:p w14:paraId="6CEE9420" w14:textId="2828D5BD" w:rsidR="003B1E25" w:rsidRPr="000E43A7" w:rsidRDefault="003B1E25" w:rsidP="003B1E25">
      <w:pPr>
        <w:pStyle w:val="IntenseHeading"/>
      </w:pPr>
      <w:r w:rsidRPr="000E43A7">
        <w:t xml:space="preserve">Security Control: 1395; Revision: </w:t>
      </w:r>
      <w:r w:rsidR="00E37192">
        <w:t>5</w:t>
      </w:r>
      <w:r w:rsidRPr="000E43A7">
        <w:t xml:space="preserve">; Updated: </w:t>
      </w:r>
      <w:r>
        <w:t>Ju</w:t>
      </w:r>
      <w:r w:rsidR="000D7559">
        <w:t>n</w:t>
      </w:r>
      <w:r w:rsidR="00E37192">
        <w:t>-21</w:t>
      </w:r>
      <w:r w:rsidRPr="000E43A7">
        <w:t>; Applicability: O, P</w:t>
      </w:r>
      <w:r>
        <w:t>, S, TS</w:t>
      </w:r>
    </w:p>
    <w:p w14:paraId="60E8D9F3" w14:textId="671CD3D4" w:rsidR="003B1E25" w:rsidRPr="003B1E25" w:rsidRDefault="003B1E25" w:rsidP="003B1E25">
      <w:pPr>
        <w:rPr>
          <w:i/>
          <w:iCs/>
          <w:color w:val="4F81BD" w:themeColor="accent1"/>
        </w:rPr>
      </w:pPr>
      <w:r w:rsidRPr="00845B51">
        <w:rPr>
          <w:rStyle w:val="IntenseEmphasis"/>
        </w:rPr>
        <w:t xml:space="preserve">Service providers provide an appropriate level of protection for any official, sensitive or classified </w:t>
      </w:r>
      <w:r w:rsidR="00E37192">
        <w:rPr>
          <w:rStyle w:val="IntenseEmphasis"/>
        </w:rPr>
        <w:t>data</w:t>
      </w:r>
      <w:r w:rsidRPr="00845B51">
        <w:rPr>
          <w:rStyle w:val="IntenseEmphasis"/>
        </w:rPr>
        <w:t xml:space="preserve"> entrusted to them or their services.</w:t>
      </w:r>
    </w:p>
    <w:p w14:paraId="550CECA9" w14:textId="5D7E0506" w:rsidR="0017638D" w:rsidRPr="000E43A7" w:rsidRDefault="0017638D" w:rsidP="0017638D">
      <w:pPr>
        <w:pStyle w:val="IntenseHeading"/>
      </w:pPr>
      <w:r w:rsidRPr="000E43A7">
        <w:t xml:space="preserve">Security Control: 0072; Revision: </w:t>
      </w:r>
      <w:r w:rsidR="00E37192">
        <w:t>7</w:t>
      </w:r>
      <w:r w:rsidRPr="000E43A7">
        <w:t xml:space="preserve">; Updated: </w:t>
      </w:r>
      <w:r>
        <w:t>Ju</w:t>
      </w:r>
      <w:r w:rsidR="000D7559">
        <w:t>n</w:t>
      </w:r>
      <w:r>
        <w:t>-2</w:t>
      </w:r>
      <w:r w:rsidR="00E37192">
        <w:t>1</w:t>
      </w:r>
      <w:r w:rsidRPr="000E43A7">
        <w:t>; Applicability: O, P, S, TS</w:t>
      </w:r>
    </w:p>
    <w:p w14:paraId="6BDFF093" w14:textId="6EFE68A4" w:rsidR="0017638D" w:rsidRPr="00845B51" w:rsidRDefault="0017638D" w:rsidP="0017638D">
      <w:pPr>
        <w:rPr>
          <w:rStyle w:val="IntenseEmphasis"/>
        </w:rPr>
      </w:pPr>
      <w:r w:rsidRPr="00845B51">
        <w:rPr>
          <w:rStyle w:val="IntenseEmphasis"/>
        </w:rPr>
        <w:t xml:space="preserve">Security requirements associated with the confidentiality, integrity and availability of </w:t>
      </w:r>
      <w:r w:rsidR="00E37192">
        <w:rPr>
          <w:rStyle w:val="IntenseEmphasis"/>
        </w:rPr>
        <w:t>data</w:t>
      </w:r>
      <w:r w:rsidRPr="00845B51">
        <w:rPr>
          <w:rStyle w:val="IntenseEmphasis"/>
        </w:rPr>
        <w:t xml:space="preserve"> entrusted to a service provider are documented in contractual arrangements.</w:t>
      </w:r>
    </w:p>
    <w:p w14:paraId="091D27CC" w14:textId="07423AC6" w:rsidR="0017638D" w:rsidRPr="000E43A7" w:rsidRDefault="0017638D" w:rsidP="0017638D">
      <w:pPr>
        <w:pStyle w:val="IntenseHeading"/>
      </w:pPr>
      <w:r w:rsidRPr="000E43A7">
        <w:t xml:space="preserve">Security Control: </w:t>
      </w:r>
      <w:r>
        <w:t>1571</w:t>
      </w:r>
      <w:r w:rsidRPr="000E43A7">
        <w:t xml:space="preserve">; Revision: </w:t>
      </w:r>
      <w:r w:rsidR="00E37192">
        <w:t>1</w:t>
      </w:r>
      <w:r w:rsidRPr="000E43A7">
        <w:t xml:space="preserve">; Updated: </w:t>
      </w:r>
      <w:r>
        <w:t>Ju</w:t>
      </w:r>
      <w:r w:rsidR="000D7559">
        <w:t>n</w:t>
      </w:r>
      <w:r>
        <w:t>-2</w:t>
      </w:r>
      <w:r w:rsidR="00E37192">
        <w:t>1</w:t>
      </w:r>
      <w:r w:rsidRPr="000E43A7">
        <w:t>; Applicability: O, P, S, TS</w:t>
      </w:r>
    </w:p>
    <w:p w14:paraId="3E8C8245" w14:textId="04A8AA57" w:rsidR="0017638D" w:rsidRPr="00845B51" w:rsidRDefault="0017638D" w:rsidP="0017638D">
      <w:pPr>
        <w:rPr>
          <w:rStyle w:val="IntenseEmphasis"/>
        </w:rPr>
      </w:pPr>
      <w:r w:rsidRPr="00845B51">
        <w:rPr>
          <w:rStyle w:val="IntenseEmphasis"/>
        </w:rPr>
        <w:t xml:space="preserve">The right to audit security controls associated with the protection of </w:t>
      </w:r>
      <w:r w:rsidR="00E37192">
        <w:rPr>
          <w:rStyle w:val="IntenseEmphasis"/>
        </w:rPr>
        <w:t>data</w:t>
      </w:r>
      <w:r w:rsidRPr="00845B51">
        <w:rPr>
          <w:rStyle w:val="IntenseEmphasis"/>
        </w:rPr>
        <w:t xml:space="preserve"> and services is specified in contractual arrangements.</w:t>
      </w:r>
    </w:p>
    <w:p w14:paraId="2F6E5DA5" w14:textId="64C504FA" w:rsidR="0017638D" w:rsidRPr="000E43A7" w:rsidRDefault="0017638D" w:rsidP="0017638D">
      <w:pPr>
        <w:pStyle w:val="IntenseHeading"/>
      </w:pPr>
      <w:r w:rsidRPr="000E43A7">
        <w:t xml:space="preserve">Security Control: 1451; Revision: </w:t>
      </w:r>
      <w:r w:rsidR="00E37192">
        <w:t>3</w:t>
      </w:r>
      <w:r w:rsidRPr="000E43A7">
        <w:t xml:space="preserve">; Updated: </w:t>
      </w:r>
      <w:r>
        <w:t>Ju</w:t>
      </w:r>
      <w:r w:rsidR="000D7559">
        <w:t>n</w:t>
      </w:r>
      <w:r>
        <w:t>-2</w:t>
      </w:r>
      <w:r w:rsidR="00E37192">
        <w:t>1</w:t>
      </w:r>
      <w:r w:rsidRPr="000E43A7">
        <w:t>; Applicability: O, P, S, TS</w:t>
      </w:r>
    </w:p>
    <w:p w14:paraId="380B4ED8" w14:textId="087A6634" w:rsidR="0017638D" w:rsidRPr="00845B51" w:rsidRDefault="0017638D" w:rsidP="0017638D">
      <w:pPr>
        <w:rPr>
          <w:rStyle w:val="IntenseEmphasis"/>
        </w:rPr>
      </w:pPr>
      <w:r w:rsidRPr="00845B51">
        <w:rPr>
          <w:rStyle w:val="IntenseEmphasis"/>
        </w:rPr>
        <w:t xml:space="preserve">Types of </w:t>
      </w:r>
      <w:r w:rsidR="00E37192">
        <w:rPr>
          <w:rStyle w:val="IntenseEmphasis"/>
        </w:rPr>
        <w:t>data</w:t>
      </w:r>
      <w:r w:rsidRPr="00845B51">
        <w:rPr>
          <w:rStyle w:val="IntenseEmphasis"/>
        </w:rPr>
        <w:t xml:space="preserve"> and its ownership is documented in contractual arrangements.</w:t>
      </w:r>
    </w:p>
    <w:p w14:paraId="24DC8E62" w14:textId="3FF54936" w:rsidR="0017638D" w:rsidRPr="000E43A7" w:rsidRDefault="0017638D" w:rsidP="0017638D">
      <w:pPr>
        <w:pStyle w:val="IntenseHeading"/>
      </w:pPr>
      <w:r w:rsidRPr="000E43A7">
        <w:t xml:space="preserve">Security Control: </w:t>
      </w:r>
      <w:r>
        <w:t>1572</w:t>
      </w:r>
      <w:r w:rsidRPr="000E43A7">
        <w:t xml:space="preserve">; Revision: </w:t>
      </w:r>
      <w:r w:rsidR="00E37192">
        <w:t>1</w:t>
      </w:r>
      <w:r w:rsidRPr="000E43A7">
        <w:t xml:space="preserve">; Updated: </w:t>
      </w:r>
      <w:r>
        <w:t>Ju</w:t>
      </w:r>
      <w:r w:rsidR="000D7559">
        <w:t>n</w:t>
      </w:r>
      <w:r>
        <w:t>-2</w:t>
      </w:r>
      <w:r w:rsidR="00E37192">
        <w:t>1</w:t>
      </w:r>
      <w:r w:rsidRPr="000E43A7">
        <w:t>; Applicability: O, P, S, TS</w:t>
      </w:r>
    </w:p>
    <w:p w14:paraId="3C4F1E3E" w14:textId="2E67678A" w:rsidR="0017638D" w:rsidRPr="00845B51" w:rsidRDefault="0017638D" w:rsidP="0017638D">
      <w:pPr>
        <w:rPr>
          <w:rStyle w:val="IntenseEmphasis"/>
        </w:rPr>
      </w:pPr>
      <w:r w:rsidRPr="00845B51">
        <w:rPr>
          <w:rStyle w:val="IntenseEmphasis"/>
        </w:rPr>
        <w:t xml:space="preserve">The regions or availability zones where </w:t>
      </w:r>
      <w:r w:rsidR="00E37192">
        <w:rPr>
          <w:rStyle w:val="IntenseEmphasis"/>
        </w:rPr>
        <w:t>data</w:t>
      </w:r>
      <w:r w:rsidRPr="00845B51">
        <w:rPr>
          <w:rStyle w:val="IntenseEmphasis"/>
        </w:rPr>
        <w:t xml:space="preserve"> will be processed, stored and communicated is documented in contractual arrangements.</w:t>
      </w:r>
    </w:p>
    <w:p w14:paraId="424805CB" w14:textId="2E24A56B" w:rsidR="0017638D" w:rsidRPr="000E43A7" w:rsidRDefault="0017638D" w:rsidP="0017638D">
      <w:pPr>
        <w:pStyle w:val="IntenseHeading"/>
      </w:pPr>
      <w:r w:rsidRPr="000E43A7">
        <w:t xml:space="preserve">Security Control: </w:t>
      </w:r>
      <w:r>
        <w:t>1573</w:t>
      </w:r>
      <w:r w:rsidRPr="000E43A7">
        <w:t xml:space="preserve">; Revision: </w:t>
      </w:r>
      <w:r w:rsidR="00E37192">
        <w:t>1</w:t>
      </w:r>
      <w:r w:rsidRPr="000E43A7">
        <w:t xml:space="preserve">; Updated: </w:t>
      </w:r>
      <w:r>
        <w:t>Ju</w:t>
      </w:r>
      <w:r w:rsidR="000D7559">
        <w:t>n</w:t>
      </w:r>
      <w:r>
        <w:t>-2</w:t>
      </w:r>
      <w:r w:rsidR="00E37192">
        <w:t>1</w:t>
      </w:r>
      <w:r w:rsidRPr="000E43A7">
        <w:t>; Applicability: O, P, S, TS</w:t>
      </w:r>
    </w:p>
    <w:p w14:paraId="60130B58" w14:textId="324078E2" w:rsidR="0017638D" w:rsidRPr="00845B51" w:rsidRDefault="0017638D" w:rsidP="0017638D">
      <w:pPr>
        <w:rPr>
          <w:rStyle w:val="IntenseEmphasis"/>
        </w:rPr>
      </w:pPr>
      <w:r w:rsidRPr="00845B51">
        <w:rPr>
          <w:rStyle w:val="IntenseEmphasis"/>
        </w:rPr>
        <w:t xml:space="preserve">Access to all logs relating to an organisation’s </w:t>
      </w:r>
      <w:r w:rsidR="00E37192">
        <w:rPr>
          <w:rStyle w:val="IntenseEmphasis"/>
        </w:rPr>
        <w:t>data</w:t>
      </w:r>
      <w:r w:rsidRPr="00845B51">
        <w:rPr>
          <w:rStyle w:val="IntenseEmphasis"/>
        </w:rPr>
        <w:t xml:space="preserve"> and services are specified in contractual arrangements.</w:t>
      </w:r>
    </w:p>
    <w:p w14:paraId="55A71D90" w14:textId="4263A1A4" w:rsidR="0017638D" w:rsidRPr="000E43A7" w:rsidRDefault="0017638D" w:rsidP="0017638D">
      <w:pPr>
        <w:pStyle w:val="IntenseHeading"/>
      </w:pPr>
      <w:r w:rsidRPr="000E43A7">
        <w:t xml:space="preserve">Security Control: </w:t>
      </w:r>
      <w:r>
        <w:t>1574</w:t>
      </w:r>
      <w:r w:rsidRPr="000E43A7">
        <w:t xml:space="preserve">; Revision: </w:t>
      </w:r>
      <w:r w:rsidR="00E37192">
        <w:t>1</w:t>
      </w:r>
      <w:r w:rsidRPr="000E43A7">
        <w:t xml:space="preserve">; Updated: </w:t>
      </w:r>
      <w:r>
        <w:t>J</w:t>
      </w:r>
      <w:r w:rsidR="00E37192">
        <w:t>u</w:t>
      </w:r>
      <w:r w:rsidR="000D7559">
        <w:t>n</w:t>
      </w:r>
      <w:r w:rsidR="00E37192">
        <w:t>-21</w:t>
      </w:r>
      <w:r w:rsidRPr="000E43A7">
        <w:t>; Applicability: O, P, S, TS</w:t>
      </w:r>
    </w:p>
    <w:p w14:paraId="0725FB0D" w14:textId="6C52EEFB" w:rsidR="0017638D" w:rsidRPr="00845B51" w:rsidRDefault="00E37192" w:rsidP="0017638D">
      <w:pPr>
        <w:rPr>
          <w:rStyle w:val="IntenseEmphasis"/>
        </w:rPr>
      </w:pPr>
      <w:r>
        <w:rPr>
          <w:rStyle w:val="IntenseEmphasis"/>
        </w:rPr>
        <w:lastRenderedPageBreak/>
        <w:t>Data</w:t>
      </w:r>
      <w:r w:rsidR="0017638D" w:rsidRPr="00845B51">
        <w:rPr>
          <w:rStyle w:val="IntenseEmphasis"/>
        </w:rPr>
        <w:t xml:space="preserve"> entrusted to a service provider is stored in a portable manner that allows organisations to perform backups, service migration or service decommissioning without any loss of </w:t>
      </w:r>
      <w:r>
        <w:rPr>
          <w:rStyle w:val="IntenseEmphasis"/>
        </w:rPr>
        <w:t>data</w:t>
      </w:r>
      <w:r w:rsidR="0017638D" w:rsidRPr="00845B51">
        <w:rPr>
          <w:rStyle w:val="IntenseEmphasis"/>
        </w:rPr>
        <w:t>.</w:t>
      </w:r>
    </w:p>
    <w:p w14:paraId="571CDE1D" w14:textId="77777777" w:rsidR="0017638D" w:rsidRPr="000E43A7" w:rsidRDefault="0017638D" w:rsidP="0017638D">
      <w:pPr>
        <w:pStyle w:val="IntenseHeading"/>
      </w:pPr>
      <w:r w:rsidRPr="000E43A7">
        <w:t xml:space="preserve">Security Control: </w:t>
      </w:r>
      <w:r>
        <w:t>1575</w:t>
      </w:r>
      <w:r w:rsidRPr="000E43A7">
        <w:t xml:space="preserve">; Revision: 0; Updated: </w:t>
      </w:r>
      <w:r>
        <w:t>Jul-20</w:t>
      </w:r>
      <w:r w:rsidRPr="000E43A7">
        <w:t xml:space="preserve">; Applicability: </w:t>
      </w:r>
      <w:r>
        <w:t xml:space="preserve">O, P, S, </w:t>
      </w:r>
      <w:r w:rsidRPr="000E43A7">
        <w:t>TS</w:t>
      </w:r>
    </w:p>
    <w:p w14:paraId="0981E7D0" w14:textId="77777777" w:rsidR="0017638D" w:rsidRPr="00845B51" w:rsidRDefault="0017638D" w:rsidP="0017638D">
      <w:pPr>
        <w:rPr>
          <w:rStyle w:val="IntenseEmphasis"/>
        </w:rPr>
      </w:pPr>
      <w:r w:rsidRPr="00845B51">
        <w:rPr>
          <w:rStyle w:val="IntenseEmphasis"/>
        </w:rPr>
        <w:t>A minimum notification period of one month for the cessation of any services by a service provider is documented in contractual arrangements.</w:t>
      </w:r>
    </w:p>
    <w:p w14:paraId="57A6D1E8" w14:textId="73E1A1DA" w:rsidR="0017638D" w:rsidRPr="00535892" w:rsidRDefault="0017638D" w:rsidP="0017638D">
      <w:pPr>
        <w:pStyle w:val="Heading3"/>
      </w:pPr>
      <w:r w:rsidRPr="00535892">
        <w:t xml:space="preserve">Access to systems and </w:t>
      </w:r>
      <w:r w:rsidR="00E37192">
        <w:t>data</w:t>
      </w:r>
      <w:r w:rsidRPr="00535892">
        <w:t xml:space="preserve"> by service providers</w:t>
      </w:r>
    </w:p>
    <w:p w14:paraId="35CF85BA" w14:textId="007A26D5" w:rsidR="0017638D" w:rsidRDefault="0017638D" w:rsidP="0017638D">
      <w:pPr>
        <w:pStyle w:val="BodyText"/>
      </w:pPr>
      <w:r>
        <w:t xml:space="preserve">To perform their contracted duties, service providers may need to access an organisation’s systems and </w:t>
      </w:r>
      <w:r w:rsidR="00E37192">
        <w:t>data</w:t>
      </w:r>
      <w:r>
        <w:t xml:space="preserve">. However, without proper security controls in place, this access could leave organisations’ systems vulnerable – especially when such access occurs from outside of Australian borders. As such, organisations should ensure that their systems and </w:t>
      </w:r>
      <w:r w:rsidR="00E37192">
        <w:t>data</w:t>
      </w:r>
      <w:r>
        <w:t xml:space="preserve"> are not accessed or administered by service providers unless such requirements, and associated measures to control such requirements, are documented in contractual arrangements. In doing so, it is important that sufficient measures are also in place to detect and record any unauthorised access, such as customer support representatives or platform engineers accessing an organisation’s encryption keys. In such cases, the service provide should immediately report the cyber security incident to organisations and make available all logs pertaining to the unauthorised access.</w:t>
      </w:r>
    </w:p>
    <w:p w14:paraId="7549FF3E" w14:textId="175CAAEC" w:rsidR="0017638D" w:rsidRPr="000E43A7" w:rsidRDefault="0017638D" w:rsidP="0017638D">
      <w:pPr>
        <w:pStyle w:val="IntenseHeading"/>
      </w:pPr>
      <w:r w:rsidRPr="000E43A7">
        <w:t xml:space="preserve">Security Control: 1073; Revision: </w:t>
      </w:r>
      <w:r w:rsidR="00E37192">
        <w:t>5</w:t>
      </w:r>
      <w:r w:rsidRPr="000E43A7">
        <w:t xml:space="preserve">; Updated: </w:t>
      </w:r>
      <w:r>
        <w:t>Ju</w:t>
      </w:r>
      <w:r w:rsidR="000D7559">
        <w:t>n</w:t>
      </w:r>
      <w:r>
        <w:t>-2</w:t>
      </w:r>
      <w:r w:rsidR="00E37192">
        <w:t>1</w:t>
      </w:r>
      <w:r w:rsidRPr="000E43A7">
        <w:t>; Applicability: O, P, S, TS</w:t>
      </w:r>
    </w:p>
    <w:p w14:paraId="32D1E316" w14:textId="1E3DB032" w:rsidR="0017638D" w:rsidRPr="00845B51" w:rsidRDefault="0017638D" w:rsidP="0017638D">
      <w:pPr>
        <w:rPr>
          <w:rStyle w:val="IntenseEmphasis"/>
        </w:rPr>
      </w:pPr>
      <w:r w:rsidRPr="00845B51">
        <w:rPr>
          <w:rStyle w:val="IntenseEmphasis"/>
        </w:rPr>
        <w:t xml:space="preserve">An organisation’s systems and </w:t>
      </w:r>
      <w:r w:rsidR="00E37192">
        <w:rPr>
          <w:rStyle w:val="IntenseEmphasis"/>
        </w:rPr>
        <w:t>data</w:t>
      </w:r>
      <w:r w:rsidRPr="00845B51">
        <w:rPr>
          <w:rStyle w:val="IntenseEmphasis"/>
        </w:rPr>
        <w:t xml:space="preserve"> are not accessed or administered by a service provider unless a contractual arrangement exists between the organisation and the service provider to do so.</w:t>
      </w:r>
    </w:p>
    <w:p w14:paraId="39019CAF" w14:textId="2E1A7ABD" w:rsidR="0017638D" w:rsidRPr="000E43A7" w:rsidRDefault="0017638D" w:rsidP="0017638D">
      <w:pPr>
        <w:pStyle w:val="IntenseHeading"/>
      </w:pPr>
      <w:r w:rsidRPr="000E43A7">
        <w:t xml:space="preserve">Security Control: </w:t>
      </w:r>
      <w:r>
        <w:t>1576</w:t>
      </w:r>
      <w:r w:rsidRPr="000E43A7">
        <w:t xml:space="preserve">; Revision: </w:t>
      </w:r>
      <w:r w:rsidR="00E37192">
        <w:t>1</w:t>
      </w:r>
      <w:r w:rsidRPr="000E43A7">
        <w:t xml:space="preserve">; Updated: </w:t>
      </w:r>
      <w:r>
        <w:t>Ju</w:t>
      </w:r>
      <w:r w:rsidR="000D7559">
        <w:t>n</w:t>
      </w:r>
      <w:r>
        <w:t>-2</w:t>
      </w:r>
      <w:r w:rsidR="00E37192">
        <w:t>1</w:t>
      </w:r>
      <w:r w:rsidRPr="000E43A7">
        <w:t>; Applicability: O, P, S, TS</w:t>
      </w:r>
    </w:p>
    <w:p w14:paraId="0DE4A950" w14:textId="3D49307D" w:rsidR="0017638D" w:rsidRPr="00845B51" w:rsidRDefault="0017638D" w:rsidP="0017638D">
      <w:pPr>
        <w:rPr>
          <w:rStyle w:val="IntenseEmphasis"/>
        </w:rPr>
      </w:pPr>
      <w:r w:rsidRPr="00845B51">
        <w:rPr>
          <w:rStyle w:val="IntenseEmphasis"/>
        </w:rPr>
        <w:t xml:space="preserve">If an organisation’s systems or </w:t>
      </w:r>
      <w:r w:rsidR="00E37192">
        <w:rPr>
          <w:rStyle w:val="IntenseEmphasis"/>
        </w:rPr>
        <w:t>data</w:t>
      </w:r>
      <w:r w:rsidRPr="00845B51">
        <w:rPr>
          <w:rStyle w:val="IntenseEmphasis"/>
        </w:rPr>
        <w:t xml:space="preserve"> are accessed or administered by a service provider in an unauthorised manner, organisations are immediately notified.</w:t>
      </w:r>
    </w:p>
    <w:p w14:paraId="18401D55" w14:textId="77777777" w:rsidR="0017638D" w:rsidRPr="00535892" w:rsidRDefault="0017638D" w:rsidP="0017638D">
      <w:pPr>
        <w:pStyle w:val="Heading3"/>
      </w:pPr>
      <w:r w:rsidRPr="00535892">
        <w:t>Further information</w:t>
      </w:r>
    </w:p>
    <w:p w14:paraId="6EB2135A" w14:textId="77777777" w:rsidR="0017638D" w:rsidRDefault="0017638D" w:rsidP="0017638D">
      <w:pPr>
        <w:pStyle w:val="BodyText"/>
      </w:pPr>
      <w:r>
        <w:t xml:space="preserve">Further information on the definition of cloud computing can be found in NIST SP 800-145, </w:t>
      </w:r>
      <w:r>
        <w:rPr>
          <w:rStyle w:val="BookTitle"/>
        </w:rPr>
        <w:t>The NIST Definition of Cloud Computing</w:t>
      </w:r>
      <w:r>
        <w:t xml:space="preserve">, at </w:t>
      </w:r>
      <w:hyperlink r:id="rId7" w:history="1">
        <w:r>
          <w:rPr>
            <w:rStyle w:val="Hyperlink"/>
          </w:rPr>
          <w:t>https://csrc.nist.gov/publications/detail/sp/800-145/final</w:t>
        </w:r>
      </w:hyperlink>
      <w:r>
        <w:t>.</w:t>
      </w:r>
    </w:p>
    <w:p w14:paraId="409D5CDB" w14:textId="6FF312E1" w:rsidR="0017638D" w:rsidRDefault="00E37192" w:rsidP="0017638D">
      <w:pPr>
        <w:pStyle w:val="BodyText"/>
      </w:pPr>
      <w:r>
        <w:t>Further information on t</w:t>
      </w:r>
      <w:r w:rsidR="0017638D">
        <w:t xml:space="preserve">he ACSC’s list of certified gateways is available at </w:t>
      </w:r>
      <w:hyperlink w:history="1"/>
      <w:hyperlink r:id="rId8" w:history="1">
        <w:r w:rsidR="0017638D">
          <w:rPr>
            <w:rStyle w:val="Hyperlink"/>
          </w:rPr>
          <w:t>https://www.cyber.gov.au/acsc/view-all-content/programs/irap/asd-certified-gateways</w:t>
        </w:r>
      </w:hyperlink>
      <w:r w:rsidR="0017638D">
        <w:t>.</w:t>
      </w:r>
    </w:p>
    <w:p w14:paraId="70000C75" w14:textId="012CE037" w:rsidR="0017638D" w:rsidRDefault="00E37192" w:rsidP="0017638D">
      <w:pPr>
        <w:pStyle w:val="BodyText"/>
      </w:pPr>
      <w:r>
        <w:t>Further information on t</w:t>
      </w:r>
      <w:r w:rsidR="0017638D">
        <w:t xml:space="preserve">he ACSC’s guidance </w:t>
      </w:r>
      <w:r>
        <w:t>for</w:t>
      </w:r>
      <w:r w:rsidR="0017638D">
        <w:t xml:space="preserve"> conducting security assessments </w:t>
      </w:r>
      <w:r>
        <w:t>of</w:t>
      </w:r>
      <w:r w:rsidR="0017638D">
        <w:t xml:space="preserve"> cloud service providers and their cloud services is available at </w:t>
      </w:r>
      <w:hyperlink r:id="rId9" w:history="1">
        <w:r w:rsidR="0017638D" w:rsidRPr="00041A19">
          <w:rPr>
            <w:rStyle w:val="Hyperlink"/>
          </w:rPr>
          <w:t>https://www.cyber.gov.au/acsc/government/cloud-security-guidance</w:t>
        </w:r>
      </w:hyperlink>
      <w:r w:rsidR="0017638D">
        <w:t>.</w:t>
      </w:r>
    </w:p>
    <w:p w14:paraId="4CEAC89C" w14:textId="3955CAAC" w:rsidR="0017638D" w:rsidRDefault="00E37192" w:rsidP="0017638D">
      <w:pPr>
        <w:pStyle w:val="BodyText"/>
      </w:pPr>
      <w:r>
        <w:t>Further information on t</w:t>
      </w:r>
      <w:r w:rsidR="0017638D">
        <w:t xml:space="preserve">he whole-of-government policy </w:t>
      </w:r>
      <w:r>
        <w:t>for</w:t>
      </w:r>
      <w:r w:rsidR="0017638D">
        <w:t xml:space="preserve"> secure cloud computing can be found in the Digital Transformation Agency’s </w:t>
      </w:r>
      <w:r w:rsidR="0017638D">
        <w:rPr>
          <w:rStyle w:val="BookTitle"/>
        </w:rPr>
        <w:t>Secure Cloud Strategy</w:t>
      </w:r>
      <w:r w:rsidR="0017638D">
        <w:t xml:space="preserve"> publication at </w:t>
      </w:r>
      <w:hyperlink r:id="rId10" w:history="1">
        <w:r w:rsidR="0017638D">
          <w:rPr>
            <w:rStyle w:val="Hyperlink"/>
          </w:rPr>
          <w:t>https://www.dta.gov.au/our-projects/secure-cloud-strategy</w:t>
        </w:r>
      </w:hyperlink>
      <w:r w:rsidR="0017638D">
        <w:t>.</w:t>
      </w:r>
    </w:p>
    <w:p w14:paraId="661ED5EC" w14:textId="77777777" w:rsidR="0017638D" w:rsidRDefault="0017638D" w:rsidP="0017638D">
      <w:pPr>
        <w:pStyle w:val="BodyText"/>
      </w:pPr>
      <w:r>
        <w:t xml:space="preserve">Further information on outsourced information technology and cloud services can be found in the Attorney-General’s Department’s </w:t>
      </w:r>
      <w:r>
        <w:rPr>
          <w:rStyle w:val="BookTitle"/>
        </w:rPr>
        <w:t>Protective Security Policy Framework</w:t>
      </w:r>
      <w:r>
        <w:t xml:space="preserve">, </w:t>
      </w:r>
      <w:r>
        <w:rPr>
          <w:rStyle w:val="BookTitle"/>
        </w:rPr>
        <w:t>Security governance for contracted goods and service providers</w:t>
      </w:r>
      <w:r>
        <w:t xml:space="preserve"> policy, at </w:t>
      </w:r>
      <w:hyperlink r:id="rId11" w:history="1">
        <w:r>
          <w:rPr>
            <w:rStyle w:val="Hyperlink"/>
          </w:rPr>
          <w:t>https://www.protectivesecurity.gov.au/governance/security-governance-for-contracted-service-providers/Pages/default.aspx</w:t>
        </w:r>
      </w:hyperlink>
      <w:r>
        <w:t>.</w:t>
      </w:r>
    </w:p>
    <w:p w14:paraId="32D3B4BD" w14:textId="77777777" w:rsidR="00CF7BCA" w:rsidRDefault="00CF7BCA" w:rsidP="00CF7BCA">
      <w:pPr>
        <w:pStyle w:val="BodyText"/>
      </w:pPr>
      <w:bookmarkStart w:id="4" w:name="_GoBack"/>
      <w:bookmarkEnd w:id="4"/>
      <w:r>
        <w:t xml:space="preserve">Further information on cyber supply chain risk management can be found in the ACSC’s </w:t>
      </w:r>
      <w:r>
        <w:rPr>
          <w:rStyle w:val="BookTitle"/>
        </w:rPr>
        <w:t>Cyber Supply Chain Risk Management</w:t>
      </w:r>
      <w:r>
        <w:t xml:space="preserve"> publication at </w:t>
      </w:r>
      <w:hyperlink w:history="1"/>
      <w:hyperlink r:id="rId12" w:history="1">
        <w:r>
          <w:rPr>
            <w:rStyle w:val="Hyperlink"/>
          </w:rPr>
          <w:t>https://www.cyber.gov.au/acsc/view-all-content/publications/cyber-supply-chain-risk-management</w:t>
        </w:r>
      </w:hyperlink>
      <w:r>
        <w:t xml:space="preserve"> and the </w:t>
      </w:r>
      <w:r w:rsidRPr="000D1190">
        <w:rPr>
          <w:rStyle w:val="BookTitle"/>
        </w:rPr>
        <w:t>Identifying Cyber Supply Chain Risks</w:t>
      </w:r>
      <w:r>
        <w:t xml:space="preserve"> publication at </w:t>
      </w:r>
      <w:hyperlink r:id="rId13" w:history="1">
        <w:r w:rsidRPr="00D35D22">
          <w:rPr>
            <w:rStyle w:val="Hyperlink"/>
          </w:rPr>
          <w:t>https://www.cyber.gov.au/acsc/view-all-content/publications/identifying-cyber-supply-chain-risks</w:t>
        </w:r>
      </w:hyperlink>
      <w:r>
        <w:t>.</w:t>
      </w:r>
    </w:p>
    <w:p w14:paraId="7E5B5597" w14:textId="21A25E19" w:rsidR="0017638D" w:rsidRPr="0017638D" w:rsidRDefault="0017638D" w:rsidP="0017638D">
      <w:pPr>
        <w:pStyle w:val="BodyText"/>
      </w:pPr>
      <w:r>
        <w:t xml:space="preserve">Further information on supply chain integrity can be found in NIST SP 800-161, </w:t>
      </w:r>
      <w:r>
        <w:rPr>
          <w:rStyle w:val="BookTitle"/>
        </w:rPr>
        <w:t>Supply Chain Risk Management Practices for Federal Information Systems and Organizations</w:t>
      </w:r>
      <w:r>
        <w:t xml:space="preserve">, at </w:t>
      </w:r>
      <w:hyperlink r:id="rId14" w:history="1">
        <w:r>
          <w:rPr>
            <w:rStyle w:val="Hyperlink"/>
          </w:rPr>
          <w:t>https://csrc.nist.gov/publications/detail/sp/800-161/final</w:t>
        </w:r>
      </w:hyperlink>
      <w:r>
        <w:t>.</w:t>
      </w:r>
    </w:p>
    <w:sectPr w:rsidR="0017638D" w:rsidRPr="0017638D" w:rsidSect="00824517">
      <w:headerReference w:type="default" r:id="rId15"/>
      <w:footerReference w:type="even" r:id="rId16"/>
      <w:footerReference w:type="default" r:id="rId17"/>
      <w:headerReference w:type="first" r:id="rId18"/>
      <w:footerReference w:type="first" r:id="rId19"/>
      <w:pgSz w:w="11901" w:h="16817"/>
      <w:pgMar w:top="2835" w:right="1134" w:bottom="1361" w:left="1021" w:header="851" w:footer="62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FA9E24" w14:textId="77777777" w:rsidR="00A31CE1" w:rsidRDefault="00A31CE1" w:rsidP="0089728C">
      <w:pPr>
        <w:spacing w:after="0"/>
      </w:pPr>
      <w:r>
        <w:separator/>
      </w:r>
    </w:p>
  </w:endnote>
  <w:endnote w:type="continuationSeparator" w:id="0">
    <w:p w14:paraId="5BF68678" w14:textId="77777777" w:rsidR="00A31CE1" w:rsidRDefault="00A31CE1" w:rsidP="008972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94385169"/>
      <w:docPartObj>
        <w:docPartGallery w:val="Page Numbers (Bottom of Page)"/>
        <w:docPartUnique/>
      </w:docPartObj>
    </w:sdtPr>
    <w:sdtEndPr>
      <w:rPr>
        <w:rStyle w:val="PageNumber"/>
      </w:rPr>
    </w:sdtEndPr>
    <w:sdtContent>
      <w:p w14:paraId="3984248B" w14:textId="77777777" w:rsidR="00152217" w:rsidRDefault="00152217" w:rsidP="00650A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7ACCFA" w14:textId="77777777" w:rsidR="00152217" w:rsidRDefault="00152217" w:rsidP="001522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19610894"/>
      <w:docPartObj>
        <w:docPartGallery w:val="Page Numbers (Bottom of Page)"/>
        <w:docPartUnique/>
      </w:docPartObj>
    </w:sdtPr>
    <w:sdtEndPr>
      <w:rPr>
        <w:rStyle w:val="PageNumber"/>
      </w:rPr>
    </w:sdtEndPr>
    <w:sdtContent>
      <w:p w14:paraId="73E95CDE" w14:textId="00FF2328" w:rsidR="00152217" w:rsidRDefault="00152217" w:rsidP="00650A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F7E42">
          <w:rPr>
            <w:rStyle w:val="PageNumber"/>
            <w:noProof/>
          </w:rPr>
          <w:t>2</w:t>
        </w:r>
        <w:r>
          <w:rPr>
            <w:rStyle w:val="PageNumber"/>
          </w:rPr>
          <w:fldChar w:fldCharType="end"/>
        </w:r>
      </w:p>
    </w:sdtContent>
  </w:sdt>
  <w:p w14:paraId="5A9CB412" w14:textId="77777777" w:rsidR="00AD6E38" w:rsidRDefault="00AD6E38" w:rsidP="00152217">
    <w:pPr>
      <w:pStyle w:val="Footer"/>
      <w:ind w:right="360"/>
    </w:pPr>
    <w:r>
      <w:rPr>
        <w:noProof/>
        <w:lang w:eastAsia="en-AU"/>
      </w:rPr>
      <w:drawing>
        <wp:anchor distT="0" distB="0" distL="114300" distR="114300" simplePos="0" relativeHeight="251659264" behindDoc="1" locked="1" layoutInCell="1" allowOverlap="1" wp14:anchorId="778E4E76" wp14:editId="29650BAA">
          <wp:simplePos x="0" y="0"/>
          <wp:positionH relativeFrom="page">
            <wp:align>center</wp:align>
          </wp:positionH>
          <wp:positionV relativeFrom="page">
            <wp:align>bottom</wp:align>
          </wp:positionV>
          <wp:extent cx="7560000" cy="702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SC-A4-brief-footer.gif"/>
                  <pic:cNvPicPr/>
                </pic:nvPicPr>
                <pic:blipFill>
                  <a:blip r:embed="rId1"/>
                  <a:stretch>
                    <a:fillRect/>
                  </a:stretch>
                </pic:blipFill>
                <pic:spPr>
                  <a:xfrm>
                    <a:off x="0" y="0"/>
                    <a:ext cx="7560000" cy="702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62341181"/>
      <w:docPartObj>
        <w:docPartGallery w:val="Page Numbers (Bottom of Page)"/>
        <w:docPartUnique/>
      </w:docPartObj>
    </w:sdtPr>
    <w:sdtEndPr>
      <w:rPr>
        <w:rStyle w:val="PageNumber"/>
      </w:rPr>
    </w:sdtEndPr>
    <w:sdtContent>
      <w:p w14:paraId="414533F2" w14:textId="578534E1" w:rsidR="000D1906" w:rsidRDefault="000D1906" w:rsidP="000D19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F7E42">
          <w:rPr>
            <w:rStyle w:val="PageNumber"/>
            <w:noProof/>
          </w:rPr>
          <w:t>1</w:t>
        </w:r>
        <w:r>
          <w:rPr>
            <w:rStyle w:val="PageNumber"/>
          </w:rPr>
          <w:fldChar w:fldCharType="end"/>
        </w:r>
      </w:p>
    </w:sdtContent>
  </w:sdt>
  <w:p w14:paraId="16E6B28B" w14:textId="77777777" w:rsidR="008303C3" w:rsidRDefault="00322020">
    <w:pPr>
      <w:pStyle w:val="Footer"/>
    </w:pPr>
    <w:r>
      <w:rPr>
        <w:noProof/>
        <w:lang w:eastAsia="en-AU"/>
      </w:rPr>
      <w:drawing>
        <wp:anchor distT="0" distB="0" distL="114300" distR="114300" simplePos="0" relativeHeight="251661312" behindDoc="1" locked="0" layoutInCell="1" allowOverlap="1" wp14:anchorId="277460B0" wp14:editId="36AE0925">
          <wp:simplePos x="0" y="0"/>
          <wp:positionH relativeFrom="page">
            <wp:align>center</wp:align>
          </wp:positionH>
          <wp:positionV relativeFrom="page">
            <wp:align>bottom</wp:align>
          </wp:positionV>
          <wp:extent cx="7560000" cy="705600"/>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49-ACSC-Factsheet-Newsletter-Footer.gif"/>
                  <pic:cNvPicPr/>
                </pic:nvPicPr>
                <pic:blipFill>
                  <a:blip r:embed="rId1"/>
                  <a:stretch>
                    <a:fillRect/>
                  </a:stretch>
                </pic:blipFill>
                <pic:spPr>
                  <a:xfrm>
                    <a:off x="0" y="0"/>
                    <a:ext cx="7560000" cy="705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FB7E0E" w14:textId="77777777" w:rsidR="00A31CE1" w:rsidRDefault="00A31CE1" w:rsidP="0089728C">
      <w:pPr>
        <w:spacing w:after="0"/>
      </w:pPr>
      <w:r>
        <w:separator/>
      </w:r>
    </w:p>
  </w:footnote>
  <w:footnote w:type="continuationSeparator" w:id="0">
    <w:p w14:paraId="4B402DB6" w14:textId="77777777" w:rsidR="00A31CE1" w:rsidRDefault="00A31CE1" w:rsidP="008972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D7200" w14:textId="77777777" w:rsidR="0089728C" w:rsidRDefault="0089728C">
    <w:pPr>
      <w:pStyle w:val="Header"/>
    </w:pPr>
    <w:r>
      <w:rPr>
        <w:noProof/>
        <w:lang w:eastAsia="en-AU"/>
      </w:rPr>
      <w:drawing>
        <wp:anchor distT="0" distB="0" distL="114300" distR="114300" simplePos="0" relativeHeight="251658240" behindDoc="0" locked="1" layoutInCell="1" allowOverlap="0" wp14:anchorId="2F51E0AE" wp14:editId="73254328">
          <wp:simplePos x="0" y="0"/>
          <wp:positionH relativeFrom="page">
            <wp:posOffset>0</wp:posOffset>
          </wp:positionH>
          <wp:positionV relativeFrom="page">
            <wp:posOffset>0</wp:posOffset>
          </wp:positionV>
          <wp:extent cx="7556400" cy="1929600"/>
          <wp:effectExtent l="0" t="0" r="635"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SC-A4-brief-header.gif"/>
                  <pic:cNvPicPr/>
                </pic:nvPicPr>
                <pic:blipFill>
                  <a:blip r:embed="rId1"/>
                  <a:stretch>
                    <a:fillRect/>
                  </a:stretch>
                </pic:blipFill>
                <pic:spPr>
                  <a:xfrm>
                    <a:off x="0" y="0"/>
                    <a:ext cx="7556400" cy="1929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BE313" w14:textId="77777777" w:rsidR="00B363D4" w:rsidRDefault="00B363D4">
    <w:pPr>
      <w:pStyle w:val="Header"/>
    </w:pPr>
    <w:r>
      <w:rPr>
        <w:noProof/>
        <w:lang w:eastAsia="en-AU"/>
      </w:rPr>
      <w:drawing>
        <wp:anchor distT="0" distB="0" distL="114300" distR="114300" simplePos="0" relativeHeight="251660288" behindDoc="1" locked="0" layoutInCell="1" allowOverlap="1" wp14:anchorId="247D49E8" wp14:editId="75891841">
          <wp:simplePos x="0" y="0"/>
          <wp:positionH relativeFrom="page">
            <wp:posOffset>6350</wp:posOffset>
          </wp:positionH>
          <wp:positionV relativeFrom="page">
            <wp:posOffset>0</wp:posOffset>
          </wp:positionV>
          <wp:extent cx="7546340" cy="347472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SC-A4-report-cover.gif"/>
                  <pic:cNvPicPr/>
                </pic:nvPicPr>
                <pic:blipFill>
                  <a:blip r:embed="rId1"/>
                  <a:stretch>
                    <a:fillRect/>
                  </a:stretch>
                </pic:blipFill>
                <pic:spPr>
                  <a:xfrm>
                    <a:off x="0" y="0"/>
                    <a:ext cx="7546340" cy="34747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75F7"/>
    <w:multiLevelType w:val="hybridMultilevel"/>
    <w:tmpl w:val="53F8E8FA"/>
    <w:lvl w:ilvl="0" w:tplc="786431D6">
      <w:start w:val="1"/>
      <w:numFmt w:val="bullet"/>
      <w:lvlText w:val=""/>
      <w:lvlJc w:val="left"/>
      <w:pPr>
        <w:ind w:left="794" w:hanging="34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90E7F"/>
    <w:multiLevelType w:val="multilevel"/>
    <w:tmpl w:val="A73ADF0E"/>
    <w:styleLink w:val="TableNumbers"/>
    <w:lvl w:ilvl="0">
      <w:start w:val="1"/>
      <w:numFmt w:val="decimal"/>
      <w:pStyle w:val="TableNumbers1"/>
      <w:lvlText w:val="%1."/>
      <w:lvlJc w:val="left"/>
      <w:pPr>
        <w:ind w:left="360" w:hanging="360"/>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343D0C"/>
    <w:multiLevelType w:val="hybridMultilevel"/>
    <w:tmpl w:val="90360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7741F"/>
    <w:multiLevelType w:val="multilevel"/>
    <w:tmpl w:val="FB5EDE4A"/>
    <w:styleLink w:val="Numbers"/>
    <w:lvl w:ilvl="0">
      <w:start w:val="1"/>
      <w:numFmt w:val="decimal"/>
      <w:pStyle w:val="Numbers1"/>
      <w:lvlText w:val="%1."/>
      <w:lvlJc w:val="left"/>
      <w:pPr>
        <w:ind w:left="340" w:hanging="227"/>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A111947"/>
    <w:multiLevelType w:val="multilevel"/>
    <w:tmpl w:val="4BBA7D84"/>
    <w:styleLink w:val="BulletNumberStarter"/>
    <w:lvl w:ilvl="0">
      <w:start w:val="1"/>
      <w:numFmt w:val="none"/>
      <w:lvlText w:val=""/>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368A07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7" w15:restartNumberingAfterBreak="0">
    <w:nsid w:val="425E6081"/>
    <w:multiLevelType w:val="multilevel"/>
    <w:tmpl w:val="0DAA6E8A"/>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3944A01"/>
    <w:multiLevelType w:val="multilevel"/>
    <w:tmpl w:val="53F8E8FA"/>
    <w:lvl w:ilvl="0">
      <w:start w:val="1"/>
      <w:numFmt w:val="bullet"/>
      <w:lvlText w:val=""/>
      <w:lvlJc w:val="left"/>
      <w:pPr>
        <w:ind w:left="794" w:hanging="34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61551AE"/>
    <w:multiLevelType w:val="hybridMultilevel"/>
    <w:tmpl w:val="8CBEC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591491"/>
    <w:multiLevelType w:val="hybridMultilevel"/>
    <w:tmpl w:val="797AB1BA"/>
    <w:lvl w:ilvl="0" w:tplc="B9766958">
      <w:start w:val="1"/>
      <w:numFmt w:val="bullet"/>
      <w:lvlText w:val="—"/>
      <w:lvlJc w:val="left"/>
      <w:pPr>
        <w:ind w:left="1021" w:hanging="341"/>
      </w:pPr>
      <w:rPr>
        <w:rFonts w:asciiTheme="minorHAnsi" w:hAnsiTheme="minorHAnsi" w:hint="default"/>
        <w:color w:val="80C58C"/>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6B066E"/>
    <w:multiLevelType w:val="multilevel"/>
    <w:tmpl w:val="F5FEB046"/>
    <w:lvl w:ilvl="0">
      <w:start w:val="1"/>
      <w:numFmt w:val="bullet"/>
      <w:pStyle w:val="Bullets1"/>
      <w:lvlText w:val=""/>
      <w:lvlJc w:val="left"/>
      <w:pPr>
        <w:ind w:left="454" w:hanging="341"/>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E3F7F3A"/>
    <w:multiLevelType w:val="hybridMultilevel"/>
    <w:tmpl w:val="2D3E3190"/>
    <w:lvl w:ilvl="0" w:tplc="CF1CF9FC">
      <w:start w:val="1"/>
      <w:numFmt w:val="bullet"/>
      <w:pStyle w:val="TableBullets1"/>
      <w:lvlText w:val=""/>
      <w:lvlJc w:val="left"/>
      <w:pPr>
        <w:ind w:left="227" w:hanging="227"/>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1"/>
  </w:num>
  <w:num w:numId="5">
    <w:abstractNumId w:val="4"/>
  </w:num>
  <w:num w:numId="6">
    <w:abstractNumId w:val="2"/>
  </w:num>
  <w:num w:numId="7">
    <w:abstractNumId w:val="9"/>
  </w:num>
  <w:num w:numId="8">
    <w:abstractNumId w:val="0"/>
  </w:num>
  <w:num w:numId="9">
    <w:abstractNumId w:val="8"/>
  </w:num>
  <w:num w:numId="10">
    <w:abstractNumId w:val="10"/>
  </w:num>
  <w:num w:numId="11">
    <w:abstractNumId w:val="11"/>
  </w:num>
  <w:num w:numId="12">
    <w:abstractNumId w:val="7"/>
  </w:num>
  <w:num w:numId="13">
    <w:abstractNumId w:val="5"/>
  </w:num>
  <w:num w:numId="14">
    <w:abstractNumId w:val="13"/>
  </w:num>
  <w:num w:numId="15">
    <w:abstractNumId w:val="1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517"/>
    <w:rsid w:val="000045B7"/>
    <w:rsid w:val="00007DE9"/>
    <w:rsid w:val="00015AE4"/>
    <w:rsid w:val="00023B93"/>
    <w:rsid w:val="000650F5"/>
    <w:rsid w:val="000664D2"/>
    <w:rsid w:val="0009277E"/>
    <w:rsid w:val="000B6C00"/>
    <w:rsid w:val="000C60A5"/>
    <w:rsid w:val="000D1906"/>
    <w:rsid w:val="000D7559"/>
    <w:rsid w:val="000E4956"/>
    <w:rsid w:val="000F0FE6"/>
    <w:rsid w:val="000F28B8"/>
    <w:rsid w:val="000F2AEA"/>
    <w:rsid w:val="000F2DF1"/>
    <w:rsid w:val="000F3766"/>
    <w:rsid w:val="001041D9"/>
    <w:rsid w:val="0010575A"/>
    <w:rsid w:val="00111F0C"/>
    <w:rsid w:val="00115019"/>
    <w:rsid w:val="00136ACA"/>
    <w:rsid w:val="00145E2D"/>
    <w:rsid w:val="00152217"/>
    <w:rsid w:val="001629FF"/>
    <w:rsid w:val="0017638D"/>
    <w:rsid w:val="001763D4"/>
    <w:rsid w:val="001B5B57"/>
    <w:rsid w:val="001C1D42"/>
    <w:rsid w:val="001C53CE"/>
    <w:rsid w:val="001D0109"/>
    <w:rsid w:val="001E212F"/>
    <w:rsid w:val="001E5737"/>
    <w:rsid w:val="001E66CE"/>
    <w:rsid w:val="001E6ABA"/>
    <w:rsid w:val="001F778C"/>
    <w:rsid w:val="00221DC2"/>
    <w:rsid w:val="0022438A"/>
    <w:rsid w:val="0024127B"/>
    <w:rsid w:val="002573D5"/>
    <w:rsid w:val="00265DCB"/>
    <w:rsid w:val="00282DA0"/>
    <w:rsid w:val="002A41E1"/>
    <w:rsid w:val="002B6574"/>
    <w:rsid w:val="002C3E81"/>
    <w:rsid w:val="002C5737"/>
    <w:rsid w:val="002C6CA5"/>
    <w:rsid w:val="002F235F"/>
    <w:rsid w:val="002F7D3C"/>
    <w:rsid w:val="00302186"/>
    <w:rsid w:val="003131AB"/>
    <w:rsid w:val="003217BE"/>
    <w:rsid w:val="00322020"/>
    <w:rsid w:val="003436AF"/>
    <w:rsid w:val="00345BC6"/>
    <w:rsid w:val="003B1E25"/>
    <w:rsid w:val="003D3B1D"/>
    <w:rsid w:val="003D5DBE"/>
    <w:rsid w:val="003F1CA6"/>
    <w:rsid w:val="003F786A"/>
    <w:rsid w:val="00401C13"/>
    <w:rsid w:val="00404841"/>
    <w:rsid w:val="00412059"/>
    <w:rsid w:val="00441E79"/>
    <w:rsid w:val="004567AA"/>
    <w:rsid w:val="00483A58"/>
    <w:rsid w:val="00483FEE"/>
    <w:rsid w:val="004C479B"/>
    <w:rsid w:val="004D7F17"/>
    <w:rsid w:val="004E7F37"/>
    <w:rsid w:val="00507600"/>
    <w:rsid w:val="00512FD3"/>
    <w:rsid w:val="00525666"/>
    <w:rsid w:val="005642A7"/>
    <w:rsid w:val="00564ABA"/>
    <w:rsid w:val="00573414"/>
    <w:rsid w:val="00581423"/>
    <w:rsid w:val="0058536A"/>
    <w:rsid w:val="00595A87"/>
    <w:rsid w:val="005B6060"/>
    <w:rsid w:val="005C23BF"/>
    <w:rsid w:val="005D1715"/>
    <w:rsid w:val="005E1042"/>
    <w:rsid w:val="005F1B6A"/>
    <w:rsid w:val="00616EBA"/>
    <w:rsid w:val="00632C08"/>
    <w:rsid w:val="00653BDD"/>
    <w:rsid w:val="006554E5"/>
    <w:rsid w:val="0067074A"/>
    <w:rsid w:val="00672994"/>
    <w:rsid w:val="006B669A"/>
    <w:rsid w:val="006C15C5"/>
    <w:rsid w:val="006D665E"/>
    <w:rsid w:val="006E697E"/>
    <w:rsid w:val="00736A76"/>
    <w:rsid w:val="00752C6B"/>
    <w:rsid w:val="00763D8B"/>
    <w:rsid w:val="007A74DF"/>
    <w:rsid w:val="007B0B23"/>
    <w:rsid w:val="007B3C28"/>
    <w:rsid w:val="007B48AD"/>
    <w:rsid w:val="007B5102"/>
    <w:rsid w:val="007D772D"/>
    <w:rsid w:val="007F7E42"/>
    <w:rsid w:val="00801123"/>
    <w:rsid w:val="0080157C"/>
    <w:rsid w:val="008017CB"/>
    <w:rsid w:val="00803763"/>
    <w:rsid w:val="00820F20"/>
    <w:rsid w:val="0082116C"/>
    <w:rsid w:val="00824517"/>
    <w:rsid w:val="00825754"/>
    <w:rsid w:val="008303C3"/>
    <w:rsid w:val="008328C1"/>
    <w:rsid w:val="0083646A"/>
    <w:rsid w:val="00844C2D"/>
    <w:rsid w:val="00851AEE"/>
    <w:rsid w:val="0085542E"/>
    <w:rsid w:val="008578EA"/>
    <w:rsid w:val="0089721C"/>
    <w:rsid w:val="0089728C"/>
    <w:rsid w:val="008A147C"/>
    <w:rsid w:val="008C11A6"/>
    <w:rsid w:val="008C3BA5"/>
    <w:rsid w:val="00922980"/>
    <w:rsid w:val="009345F1"/>
    <w:rsid w:val="00961072"/>
    <w:rsid w:val="00963D0B"/>
    <w:rsid w:val="009712B4"/>
    <w:rsid w:val="0097182E"/>
    <w:rsid w:val="009C49F9"/>
    <w:rsid w:val="009D3149"/>
    <w:rsid w:val="009E5417"/>
    <w:rsid w:val="009E750F"/>
    <w:rsid w:val="009F0CB2"/>
    <w:rsid w:val="009F5753"/>
    <w:rsid w:val="00A04D96"/>
    <w:rsid w:val="00A0629B"/>
    <w:rsid w:val="00A11938"/>
    <w:rsid w:val="00A31CE1"/>
    <w:rsid w:val="00A51E17"/>
    <w:rsid w:val="00A52E3A"/>
    <w:rsid w:val="00A56CD9"/>
    <w:rsid w:val="00A844F3"/>
    <w:rsid w:val="00A90D1B"/>
    <w:rsid w:val="00AB5A44"/>
    <w:rsid w:val="00AD6E38"/>
    <w:rsid w:val="00B1778A"/>
    <w:rsid w:val="00B25AE2"/>
    <w:rsid w:val="00B363D4"/>
    <w:rsid w:val="00B716F4"/>
    <w:rsid w:val="00B760FC"/>
    <w:rsid w:val="00B84602"/>
    <w:rsid w:val="00BA549D"/>
    <w:rsid w:val="00BC093A"/>
    <w:rsid w:val="00BC4ACC"/>
    <w:rsid w:val="00BC5D5B"/>
    <w:rsid w:val="00BE75CD"/>
    <w:rsid w:val="00C1415C"/>
    <w:rsid w:val="00C217A8"/>
    <w:rsid w:val="00C24A74"/>
    <w:rsid w:val="00C36330"/>
    <w:rsid w:val="00CA3DFC"/>
    <w:rsid w:val="00CB3421"/>
    <w:rsid w:val="00CB58CD"/>
    <w:rsid w:val="00CD112C"/>
    <w:rsid w:val="00CD5925"/>
    <w:rsid w:val="00CE0CE6"/>
    <w:rsid w:val="00CE557A"/>
    <w:rsid w:val="00CE775A"/>
    <w:rsid w:val="00CF7BCA"/>
    <w:rsid w:val="00D1410C"/>
    <w:rsid w:val="00D17F91"/>
    <w:rsid w:val="00D50C7C"/>
    <w:rsid w:val="00D57F79"/>
    <w:rsid w:val="00D6311A"/>
    <w:rsid w:val="00D64C92"/>
    <w:rsid w:val="00D64FAC"/>
    <w:rsid w:val="00D67A0F"/>
    <w:rsid w:val="00D74C58"/>
    <w:rsid w:val="00D83D62"/>
    <w:rsid w:val="00D861C0"/>
    <w:rsid w:val="00D904F0"/>
    <w:rsid w:val="00D91378"/>
    <w:rsid w:val="00D932E9"/>
    <w:rsid w:val="00DB306A"/>
    <w:rsid w:val="00DB6119"/>
    <w:rsid w:val="00DB7BF6"/>
    <w:rsid w:val="00DD1408"/>
    <w:rsid w:val="00DD356D"/>
    <w:rsid w:val="00DF0A91"/>
    <w:rsid w:val="00DF14DA"/>
    <w:rsid w:val="00DF54D7"/>
    <w:rsid w:val="00E24D7F"/>
    <w:rsid w:val="00E35C6F"/>
    <w:rsid w:val="00E37192"/>
    <w:rsid w:val="00E5392F"/>
    <w:rsid w:val="00E6745A"/>
    <w:rsid w:val="00E775BE"/>
    <w:rsid w:val="00E7765A"/>
    <w:rsid w:val="00E84012"/>
    <w:rsid w:val="00EA0724"/>
    <w:rsid w:val="00EA3C53"/>
    <w:rsid w:val="00EA6251"/>
    <w:rsid w:val="00EB0C14"/>
    <w:rsid w:val="00EB5FF1"/>
    <w:rsid w:val="00EB6414"/>
    <w:rsid w:val="00EC303E"/>
    <w:rsid w:val="00EC52BB"/>
    <w:rsid w:val="00ED72FB"/>
    <w:rsid w:val="00EF3804"/>
    <w:rsid w:val="00F13258"/>
    <w:rsid w:val="00F2352D"/>
    <w:rsid w:val="00F33810"/>
    <w:rsid w:val="00F46D71"/>
    <w:rsid w:val="00F5341C"/>
    <w:rsid w:val="00F97AD7"/>
    <w:rsid w:val="00FA5A7B"/>
    <w:rsid w:val="00FC35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14:docId w14:val="3429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1">
    <w:lsdException w:name="Normal" w:uiPriority="96"/>
    <w:lsdException w:name="heading 1" w:uiPriority="4" w:qFormat="1"/>
    <w:lsdException w:name="heading 2" w:uiPriority="4" w:qFormat="1"/>
    <w:lsdException w:name="heading 3" w:uiPriority="4" w:qFormat="1"/>
    <w:lsdException w:name="heading 4" w:uiPriority="0"/>
    <w:lsdException w:name="heading 5" w:semiHidden="1" w:uiPriority="0"/>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uiPriority="0" w:unhideWhenUsed="1"/>
    <w:lsdException w:name="footer" w:uiPriority="98" w:unhideWhenUsed="1"/>
    <w:lsdException w:name="index heading" w:semiHidden="1" w:unhideWhenUsed="1"/>
    <w:lsdException w:name="caption" w:semiHidden="1" w:uiPriority="0"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uiPriority="9"/>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6"/>
    <w:rsid w:val="0082116C"/>
    <w:pPr>
      <w:spacing w:after="120"/>
    </w:pPr>
    <w:rPr>
      <w:rFonts w:ascii="Calibri" w:hAnsi="Calibri"/>
    </w:rPr>
  </w:style>
  <w:style w:type="paragraph" w:styleId="Heading1">
    <w:name w:val="heading 1"/>
    <w:next w:val="BodyText"/>
    <w:link w:val="Heading1Char"/>
    <w:uiPriority w:val="4"/>
    <w:qFormat/>
    <w:rsid w:val="00CA3DFC"/>
    <w:pPr>
      <w:keepNext/>
      <w:keepLines/>
      <w:spacing w:after="240"/>
      <w:outlineLvl w:val="0"/>
    </w:pPr>
    <w:rPr>
      <w:rFonts w:ascii="Calibri Light" w:eastAsiaTheme="majorEastAsia" w:hAnsi="Calibri Light" w:cs="Times New Roman (Headings CS)"/>
      <w:bCs/>
      <w:color w:val="001E45"/>
      <w:sz w:val="48"/>
      <w:szCs w:val="28"/>
    </w:rPr>
  </w:style>
  <w:style w:type="paragraph" w:styleId="Heading2">
    <w:name w:val="heading 2"/>
    <w:next w:val="BodyText"/>
    <w:link w:val="Heading2Char"/>
    <w:uiPriority w:val="4"/>
    <w:qFormat/>
    <w:rsid w:val="00CA3DFC"/>
    <w:pPr>
      <w:keepNext/>
      <w:keepLines/>
      <w:spacing w:after="240"/>
      <w:outlineLvl w:val="1"/>
    </w:pPr>
    <w:rPr>
      <w:rFonts w:ascii="Calibri" w:eastAsiaTheme="majorEastAsia" w:hAnsi="Calibri" w:cs="Times New Roman (Headings CS)"/>
      <w:b/>
      <w:bCs/>
      <w:color w:val="00B5D1"/>
      <w:sz w:val="30"/>
      <w:szCs w:val="26"/>
    </w:rPr>
  </w:style>
  <w:style w:type="paragraph" w:styleId="Heading3">
    <w:name w:val="heading 3"/>
    <w:next w:val="BodyText"/>
    <w:link w:val="Heading3Char"/>
    <w:uiPriority w:val="4"/>
    <w:qFormat/>
    <w:rsid w:val="00CA3DFC"/>
    <w:pPr>
      <w:keepNext/>
      <w:keepLines/>
      <w:spacing w:after="240"/>
      <w:outlineLvl w:val="2"/>
    </w:pPr>
    <w:rPr>
      <w:rFonts w:asciiTheme="minorHAnsi" w:eastAsiaTheme="majorEastAsia" w:hAnsiTheme="minorHAnsi" w:cs="Times New Roman (Headings CS)"/>
      <w:b/>
      <w:bCs/>
      <w:sz w:val="24"/>
    </w:rPr>
  </w:style>
  <w:style w:type="paragraph" w:styleId="Heading4">
    <w:name w:val="heading 4"/>
    <w:basedOn w:val="Heading3"/>
    <w:next w:val="BodyText"/>
    <w:link w:val="Heading4Char"/>
    <w:uiPriority w:val="4"/>
    <w:rsid w:val="00CA3DFC"/>
    <w:pPr>
      <w:outlineLvl w:val="3"/>
    </w:pPr>
    <w:rPr>
      <w:b w:val="0"/>
      <w:bCs w:val="0"/>
      <w:i/>
      <w:iCs/>
    </w:rPr>
  </w:style>
  <w:style w:type="paragraph" w:styleId="Heading5">
    <w:name w:val="heading 5"/>
    <w:basedOn w:val="Heading4"/>
    <w:next w:val="BodyText"/>
    <w:link w:val="Heading5Char"/>
    <w:uiPriority w:val="4"/>
    <w:rsid w:val="00CA3DFC"/>
    <w:pPr>
      <w:outlineLvl w:val="4"/>
    </w:pPr>
    <w:rPr>
      <w:sz w:val="20"/>
    </w:rPr>
  </w:style>
  <w:style w:type="paragraph" w:styleId="Heading6">
    <w:name w:val="heading 6"/>
    <w:next w:val="BodyText"/>
    <w:link w:val="Heading6Char"/>
    <w:uiPriority w:val="4"/>
    <w:semiHidden/>
    <w:qFormat/>
    <w:rsid w:val="009345F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next w:val="BodyText"/>
    <w:link w:val="Heading7Char"/>
    <w:uiPriority w:val="4"/>
    <w:semiHidden/>
    <w:qFormat/>
    <w:rsid w:val="009345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9345F1"/>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9345F1"/>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15AE4"/>
    <w:rPr>
      <w:rFonts w:ascii="Tahoma" w:hAnsi="Tahoma" w:cs="Tahoma"/>
      <w:sz w:val="16"/>
      <w:szCs w:val="16"/>
    </w:rPr>
  </w:style>
  <w:style w:type="character" w:customStyle="1" w:styleId="BalloonTextChar">
    <w:name w:val="Balloon Text Char"/>
    <w:basedOn w:val="DefaultParagraphFont"/>
    <w:link w:val="BalloonText"/>
    <w:uiPriority w:val="99"/>
    <w:semiHidden/>
    <w:rsid w:val="00844C2D"/>
    <w:rPr>
      <w:rFonts w:ascii="Tahoma" w:hAnsi="Tahoma" w:cs="Tahoma"/>
      <w:sz w:val="16"/>
      <w:szCs w:val="16"/>
    </w:rPr>
  </w:style>
  <w:style w:type="table" w:styleId="TableGrid">
    <w:name w:val="Table Grid"/>
    <w:basedOn w:val="TableNormal"/>
    <w:uiPriority w:val="59"/>
    <w:rsid w:val="00282DA0"/>
    <w:rPr>
      <w:rFonts w:asciiTheme="minorHAnsi" w:hAnsiTheme="minorHAnsi"/>
    </w:rPr>
    <w:tblPr>
      <w:tblBorders>
        <w:insideH w:val="single" w:sz="4" w:space="0" w:color="D9D9D9" w:themeColor="background1" w:themeShade="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character" w:customStyle="1" w:styleId="Heading1Char">
    <w:name w:val="Heading 1 Char"/>
    <w:basedOn w:val="DefaultParagraphFont"/>
    <w:link w:val="Heading1"/>
    <w:uiPriority w:val="4"/>
    <w:rsid w:val="00CA3DFC"/>
    <w:rPr>
      <w:rFonts w:ascii="Calibri Light" w:eastAsiaTheme="majorEastAsia" w:hAnsi="Calibri Light" w:cs="Times New Roman (Headings CS)"/>
      <w:bCs/>
      <w:color w:val="001E45"/>
      <w:sz w:val="48"/>
      <w:szCs w:val="28"/>
    </w:rPr>
  </w:style>
  <w:style w:type="paragraph" w:styleId="Footer">
    <w:name w:val="footer"/>
    <w:link w:val="FooterChar"/>
    <w:uiPriority w:val="98"/>
    <w:rsid w:val="00752C6B"/>
    <w:pPr>
      <w:tabs>
        <w:tab w:val="center" w:pos="4513"/>
        <w:tab w:val="right" w:pos="9026"/>
      </w:tabs>
    </w:pPr>
    <w:rPr>
      <w:rFonts w:asciiTheme="minorHAnsi" w:hAnsiTheme="minorHAnsi"/>
    </w:rPr>
  </w:style>
  <w:style w:type="character" w:customStyle="1" w:styleId="FooterChar">
    <w:name w:val="Footer Char"/>
    <w:basedOn w:val="DefaultParagraphFont"/>
    <w:link w:val="Footer"/>
    <w:uiPriority w:val="98"/>
    <w:rsid w:val="00A52E3A"/>
    <w:rPr>
      <w:rFonts w:asciiTheme="minorHAnsi" w:hAnsiTheme="minorHAnsi"/>
    </w:rPr>
  </w:style>
  <w:style w:type="paragraph" w:styleId="Header">
    <w:name w:val="header"/>
    <w:link w:val="HeaderChar"/>
    <w:uiPriority w:val="98"/>
    <w:rsid w:val="00752C6B"/>
    <w:pPr>
      <w:tabs>
        <w:tab w:val="center" w:pos="4513"/>
        <w:tab w:val="right" w:pos="9026"/>
      </w:tabs>
    </w:pPr>
    <w:rPr>
      <w:rFonts w:asciiTheme="minorHAnsi" w:hAnsiTheme="minorHAnsi"/>
    </w:rPr>
  </w:style>
  <w:style w:type="character" w:customStyle="1" w:styleId="HeaderChar">
    <w:name w:val="Header Char"/>
    <w:basedOn w:val="DefaultParagraphFont"/>
    <w:link w:val="Header"/>
    <w:uiPriority w:val="98"/>
    <w:rsid w:val="00A52E3A"/>
    <w:rPr>
      <w:rFonts w:asciiTheme="minorHAnsi" w:hAnsiTheme="minorHAnsi"/>
    </w:rPr>
  </w:style>
  <w:style w:type="character" w:customStyle="1" w:styleId="Heading2Char">
    <w:name w:val="Heading 2 Char"/>
    <w:basedOn w:val="DefaultParagraphFont"/>
    <w:link w:val="Heading2"/>
    <w:uiPriority w:val="4"/>
    <w:rsid w:val="00CA3DFC"/>
    <w:rPr>
      <w:rFonts w:ascii="Calibri" w:eastAsiaTheme="majorEastAsia" w:hAnsi="Calibri" w:cs="Times New Roman (Headings CS)"/>
      <w:b/>
      <w:bCs/>
      <w:color w:val="00B5D1"/>
      <w:sz w:val="30"/>
      <w:szCs w:val="26"/>
    </w:rPr>
  </w:style>
  <w:style w:type="paragraph" w:styleId="BodyText">
    <w:name w:val="Body Text"/>
    <w:link w:val="BodyTextChar"/>
    <w:qFormat/>
    <w:rsid w:val="00EA0724"/>
    <w:pPr>
      <w:spacing w:after="120"/>
    </w:pPr>
    <w:rPr>
      <w:rFonts w:asciiTheme="minorHAnsi" w:hAnsiTheme="minorHAnsi"/>
    </w:rPr>
  </w:style>
  <w:style w:type="character" w:customStyle="1" w:styleId="BodyTextChar">
    <w:name w:val="Body Text Char"/>
    <w:basedOn w:val="DefaultParagraphFont"/>
    <w:link w:val="BodyText"/>
    <w:rsid w:val="002F7D3C"/>
    <w:rPr>
      <w:rFonts w:asciiTheme="minorHAnsi" w:hAnsiTheme="minorHAnsi"/>
    </w:rPr>
  </w:style>
  <w:style w:type="character" w:customStyle="1" w:styleId="Heading3Char">
    <w:name w:val="Heading 3 Char"/>
    <w:basedOn w:val="DefaultParagraphFont"/>
    <w:link w:val="Heading3"/>
    <w:uiPriority w:val="4"/>
    <w:rsid w:val="00CA3DFC"/>
    <w:rPr>
      <w:rFonts w:asciiTheme="minorHAnsi" w:eastAsiaTheme="majorEastAsia" w:hAnsiTheme="minorHAnsi" w:cs="Times New Roman (Headings CS)"/>
      <w:b/>
      <w:bCs/>
      <w:sz w:val="24"/>
    </w:rPr>
  </w:style>
  <w:style w:type="character" w:customStyle="1" w:styleId="Heading4Char">
    <w:name w:val="Heading 4 Char"/>
    <w:basedOn w:val="DefaultParagraphFont"/>
    <w:link w:val="Heading4"/>
    <w:uiPriority w:val="4"/>
    <w:rsid w:val="00CA3DFC"/>
    <w:rPr>
      <w:rFonts w:asciiTheme="minorHAnsi" w:eastAsiaTheme="majorEastAsia" w:hAnsiTheme="minorHAnsi" w:cs="Times New Roman (Headings CS)"/>
      <w:i/>
      <w:iCs/>
      <w:sz w:val="24"/>
    </w:rPr>
  </w:style>
  <w:style w:type="paragraph" w:styleId="Subtitle">
    <w:name w:val="Subtitle"/>
    <w:link w:val="SubtitleChar"/>
    <w:uiPriority w:val="37"/>
    <w:rsid w:val="008C11A6"/>
    <w:pPr>
      <w:numPr>
        <w:ilvl w:val="1"/>
      </w:numPr>
    </w:pPr>
    <w:rPr>
      <w:rFonts w:ascii="Calibri Light" w:eastAsiaTheme="majorEastAsia" w:hAnsi="Calibri Light" w:cs="Times New Roman (Headings CS)"/>
      <w:iCs/>
      <w:color w:val="001E45"/>
      <w:sz w:val="30"/>
      <w:szCs w:val="24"/>
    </w:rPr>
  </w:style>
  <w:style w:type="character" w:customStyle="1" w:styleId="SubtitleChar">
    <w:name w:val="Subtitle Char"/>
    <w:basedOn w:val="DefaultParagraphFont"/>
    <w:link w:val="Subtitle"/>
    <w:uiPriority w:val="37"/>
    <w:rsid w:val="008C11A6"/>
    <w:rPr>
      <w:rFonts w:ascii="Calibri Light" w:eastAsiaTheme="majorEastAsia" w:hAnsi="Calibri Light" w:cs="Times New Roman (Headings CS)"/>
      <w:iCs/>
      <w:color w:val="001E45"/>
      <w:sz w:val="30"/>
      <w:szCs w:val="24"/>
    </w:rPr>
  </w:style>
  <w:style w:type="paragraph" w:styleId="Title">
    <w:name w:val="Title"/>
    <w:link w:val="TitleChar"/>
    <w:uiPriority w:val="36"/>
    <w:rsid w:val="00265DCB"/>
    <w:pPr>
      <w:spacing w:after="300"/>
      <w:contextualSpacing/>
    </w:pPr>
    <w:rPr>
      <w:rFonts w:ascii="Calibri Light" w:eastAsiaTheme="majorEastAsia" w:hAnsi="Calibri Light" w:cs="Times New Roman (Headings CS)"/>
      <w:b/>
      <w:color w:val="001E45"/>
      <w:kern w:val="28"/>
      <w:sz w:val="56"/>
      <w:szCs w:val="52"/>
    </w:rPr>
  </w:style>
  <w:style w:type="character" w:customStyle="1" w:styleId="TitleChar">
    <w:name w:val="Title Char"/>
    <w:basedOn w:val="DefaultParagraphFont"/>
    <w:link w:val="Title"/>
    <w:uiPriority w:val="36"/>
    <w:rsid w:val="00265DCB"/>
    <w:rPr>
      <w:rFonts w:ascii="Calibri Light" w:eastAsiaTheme="majorEastAsia" w:hAnsi="Calibri Light" w:cs="Times New Roman (Headings CS)"/>
      <w:b/>
      <w:color w:val="001E45"/>
      <w:kern w:val="28"/>
      <w:sz w:val="56"/>
      <w:szCs w:val="52"/>
    </w:rPr>
  </w:style>
  <w:style w:type="paragraph" w:styleId="Caption">
    <w:name w:val="caption"/>
    <w:next w:val="BodyText"/>
    <w:uiPriority w:val="14"/>
    <w:rsid w:val="00EA0724"/>
    <w:pPr>
      <w:spacing w:after="200"/>
    </w:pPr>
    <w:rPr>
      <w:rFonts w:asciiTheme="minorHAnsi" w:hAnsiTheme="minorHAnsi"/>
      <w:b/>
      <w:bCs/>
      <w:color w:val="4F81BD" w:themeColor="accent1"/>
      <w:sz w:val="18"/>
      <w:szCs w:val="18"/>
    </w:rPr>
  </w:style>
  <w:style w:type="paragraph" w:styleId="Date">
    <w:name w:val="Date"/>
    <w:link w:val="DateChar"/>
    <w:uiPriority w:val="38"/>
    <w:rsid w:val="00EA0724"/>
    <w:rPr>
      <w:rFonts w:asciiTheme="minorHAnsi" w:hAnsiTheme="minorHAnsi"/>
    </w:rPr>
  </w:style>
  <w:style w:type="character" w:customStyle="1" w:styleId="DateChar">
    <w:name w:val="Date Char"/>
    <w:basedOn w:val="DefaultParagraphFont"/>
    <w:link w:val="Date"/>
    <w:uiPriority w:val="38"/>
    <w:rsid w:val="002F7D3C"/>
    <w:rPr>
      <w:rFonts w:asciiTheme="minorHAnsi" w:hAnsiTheme="minorHAnsi"/>
    </w:rPr>
  </w:style>
  <w:style w:type="paragraph" w:styleId="EndnoteText">
    <w:name w:val="endnote text"/>
    <w:link w:val="EndnoteTextChar"/>
    <w:uiPriority w:val="97"/>
    <w:rsid w:val="00EA0724"/>
    <w:rPr>
      <w:rFonts w:asciiTheme="minorHAnsi" w:hAnsiTheme="minorHAnsi"/>
    </w:rPr>
  </w:style>
  <w:style w:type="character" w:customStyle="1" w:styleId="EndnoteTextChar">
    <w:name w:val="Endnote Text Char"/>
    <w:basedOn w:val="DefaultParagraphFont"/>
    <w:link w:val="EndnoteText"/>
    <w:uiPriority w:val="97"/>
    <w:rsid w:val="00A52E3A"/>
    <w:rPr>
      <w:rFonts w:asciiTheme="minorHAnsi" w:hAnsiTheme="minorHAnsi"/>
    </w:rPr>
  </w:style>
  <w:style w:type="paragraph" w:styleId="FootnoteText">
    <w:name w:val="footnote text"/>
    <w:link w:val="FootnoteTextChar"/>
    <w:uiPriority w:val="97"/>
    <w:rsid w:val="00EA0724"/>
    <w:rPr>
      <w:rFonts w:asciiTheme="minorHAnsi" w:hAnsiTheme="minorHAnsi"/>
    </w:rPr>
  </w:style>
  <w:style w:type="character" w:customStyle="1" w:styleId="FootnoteTextChar">
    <w:name w:val="Footnote Text Char"/>
    <w:basedOn w:val="DefaultParagraphFont"/>
    <w:link w:val="FootnoteText"/>
    <w:uiPriority w:val="97"/>
    <w:rsid w:val="00A52E3A"/>
    <w:rPr>
      <w:rFonts w:asciiTheme="minorHAnsi" w:hAnsiTheme="minorHAnsi"/>
    </w:rPr>
  </w:style>
  <w:style w:type="paragraph" w:styleId="Quote">
    <w:name w:val="Quote"/>
    <w:link w:val="QuoteChar"/>
    <w:uiPriority w:val="9"/>
    <w:rsid w:val="00EA0724"/>
    <w:rPr>
      <w:rFonts w:asciiTheme="minorHAnsi" w:hAnsiTheme="minorHAnsi"/>
      <w:i/>
      <w:iCs/>
      <w:color w:val="000000" w:themeColor="text1"/>
    </w:rPr>
  </w:style>
  <w:style w:type="character" w:customStyle="1" w:styleId="QuoteChar">
    <w:name w:val="Quote Char"/>
    <w:basedOn w:val="DefaultParagraphFont"/>
    <w:link w:val="Quote"/>
    <w:uiPriority w:val="9"/>
    <w:rsid w:val="00D64FAC"/>
    <w:rPr>
      <w:rFonts w:asciiTheme="minorHAnsi" w:hAnsiTheme="minorHAnsi"/>
      <w:i/>
      <w:iCs/>
      <w:color w:val="000000" w:themeColor="text1"/>
    </w:rPr>
  </w:style>
  <w:style w:type="paragraph" w:styleId="TableofFigures">
    <w:name w:val="table of figures"/>
    <w:uiPriority w:val="39"/>
    <w:rsid w:val="00EA0724"/>
    <w:rPr>
      <w:rFonts w:asciiTheme="minorHAnsi" w:hAnsiTheme="minorHAnsi"/>
    </w:rPr>
  </w:style>
  <w:style w:type="paragraph" w:styleId="TOC1">
    <w:name w:val="toc 1"/>
    <w:uiPriority w:val="39"/>
    <w:rsid w:val="00282DA0"/>
    <w:pPr>
      <w:tabs>
        <w:tab w:val="right" w:pos="9356"/>
      </w:tabs>
      <w:spacing w:before="100" w:after="200"/>
    </w:pPr>
    <w:rPr>
      <w:rFonts w:asciiTheme="minorHAnsi" w:eastAsiaTheme="majorEastAsia" w:hAnsiTheme="minorHAnsi" w:cs="Times New Roman (Headings CS)"/>
      <w:b/>
      <w:bCs/>
      <w:color w:val="00B5D1"/>
      <w:sz w:val="30"/>
      <w:szCs w:val="26"/>
    </w:rPr>
  </w:style>
  <w:style w:type="paragraph" w:styleId="TOC2">
    <w:name w:val="toc 2"/>
    <w:uiPriority w:val="39"/>
    <w:rsid w:val="00282DA0"/>
    <w:pPr>
      <w:tabs>
        <w:tab w:val="right" w:pos="9356"/>
      </w:tabs>
      <w:spacing w:after="200"/>
    </w:pPr>
    <w:rPr>
      <w:rFonts w:asciiTheme="minorHAnsi" w:eastAsiaTheme="majorEastAsia" w:hAnsiTheme="minorHAnsi" w:cs="Times New Roman (Headings CS)"/>
      <w:b/>
      <w:bCs/>
      <w:sz w:val="24"/>
    </w:rPr>
  </w:style>
  <w:style w:type="paragraph" w:styleId="TOC3">
    <w:name w:val="toc 3"/>
    <w:uiPriority w:val="39"/>
    <w:rsid w:val="00282DA0"/>
    <w:pPr>
      <w:tabs>
        <w:tab w:val="right" w:pos="9356"/>
      </w:tabs>
      <w:spacing w:after="200"/>
      <w:ind w:left="397"/>
    </w:pPr>
    <w:rPr>
      <w:rFonts w:asciiTheme="minorHAnsi" w:hAnsiTheme="minorHAnsi"/>
    </w:rPr>
  </w:style>
  <w:style w:type="paragraph" w:styleId="TOCHeading">
    <w:name w:val="TOC Heading"/>
    <w:next w:val="BodyText"/>
    <w:uiPriority w:val="39"/>
    <w:rsid w:val="00282DA0"/>
    <w:pPr>
      <w:spacing w:after="480"/>
    </w:pPr>
    <w:rPr>
      <w:rFonts w:ascii="Calibri Light" w:eastAsiaTheme="majorEastAsia" w:hAnsi="Calibri Light" w:cs="Times New Roman (Headings CS)"/>
      <w:bCs/>
      <w:color w:val="001E45"/>
      <w:sz w:val="48"/>
      <w:szCs w:val="28"/>
    </w:rPr>
  </w:style>
  <w:style w:type="character" w:customStyle="1" w:styleId="Heading5Char">
    <w:name w:val="Heading 5 Char"/>
    <w:basedOn w:val="DefaultParagraphFont"/>
    <w:link w:val="Heading5"/>
    <w:uiPriority w:val="4"/>
    <w:rsid w:val="00CA3DFC"/>
    <w:rPr>
      <w:rFonts w:asciiTheme="minorHAnsi" w:eastAsiaTheme="majorEastAsia" w:hAnsiTheme="minorHAnsi" w:cs="Times New Roman (Headings CS)"/>
      <w:i/>
      <w:iCs/>
    </w:rPr>
  </w:style>
  <w:style w:type="character" w:customStyle="1" w:styleId="Heading6Char">
    <w:name w:val="Heading 6 Char"/>
    <w:basedOn w:val="DefaultParagraphFont"/>
    <w:link w:val="Heading6"/>
    <w:uiPriority w:val="4"/>
    <w:semiHidden/>
    <w:rsid w:val="002F7D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4"/>
    <w:semiHidden/>
    <w:rsid w:val="002F7D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2F7D3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2F7D3C"/>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D904F0"/>
    <w:pPr>
      <w:numPr>
        <w:numId w:val="1"/>
      </w:numPr>
    </w:pPr>
  </w:style>
  <w:style w:type="numbering" w:customStyle="1" w:styleId="Bullets">
    <w:name w:val="Bullets"/>
    <w:basedOn w:val="NoList"/>
    <w:uiPriority w:val="99"/>
    <w:rsid w:val="00EF3804"/>
    <w:pPr>
      <w:numPr>
        <w:numId w:val="2"/>
      </w:numPr>
    </w:pPr>
  </w:style>
  <w:style w:type="numbering" w:customStyle="1" w:styleId="Numbers">
    <w:name w:val="Numbers"/>
    <w:basedOn w:val="NoList"/>
    <w:uiPriority w:val="99"/>
    <w:rsid w:val="00EF3804"/>
    <w:pPr>
      <w:numPr>
        <w:numId w:val="3"/>
      </w:numPr>
    </w:pPr>
  </w:style>
  <w:style w:type="paragraph" w:customStyle="1" w:styleId="Bullets1">
    <w:name w:val="Bullets 1"/>
    <w:basedOn w:val="BodyText"/>
    <w:qFormat/>
    <w:rsid w:val="00DB6119"/>
    <w:pPr>
      <w:numPr>
        <w:numId w:val="11"/>
      </w:numPr>
    </w:pPr>
  </w:style>
  <w:style w:type="paragraph" w:customStyle="1" w:styleId="Tablecolumnheading">
    <w:name w:val="Table column heading"/>
    <w:basedOn w:val="TableText"/>
    <w:uiPriority w:val="96"/>
    <w:rsid w:val="0058536A"/>
    <w:rPr>
      <w:b/>
    </w:rPr>
  </w:style>
  <w:style w:type="paragraph" w:customStyle="1" w:styleId="Numbers1">
    <w:name w:val="Numbers 1"/>
    <w:basedOn w:val="BodyText"/>
    <w:rsid w:val="007B3C28"/>
    <w:pPr>
      <w:numPr>
        <w:numId w:val="3"/>
      </w:numPr>
      <w:ind w:left="453" w:hanging="340"/>
    </w:pPr>
  </w:style>
  <w:style w:type="paragraph" w:customStyle="1" w:styleId="Numbers2">
    <w:name w:val="Numbers 2"/>
    <w:basedOn w:val="BodyText"/>
    <w:rsid w:val="00DB6119"/>
  </w:style>
  <w:style w:type="paragraph" w:customStyle="1" w:styleId="TableText">
    <w:name w:val="Table Text"/>
    <w:uiPriority w:val="19"/>
    <w:qFormat/>
    <w:rsid w:val="0058536A"/>
    <w:pPr>
      <w:spacing w:after="60"/>
    </w:pPr>
    <w:rPr>
      <w:rFonts w:asciiTheme="minorHAnsi" w:hAnsiTheme="minorHAnsi"/>
    </w:rPr>
  </w:style>
  <w:style w:type="paragraph" w:customStyle="1" w:styleId="TableHeading">
    <w:name w:val="Table Heading"/>
    <w:basedOn w:val="Normal"/>
    <w:uiPriority w:val="21"/>
    <w:qFormat/>
    <w:rsid w:val="0082116C"/>
    <w:pPr>
      <w:spacing w:after="60"/>
    </w:pPr>
    <w:rPr>
      <w:rFonts w:eastAsia="Calibri"/>
      <w:b/>
    </w:rPr>
  </w:style>
  <w:style w:type="paragraph" w:customStyle="1" w:styleId="TableBullets2">
    <w:name w:val="Table Bullets 2"/>
    <w:basedOn w:val="TableText"/>
    <w:uiPriority w:val="20"/>
    <w:rsid w:val="00D50C7C"/>
  </w:style>
  <w:style w:type="paragraph" w:customStyle="1" w:styleId="TableBullets1">
    <w:name w:val="Table Bullets 1"/>
    <w:basedOn w:val="TableText"/>
    <w:uiPriority w:val="20"/>
    <w:rsid w:val="00D50C7C"/>
    <w:pPr>
      <w:numPr>
        <w:numId w:val="14"/>
      </w:numPr>
    </w:pPr>
  </w:style>
  <w:style w:type="paragraph" w:customStyle="1" w:styleId="TableNumbers1">
    <w:name w:val="Table Numbers 1"/>
    <w:basedOn w:val="TableText"/>
    <w:uiPriority w:val="20"/>
    <w:rsid w:val="00DB6119"/>
    <w:pPr>
      <w:numPr>
        <w:numId w:val="4"/>
      </w:numPr>
      <w:spacing w:after="120"/>
      <w:ind w:left="357" w:hanging="357"/>
    </w:pPr>
  </w:style>
  <w:style w:type="paragraph" w:customStyle="1" w:styleId="TableNumbers2">
    <w:name w:val="Table Numbers 2"/>
    <w:basedOn w:val="TableText"/>
    <w:uiPriority w:val="20"/>
    <w:rsid w:val="00DB6119"/>
  </w:style>
  <w:style w:type="numbering" w:customStyle="1" w:styleId="TableNumbers">
    <w:name w:val="Table Numbers"/>
    <w:basedOn w:val="NoList"/>
    <w:uiPriority w:val="99"/>
    <w:rsid w:val="00EF3804"/>
    <w:pPr>
      <w:numPr>
        <w:numId w:val="4"/>
      </w:numPr>
    </w:pPr>
  </w:style>
  <w:style w:type="numbering" w:customStyle="1" w:styleId="BulletNumberStarter">
    <w:name w:val="Bullet/Number Starter"/>
    <w:basedOn w:val="NoList"/>
    <w:uiPriority w:val="99"/>
    <w:rsid w:val="00EF3804"/>
    <w:pPr>
      <w:numPr>
        <w:numId w:val="5"/>
      </w:numPr>
    </w:pPr>
  </w:style>
  <w:style w:type="paragraph" w:styleId="ListParagraph">
    <w:name w:val="List Paragraph"/>
    <w:basedOn w:val="Normal"/>
    <w:uiPriority w:val="99"/>
    <w:semiHidden/>
    <w:qFormat/>
    <w:rsid w:val="00AD6E38"/>
    <w:pPr>
      <w:ind w:left="720"/>
      <w:contextualSpacing/>
    </w:pPr>
  </w:style>
  <w:style w:type="character" w:styleId="PageNumber">
    <w:name w:val="page number"/>
    <w:basedOn w:val="DefaultParagraphFont"/>
    <w:uiPriority w:val="99"/>
    <w:semiHidden/>
    <w:rsid w:val="00152217"/>
    <w:rPr>
      <w:b/>
      <w:sz w:val="24"/>
    </w:rPr>
  </w:style>
  <w:style w:type="paragraph" w:customStyle="1" w:styleId="Highlighttext">
    <w:name w:val="Highlight text"/>
    <w:basedOn w:val="Normal"/>
    <w:uiPriority w:val="96"/>
    <w:rsid w:val="00AB5A44"/>
    <w:pPr>
      <w:spacing w:before="120" w:after="280"/>
    </w:pPr>
    <w:rPr>
      <w:b/>
      <w:color w:val="F58146"/>
      <w:sz w:val="24"/>
    </w:rPr>
  </w:style>
  <w:style w:type="character" w:styleId="Hyperlink">
    <w:name w:val="Hyperlink"/>
    <w:basedOn w:val="DefaultParagraphFont"/>
    <w:uiPriority w:val="99"/>
    <w:unhideWhenUsed/>
    <w:rsid w:val="00BE75CD"/>
    <w:rPr>
      <w:color w:val="0000FF" w:themeColor="hyperlink"/>
      <w:u w:val="single"/>
    </w:rPr>
  </w:style>
  <w:style w:type="character" w:styleId="BookTitle">
    <w:name w:val="Book Title"/>
    <w:basedOn w:val="DefaultParagraphFont"/>
    <w:uiPriority w:val="99"/>
    <w:qFormat/>
    <w:rsid w:val="00BE75CD"/>
    <w:rPr>
      <w:b/>
      <w:bCs/>
      <w:i/>
      <w:iCs/>
      <w:spacing w:val="5"/>
    </w:rPr>
  </w:style>
  <w:style w:type="character" w:styleId="SubtleEmphasis">
    <w:name w:val="Subtle Emphasis"/>
    <w:basedOn w:val="DefaultParagraphFont"/>
    <w:uiPriority w:val="99"/>
    <w:qFormat/>
    <w:rsid w:val="00BE75CD"/>
    <w:rPr>
      <w:i/>
      <w:iCs/>
      <w:color w:val="404040" w:themeColor="text1" w:themeTint="BF"/>
    </w:rPr>
  </w:style>
  <w:style w:type="character" w:styleId="IntenseEmphasis">
    <w:name w:val="Intense Emphasis"/>
    <w:basedOn w:val="DefaultParagraphFont"/>
    <w:uiPriority w:val="99"/>
    <w:qFormat/>
    <w:rsid w:val="009D3149"/>
    <w:rPr>
      <w:i/>
      <w:iCs/>
      <w:color w:val="4F81BD" w:themeColor="accent1"/>
    </w:rPr>
  </w:style>
  <w:style w:type="paragraph" w:customStyle="1" w:styleId="IntenseHeading">
    <w:name w:val="Intense Heading"/>
    <w:basedOn w:val="BodyText"/>
    <w:next w:val="BodyText"/>
    <w:uiPriority w:val="96"/>
    <w:qFormat/>
    <w:rsid w:val="0009277E"/>
    <w:pPr>
      <w:spacing w:after="0"/>
    </w:pPr>
    <w:rPr>
      <w:b/>
      <w:i/>
      <w:color w:val="4F81BD"/>
    </w:rPr>
  </w:style>
  <w:style w:type="character" w:styleId="Strong">
    <w:name w:val="Strong"/>
    <w:basedOn w:val="DefaultParagraphFont"/>
    <w:uiPriority w:val="22"/>
    <w:qFormat/>
    <w:rsid w:val="008017CB"/>
    <w:rPr>
      <w:b/>
      <w:bCs/>
    </w:rPr>
  </w:style>
  <w:style w:type="table" w:customStyle="1" w:styleId="TableGrid1">
    <w:name w:val="Table Grid1"/>
    <w:basedOn w:val="TableNormal"/>
    <w:next w:val="TableGrid"/>
    <w:uiPriority w:val="59"/>
    <w:rsid w:val="0082116C"/>
    <w:rPr>
      <w:rFonts w:ascii="Calibri" w:hAnsi="Calibri"/>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vAlign w:val="center"/>
      </w:tcPr>
    </w:tblStylePr>
    <w:tblStylePr w:type="lastRow">
      <w:tblPr/>
      <w:tcPr>
        <w:tcBorders>
          <w:insideH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855148">
      <w:bodyDiv w:val="1"/>
      <w:marLeft w:val="0"/>
      <w:marRight w:val="0"/>
      <w:marTop w:val="0"/>
      <w:marBottom w:val="0"/>
      <w:divBdr>
        <w:top w:val="none" w:sz="0" w:space="0" w:color="auto"/>
        <w:left w:val="none" w:sz="0" w:space="0" w:color="auto"/>
        <w:bottom w:val="none" w:sz="0" w:space="0" w:color="auto"/>
        <w:right w:val="none" w:sz="0" w:space="0" w:color="auto"/>
      </w:divBdr>
    </w:div>
    <w:div w:id="1210611030">
      <w:bodyDiv w:val="1"/>
      <w:marLeft w:val="0"/>
      <w:marRight w:val="0"/>
      <w:marTop w:val="0"/>
      <w:marBottom w:val="0"/>
      <w:divBdr>
        <w:top w:val="none" w:sz="0" w:space="0" w:color="auto"/>
        <w:left w:val="none" w:sz="0" w:space="0" w:color="auto"/>
        <w:bottom w:val="none" w:sz="0" w:space="0" w:color="auto"/>
        <w:right w:val="none" w:sz="0" w:space="0" w:color="auto"/>
      </w:divBdr>
    </w:div>
    <w:div w:id="1376662251">
      <w:bodyDiv w:val="1"/>
      <w:marLeft w:val="0"/>
      <w:marRight w:val="0"/>
      <w:marTop w:val="0"/>
      <w:marBottom w:val="0"/>
      <w:divBdr>
        <w:top w:val="none" w:sz="0" w:space="0" w:color="auto"/>
        <w:left w:val="none" w:sz="0" w:space="0" w:color="auto"/>
        <w:bottom w:val="none" w:sz="0" w:space="0" w:color="auto"/>
        <w:right w:val="none" w:sz="0" w:space="0" w:color="auto"/>
      </w:divBdr>
    </w:div>
    <w:div w:id="1627855651">
      <w:bodyDiv w:val="1"/>
      <w:marLeft w:val="0"/>
      <w:marRight w:val="0"/>
      <w:marTop w:val="0"/>
      <w:marBottom w:val="0"/>
      <w:divBdr>
        <w:top w:val="none" w:sz="0" w:space="0" w:color="auto"/>
        <w:left w:val="none" w:sz="0" w:space="0" w:color="auto"/>
        <w:bottom w:val="none" w:sz="0" w:space="0" w:color="auto"/>
        <w:right w:val="none" w:sz="0" w:space="0" w:color="auto"/>
      </w:divBdr>
    </w:div>
    <w:div w:id="167255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gov.au/acsc/view-all-content/programs/irap/asd-certified-gateways" TargetMode="External"/><Relationship Id="rId13" Type="http://schemas.openxmlformats.org/officeDocument/2006/relationships/hyperlink" Target="https://www.cyber.gov.au/acsc/view-all-content/publications/identifying-cyber-supply-chain-risks"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src.nist.gov/publications/detail/sp/800-145/final" TargetMode="External"/><Relationship Id="rId12" Type="http://schemas.openxmlformats.org/officeDocument/2006/relationships/hyperlink" Target="https://www.cyber.gov.au/acsc/view-all-content/publications/cyber-supply-chain-risk-management"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otectivesecurity.gov.au/governance/security-governance-for-contracted-service-providers/Pages/default.aspx"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dta.gov.au/our-projects/secure-cloud-strategy"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cyber.gov.au/acsc/government/cloud-security-guidance" TargetMode="External"/><Relationship Id="rId14" Type="http://schemas.openxmlformats.org/officeDocument/2006/relationships/hyperlink" Target="https://csrc.nist.gov/publications/detail/sp/800-161/final"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rgbClr val="FFE9D5"/>
        </a:solidFill>
        <a:ln w="6350">
          <a:noFill/>
        </a:ln>
      </a:spPr>
      <a:bodyPr wrap="square" lIns="108000" tIns="108000" rIns="108000" bIns="108000" rtlCol="0">
        <a:spAutoFit/>
      </a:body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2110</Words>
  <Characters>12030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2019-08-14T22:06:00Z</dcterms:created>
  <dcterms:modified xsi:type="dcterms:W3CDTF">2021-06-03T04:33:00Z</dcterms:modified>
</cp:coreProperties>
</file>