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C6164" w14:textId="796FFEF2" w:rsidR="00AF2411" w:rsidRPr="00AF2411" w:rsidRDefault="00AF2411" w:rsidP="00AF2411">
      <w:pPr>
        <w:pStyle w:val="Heading1"/>
        <w:rPr>
          <w:rStyle w:val="Strong"/>
          <w:b w:val="0"/>
          <w:bCs/>
        </w:rPr>
      </w:pPr>
      <w:r w:rsidRPr="00AF2411">
        <w:rPr>
          <w:rStyle w:val="Strong"/>
          <w:b w:val="0"/>
          <w:bCs/>
        </w:rPr>
        <w:t>Apply</w:t>
      </w:r>
      <w:r>
        <w:rPr>
          <w:rStyle w:val="Strong"/>
          <w:b w:val="0"/>
          <w:bCs/>
        </w:rPr>
        <w:t>ing</w:t>
      </w:r>
      <w:r w:rsidRPr="00AF2411">
        <w:rPr>
          <w:rStyle w:val="Strong"/>
          <w:b w:val="0"/>
          <w:bCs/>
        </w:rPr>
        <w:t xml:space="preserve"> </w:t>
      </w:r>
      <w:r>
        <w:rPr>
          <w:rStyle w:val="Strong"/>
          <w:b w:val="0"/>
          <w:bCs/>
        </w:rPr>
        <w:t xml:space="preserve">ISM </w:t>
      </w:r>
      <w:r w:rsidRPr="00AF2411">
        <w:rPr>
          <w:rStyle w:val="Strong"/>
          <w:b w:val="0"/>
          <w:bCs/>
        </w:rPr>
        <w:t>update</w:t>
      </w:r>
      <w:r>
        <w:rPr>
          <w:rStyle w:val="Strong"/>
          <w:b w:val="0"/>
          <w:bCs/>
        </w:rPr>
        <w:t>s</w:t>
      </w:r>
    </w:p>
    <w:p w14:paraId="46DD7AA8" w14:textId="0B58B627" w:rsidR="001375A7" w:rsidRDefault="001375A7" w:rsidP="001375A7">
      <w:pPr>
        <w:pStyle w:val="BodyText"/>
      </w:pPr>
      <w:r w:rsidRPr="00F9446F">
        <w:rPr>
          <w:rStyle w:val="Strong"/>
        </w:rPr>
        <w:t>Please note:</w:t>
      </w:r>
      <w:r w:rsidRPr="00F9446F">
        <w:t xml:space="preserve"> There is</w:t>
      </w:r>
      <w:r>
        <w:t xml:space="preserve"> no requirement for organisations to immediately implement updates to the </w:t>
      </w:r>
      <w:r>
        <w:rPr>
          <w:rStyle w:val="BookTitle"/>
          <w:color w:val="000000" w:themeColor="text1"/>
        </w:rPr>
        <w:t>Australian Government Information Security Manual</w:t>
      </w:r>
      <w:r>
        <w:rPr>
          <w:i/>
        </w:rPr>
        <w:t xml:space="preserve"> </w:t>
      </w:r>
      <w:r>
        <w:t>(ISM). Instead, organisations are encouraged to review the security risks for their systems (using the latest version of the ISM available at the time) based on a frequency suitable for their business requirements and in accordance with their corporate risk management framework.</w:t>
      </w:r>
      <w:r w:rsidR="004D3356">
        <w:t xml:space="preserve"> For example</w:t>
      </w:r>
      <w:r w:rsidR="00580899">
        <w:t xml:space="preserve">, every month, </w:t>
      </w:r>
      <w:r w:rsidR="004D3356">
        <w:t>every three months (quarterly), every six months (</w:t>
      </w:r>
      <w:r w:rsidR="00580899">
        <w:t>semi-</w:t>
      </w:r>
      <w:r w:rsidR="004D3356">
        <w:t>annually) or every year (annually).</w:t>
      </w:r>
    </w:p>
    <w:p w14:paraId="45E8A7B4" w14:textId="72374C47" w:rsidR="0060222E" w:rsidRDefault="00F42A66" w:rsidP="006964BA">
      <w:pPr>
        <w:pStyle w:val="Heading1"/>
      </w:pPr>
      <w:r>
        <w:t>Terminology</w:t>
      </w:r>
      <w:r w:rsidR="0060222E">
        <w:t xml:space="preserve"> changes</w:t>
      </w:r>
    </w:p>
    <w:p w14:paraId="0A9865A0" w14:textId="2DC00A78" w:rsidR="0060222E" w:rsidRPr="0060222E" w:rsidRDefault="0060222E" w:rsidP="0060222E">
      <w:pPr>
        <w:pStyle w:val="BodyText"/>
      </w:pPr>
      <w:r>
        <w:t>For th</w:t>
      </w:r>
      <w:r w:rsidR="00FF3D3F">
        <w:t>is release of the publication,</w:t>
      </w:r>
      <w:r w:rsidR="004448DC">
        <w:t xml:space="preserve"> the focus on the </w:t>
      </w:r>
      <w:r w:rsidR="00267983">
        <w:t>‘</w:t>
      </w:r>
      <w:r w:rsidR="004448DC">
        <w:t xml:space="preserve">protection of information’ has shifted to the more encompassing </w:t>
      </w:r>
      <w:r w:rsidR="00267983">
        <w:t>‘</w:t>
      </w:r>
      <w:r w:rsidR="004448DC">
        <w:t>protection of data’.</w:t>
      </w:r>
      <w:r>
        <w:t xml:space="preserve"> This </w:t>
      </w:r>
      <w:r w:rsidR="004448DC">
        <w:t>has</w:t>
      </w:r>
      <w:r>
        <w:t xml:space="preserve"> resulted in a large </w:t>
      </w:r>
      <w:r w:rsidR="004448DC">
        <w:t>number of changes</w:t>
      </w:r>
      <w:r>
        <w:t xml:space="preserve">. </w:t>
      </w:r>
      <w:r w:rsidR="00267983">
        <w:t>As such</w:t>
      </w:r>
      <w:r w:rsidR="00EF1B95">
        <w:t>,</w:t>
      </w:r>
      <w:r>
        <w:t xml:space="preserve"> changes </w:t>
      </w:r>
      <w:r w:rsidR="00EF1B95">
        <w:t>related to the replacement of</w:t>
      </w:r>
      <w:r w:rsidR="00267983">
        <w:t xml:space="preserve"> references to</w:t>
      </w:r>
      <w:r w:rsidR="00EF1B95">
        <w:t xml:space="preserve"> ‘information’ with ‘data’ </w:t>
      </w:r>
      <w:r>
        <w:t>haven’t been individually captured in this change</w:t>
      </w:r>
      <w:r w:rsidR="00FF3D3F">
        <w:t>s</w:t>
      </w:r>
      <w:r>
        <w:t xml:space="preserve"> document.</w:t>
      </w:r>
    </w:p>
    <w:p w14:paraId="56B833F6" w14:textId="6E5C91C1" w:rsidR="009D7F1B" w:rsidRDefault="00F46D71" w:rsidP="006964BA">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39918F6C" w:rsidR="00421B33" w:rsidRDefault="00421B33" w:rsidP="00265DCB">
                            <w:pPr>
                              <w:pStyle w:val="Title"/>
                            </w:pPr>
                            <w:r>
                              <w:t>Australian Government Information Security Manual:</w:t>
                            </w:r>
                          </w:p>
                          <w:p w14:paraId="203800A5" w14:textId="384EB76B" w:rsidR="00421B33" w:rsidRDefault="0060222E" w:rsidP="00265DCB">
                            <w:pPr>
                              <w:pStyle w:val="Title"/>
                            </w:pPr>
                            <w:r>
                              <w:t>June</w:t>
                            </w:r>
                            <w:r w:rsidR="00421B33">
                              <w:t xml:space="preserve"> 2021 Changes</w:t>
                            </w:r>
                          </w:p>
                          <w:p w14:paraId="4AF7E164" w14:textId="334FE9A4" w:rsidR="00421B33" w:rsidRDefault="0060222E" w:rsidP="00ED72FB">
                            <w:pPr>
                              <w:pStyle w:val="BodyText"/>
                            </w:pPr>
                            <w:r>
                              <w:t>JUNE</w:t>
                            </w:r>
                            <w:r w:rsidR="00421B33">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39918F6C" w:rsidR="00421B33" w:rsidRDefault="00421B33" w:rsidP="00265DCB">
                      <w:pPr>
                        <w:pStyle w:val="Title"/>
                      </w:pPr>
                      <w:r>
                        <w:t>Australian Government Information Security Manual:</w:t>
                      </w:r>
                    </w:p>
                    <w:p w14:paraId="203800A5" w14:textId="384EB76B" w:rsidR="00421B33" w:rsidRDefault="0060222E" w:rsidP="00265DCB">
                      <w:pPr>
                        <w:pStyle w:val="Title"/>
                      </w:pPr>
                      <w:r>
                        <w:t>June</w:t>
                      </w:r>
                      <w:r w:rsidR="00421B33">
                        <w:t xml:space="preserve"> 2021 Changes</w:t>
                      </w:r>
                    </w:p>
                    <w:p w14:paraId="4AF7E164" w14:textId="334FE9A4" w:rsidR="00421B33" w:rsidRDefault="0060222E" w:rsidP="00ED72FB">
                      <w:pPr>
                        <w:pStyle w:val="BodyText"/>
                      </w:pPr>
                      <w:r>
                        <w:t>JUNE</w:t>
                      </w:r>
                      <w:r w:rsidR="00421B33">
                        <w:t xml:space="preserve"> 2021</w:t>
                      </w:r>
                    </w:p>
                  </w:txbxContent>
                </v:textbox>
                <w10:wrap anchorx="margin" anchory="margin"/>
                <w10:anchorlock/>
              </v:shape>
            </w:pict>
          </mc:Fallback>
        </mc:AlternateContent>
      </w:r>
      <w:r w:rsidR="009D7F1B">
        <w:t xml:space="preserve">Guidelines for </w:t>
      </w:r>
      <w:r w:rsidR="00EF1B95">
        <w:t>Communications Infrastructure</w:t>
      </w:r>
    </w:p>
    <w:p w14:paraId="552D7FFB" w14:textId="6EA59823" w:rsidR="009D7F1B" w:rsidRDefault="00EF1B95" w:rsidP="009D7F1B">
      <w:pPr>
        <w:pStyle w:val="Heading2"/>
      </w:pPr>
      <w:r>
        <w:t>Cabling infrastructure</w:t>
      </w:r>
    </w:p>
    <w:p w14:paraId="343F0EF8" w14:textId="207AAD5C" w:rsidR="0060222E" w:rsidRDefault="00EF1B95" w:rsidP="0060222E">
      <w:pPr>
        <w:pStyle w:val="Heading3"/>
      </w:pPr>
      <w:r>
        <w:t>Cable register</w:t>
      </w:r>
    </w:p>
    <w:p w14:paraId="5F1F8BA1" w14:textId="1B8A4BE7" w:rsidR="00EF1B95" w:rsidRDefault="00EF1B95" w:rsidP="00EF1B95">
      <w:pPr>
        <w:pStyle w:val="Bullets1"/>
      </w:pPr>
      <w:r>
        <w:t>Security control 0208 was amended to focus on the information that is maintained for each cable within a cable register.</w:t>
      </w:r>
      <w:r w:rsidR="00267983">
        <w:t xml:space="preserve"> </w:t>
      </w:r>
      <w:r w:rsidR="0009245D">
        <w:t>T</w:t>
      </w:r>
      <w:r w:rsidR="00267983">
        <w:t xml:space="preserve">he recommendation to include a site/floor plan diagram in the cable register has been </w:t>
      </w:r>
      <w:r w:rsidR="0009245D">
        <w:t>mov</w:t>
      </w:r>
      <w:r w:rsidR="00FF3D3F">
        <w:t>ed into newly created security control 1645</w:t>
      </w:r>
      <w:r w:rsidR="0009245D">
        <w:t xml:space="preserve"> reflecting that it is a separate </w:t>
      </w:r>
      <w:r w:rsidR="00FF3D3F">
        <w:t>set of diagrams in its own right</w:t>
      </w:r>
      <w:r w:rsidR="00267983">
        <w:t>.</w:t>
      </w:r>
    </w:p>
    <w:p w14:paraId="6AF6309E" w14:textId="71BAF6E1" w:rsidR="00EF1B95" w:rsidRPr="006C3AC3" w:rsidRDefault="00EF1B95" w:rsidP="00EF1B95">
      <w:pPr>
        <w:pStyle w:val="IntenseHeading"/>
        <w:ind w:left="454"/>
      </w:pPr>
      <w:r w:rsidRPr="006C3AC3">
        <w:t xml:space="preserve">Security Control: 0208; Revision: </w:t>
      </w:r>
      <w:r>
        <w:t>5</w:t>
      </w:r>
      <w:r w:rsidRPr="006C3AC3">
        <w:t xml:space="preserve">; Updated: </w:t>
      </w:r>
      <w:r>
        <w:t>Mar-21</w:t>
      </w:r>
      <w:r w:rsidRPr="006C3AC3">
        <w:t>; Applicability: O, P, S</w:t>
      </w:r>
      <w:r>
        <w:t>, TS</w:t>
      </w:r>
    </w:p>
    <w:p w14:paraId="01B41F2E" w14:textId="611C65BF" w:rsidR="00EF1B95" w:rsidRPr="00845B51" w:rsidRDefault="00EF1B95" w:rsidP="00EF1B95">
      <w:pPr>
        <w:ind w:left="454"/>
        <w:rPr>
          <w:rStyle w:val="IntenseEmphasis"/>
        </w:rPr>
      </w:pPr>
      <w:r>
        <w:rPr>
          <w:rStyle w:val="IntenseEmphasis"/>
        </w:rPr>
        <w:t>C</w:t>
      </w:r>
      <w:r w:rsidRPr="00845B51">
        <w:rPr>
          <w:rStyle w:val="IntenseEmphasis"/>
        </w:rPr>
        <w:t>able register</w:t>
      </w:r>
      <w:r>
        <w:rPr>
          <w:rStyle w:val="IntenseEmphasis"/>
        </w:rPr>
        <w:t>s contain</w:t>
      </w:r>
      <w:r w:rsidRPr="00845B51">
        <w:rPr>
          <w:rStyle w:val="IntenseEmphasis"/>
        </w:rPr>
        <w:t xml:space="preserve"> the following information:</w:t>
      </w:r>
    </w:p>
    <w:p w14:paraId="761CCBE6" w14:textId="77777777" w:rsidR="00EF1B95" w:rsidRDefault="00EF1B95" w:rsidP="00EF1B95">
      <w:pPr>
        <w:pStyle w:val="Bullets1"/>
        <w:ind w:left="908"/>
        <w:rPr>
          <w:rStyle w:val="IntenseEmphasis"/>
        </w:rPr>
      </w:pPr>
      <w:r w:rsidRPr="00845B51">
        <w:rPr>
          <w:rStyle w:val="IntenseEmphasis"/>
        </w:rPr>
        <w:t>cable identifier</w:t>
      </w:r>
    </w:p>
    <w:p w14:paraId="49C72C7E" w14:textId="77777777" w:rsidR="00EF1B95" w:rsidRPr="00845B51" w:rsidRDefault="00EF1B95" w:rsidP="00EF1B95">
      <w:pPr>
        <w:pStyle w:val="Bullets1"/>
        <w:ind w:left="908"/>
        <w:rPr>
          <w:rStyle w:val="IntenseEmphasis"/>
        </w:rPr>
      </w:pPr>
      <w:r>
        <w:rPr>
          <w:rStyle w:val="IntenseEmphasis"/>
        </w:rPr>
        <w:t>cable colour</w:t>
      </w:r>
    </w:p>
    <w:p w14:paraId="7902CAF1" w14:textId="77777777" w:rsidR="00EF1B95" w:rsidRPr="00845B51" w:rsidRDefault="00EF1B95" w:rsidP="00EF1B95">
      <w:pPr>
        <w:pStyle w:val="Bullets1"/>
        <w:ind w:left="908"/>
        <w:rPr>
          <w:rStyle w:val="IntenseEmphasis"/>
        </w:rPr>
      </w:pPr>
      <w:r>
        <w:rPr>
          <w:rStyle w:val="IntenseEmphasis"/>
        </w:rPr>
        <w:t>sensitivity/</w:t>
      </w:r>
      <w:r w:rsidRPr="00845B51">
        <w:rPr>
          <w:rStyle w:val="IntenseEmphasis"/>
        </w:rPr>
        <w:t>classification</w:t>
      </w:r>
    </w:p>
    <w:p w14:paraId="7B307256" w14:textId="77777777" w:rsidR="00EF1B95" w:rsidRPr="00845B51" w:rsidRDefault="00EF1B95" w:rsidP="00EF1B95">
      <w:pPr>
        <w:pStyle w:val="Bullets1"/>
        <w:ind w:left="908"/>
        <w:rPr>
          <w:rStyle w:val="IntenseEmphasis"/>
        </w:rPr>
      </w:pPr>
      <w:r w:rsidRPr="00845B51">
        <w:rPr>
          <w:rStyle w:val="IntenseEmphasis"/>
        </w:rPr>
        <w:t>source</w:t>
      </w:r>
    </w:p>
    <w:p w14:paraId="0C9F57F0" w14:textId="77777777" w:rsidR="00EF1B95" w:rsidRPr="00845B51" w:rsidRDefault="00EF1B95" w:rsidP="00EF1B95">
      <w:pPr>
        <w:pStyle w:val="Bullets1"/>
        <w:ind w:left="908"/>
        <w:rPr>
          <w:rStyle w:val="IntenseEmphasis"/>
        </w:rPr>
      </w:pPr>
      <w:r w:rsidRPr="00845B51">
        <w:rPr>
          <w:rStyle w:val="IntenseEmphasis"/>
        </w:rPr>
        <w:t>destination</w:t>
      </w:r>
    </w:p>
    <w:p w14:paraId="57FD4E0E" w14:textId="77777777" w:rsidR="00EF1B95" w:rsidRPr="00845B51" w:rsidRDefault="00EF1B95" w:rsidP="00EF1B95">
      <w:pPr>
        <w:pStyle w:val="Bullets1"/>
        <w:ind w:left="908"/>
        <w:rPr>
          <w:rStyle w:val="IntenseEmphasis"/>
        </w:rPr>
      </w:pPr>
      <w:r w:rsidRPr="00845B51">
        <w:rPr>
          <w:rStyle w:val="IntenseEmphasis"/>
        </w:rPr>
        <w:t>site/floor plan diagram</w:t>
      </w:r>
    </w:p>
    <w:p w14:paraId="72C3151A" w14:textId="77777777" w:rsidR="00EF1B95" w:rsidRPr="00845B51" w:rsidRDefault="00EF1B95" w:rsidP="00EF1B95">
      <w:pPr>
        <w:pStyle w:val="Bullets1"/>
        <w:ind w:left="908"/>
        <w:rPr>
          <w:rStyle w:val="IntenseEmphasis"/>
        </w:rPr>
      </w:pPr>
      <w:proofErr w:type="gramStart"/>
      <w:r w:rsidRPr="00845B51">
        <w:rPr>
          <w:rStyle w:val="IntenseEmphasis"/>
        </w:rPr>
        <w:t>seal</w:t>
      </w:r>
      <w:proofErr w:type="gramEnd"/>
      <w:r w:rsidRPr="00845B51">
        <w:rPr>
          <w:rStyle w:val="IntenseEmphasis"/>
        </w:rPr>
        <w:t xml:space="preserve"> numbers (if applicable).</w:t>
      </w:r>
    </w:p>
    <w:p w14:paraId="77933E2C" w14:textId="3A29BE0F" w:rsidR="00EF1B95" w:rsidRPr="006C3AC3" w:rsidRDefault="00EF1B95" w:rsidP="00EF1B95">
      <w:pPr>
        <w:pStyle w:val="IntenseHeading"/>
        <w:ind w:left="454"/>
      </w:pPr>
      <w:r w:rsidRPr="006C3AC3">
        <w:lastRenderedPageBreak/>
        <w:t xml:space="preserve">Security Control: 0208; Revision: </w:t>
      </w:r>
      <w:r>
        <w:t>6</w:t>
      </w:r>
      <w:r w:rsidRPr="006C3AC3">
        <w:t xml:space="preserve">; Updated: </w:t>
      </w:r>
      <w:r>
        <w:t>Jun-21</w:t>
      </w:r>
      <w:r w:rsidRPr="006C3AC3">
        <w:t>; Applicability: O, P, S</w:t>
      </w:r>
      <w:r>
        <w:t>, TS</w:t>
      </w:r>
    </w:p>
    <w:p w14:paraId="66C5138B" w14:textId="405F4522" w:rsidR="00EF1B95" w:rsidRPr="00845B51" w:rsidRDefault="00EF1B95" w:rsidP="00EF1B95">
      <w:pPr>
        <w:ind w:left="454"/>
        <w:rPr>
          <w:rStyle w:val="IntenseEmphasis"/>
        </w:rPr>
      </w:pPr>
      <w:r>
        <w:rPr>
          <w:rStyle w:val="IntenseEmphasis"/>
        </w:rPr>
        <w:t>A c</w:t>
      </w:r>
      <w:r w:rsidRPr="00845B51">
        <w:rPr>
          <w:rStyle w:val="IntenseEmphasis"/>
        </w:rPr>
        <w:t>able register</w:t>
      </w:r>
      <w:r>
        <w:rPr>
          <w:rStyle w:val="IntenseEmphasis"/>
        </w:rPr>
        <w:t xml:space="preserve"> contains</w:t>
      </w:r>
      <w:r w:rsidRPr="00845B51">
        <w:rPr>
          <w:rStyle w:val="IntenseEmphasis"/>
        </w:rPr>
        <w:t xml:space="preserve"> the following </w:t>
      </w:r>
      <w:r>
        <w:rPr>
          <w:rStyle w:val="IntenseEmphasis"/>
        </w:rPr>
        <w:t>for each cable</w:t>
      </w:r>
      <w:r w:rsidRPr="00845B51">
        <w:rPr>
          <w:rStyle w:val="IntenseEmphasis"/>
        </w:rPr>
        <w:t>:</w:t>
      </w:r>
    </w:p>
    <w:p w14:paraId="318BBB8D" w14:textId="77777777" w:rsidR="00EF1B95" w:rsidRDefault="00EF1B95" w:rsidP="00EF1B95">
      <w:pPr>
        <w:pStyle w:val="Bullets1"/>
        <w:ind w:left="908"/>
        <w:rPr>
          <w:rStyle w:val="IntenseEmphasis"/>
        </w:rPr>
      </w:pPr>
      <w:r w:rsidRPr="00845B51">
        <w:rPr>
          <w:rStyle w:val="IntenseEmphasis"/>
        </w:rPr>
        <w:t>cable identifier</w:t>
      </w:r>
    </w:p>
    <w:p w14:paraId="58A6D3F5" w14:textId="77777777" w:rsidR="00EF1B95" w:rsidRPr="00845B51" w:rsidRDefault="00EF1B95" w:rsidP="00EF1B95">
      <w:pPr>
        <w:pStyle w:val="Bullets1"/>
        <w:ind w:left="908"/>
        <w:rPr>
          <w:rStyle w:val="IntenseEmphasis"/>
        </w:rPr>
      </w:pPr>
      <w:r>
        <w:rPr>
          <w:rStyle w:val="IntenseEmphasis"/>
        </w:rPr>
        <w:t>cable colour</w:t>
      </w:r>
    </w:p>
    <w:p w14:paraId="131E3FA3" w14:textId="77777777" w:rsidR="00EF1B95" w:rsidRPr="00845B51" w:rsidRDefault="00EF1B95" w:rsidP="00EF1B95">
      <w:pPr>
        <w:pStyle w:val="Bullets1"/>
        <w:ind w:left="908"/>
        <w:rPr>
          <w:rStyle w:val="IntenseEmphasis"/>
        </w:rPr>
      </w:pPr>
      <w:r>
        <w:rPr>
          <w:rStyle w:val="IntenseEmphasis"/>
        </w:rPr>
        <w:t>sensitivity/</w:t>
      </w:r>
      <w:r w:rsidRPr="00845B51">
        <w:rPr>
          <w:rStyle w:val="IntenseEmphasis"/>
        </w:rPr>
        <w:t>classification</w:t>
      </w:r>
    </w:p>
    <w:p w14:paraId="0A7C1DB2" w14:textId="77777777" w:rsidR="00EF1B95" w:rsidRPr="00845B51" w:rsidRDefault="00EF1B95" w:rsidP="00EF1B95">
      <w:pPr>
        <w:pStyle w:val="Bullets1"/>
        <w:ind w:left="908"/>
        <w:rPr>
          <w:rStyle w:val="IntenseEmphasis"/>
        </w:rPr>
      </w:pPr>
      <w:r w:rsidRPr="00845B51">
        <w:rPr>
          <w:rStyle w:val="IntenseEmphasis"/>
        </w:rPr>
        <w:t>source</w:t>
      </w:r>
    </w:p>
    <w:p w14:paraId="568BE218" w14:textId="77777777" w:rsidR="00EF1B95" w:rsidRPr="00845B51" w:rsidRDefault="00EF1B95" w:rsidP="00EF1B95">
      <w:pPr>
        <w:pStyle w:val="Bullets1"/>
        <w:ind w:left="908"/>
        <w:rPr>
          <w:rStyle w:val="IntenseEmphasis"/>
        </w:rPr>
      </w:pPr>
      <w:r w:rsidRPr="00845B51">
        <w:rPr>
          <w:rStyle w:val="IntenseEmphasis"/>
        </w:rPr>
        <w:t>destination</w:t>
      </w:r>
    </w:p>
    <w:p w14:paraId="3CCF4C6B" w14:textId="77777777" w:rsidR="00EF1B95" w:rsidRPr="00845B51" w:rsidRDefault="00EF1B95" w:rsidP="00EF1B95">
      <w:pPr>
        <w:pStyle w:val="Bullets1"/>
        <w:ind w:left="908"/>
        <w:rPr>
          <w:rStyle w:val="IntenseEmphasis"/>
        </w:rPr>
      </w:pPr>
      <w:r>
        <w:rPr>
          <w:rStyle w:val="IntenseEmphasis"/>
        </w:rPr>
        <w:t>location</w:t>
      </w:r>
    </w:p>
    <w:p w14:paraId="77B3763D" w14:textId="77777777" w:rsidR="00EF1B95" w:rsidRPr="00845B51" w:rsidRDefault="00EF1B95" w:rsidP="00EF1B95">
      <w:pPr>
        <w:pStyle w:val="Bullets1"/>
        <w:ind w:left="908"/>
        <w:rPr>
          <w:rStyle w:val="IntenseEmphasis"/>
        </w:rPr>
      </w:pPr>
      <w:proofErr w:type="gramStart"/>
      <w:r w:rsidRPr="00845B51">
        <w:rPr>
          <w:rStyle w:val="IntenseEmphasis"/>
        </w:rPr>
        <w:t>seal</w:t>
      </w:r>
      <w:proofErr w:type="gramEnd"/>
      <w:r w:rsidRPr="00845B51">
        <w:rPr>
          <w:rStyle w:val="IntenseEmphasis"/>
        </w:rPr>
        <w:t xml:space="preserve"> numbers (if applicable).</w:t>
      </w:r>
    </w:p>
    <w:p w14:paraId="0DB1099E" w14:textId="3C82AF58" w:rsidR="00DF365E" w:rsidRDefault="00DF365E" w:rsidP="00DF365E">
      <w:pPr>
        <w:pStyle w:val="Heading3"/>
      </w:pPr>
      <w:r>
        <w:t>Floor plan diagrams</w:t>
      </w:r>
    </w:p>
    <w:p w14:paraId="7C8D9F6E" w14:textId="06FA213C" w:rsidR="00DF365E" w:rsidRDefault="00FF3D3F" w:rsidP="00DF365E">
      <w:pPr>
        <w:pStyle w:val="Bullets1"/>
      </w:pPr>
      <w:r>
        <w:t>A new topic on floor plan diagrams was introduced reflecting that floor plan diagrams exist separately to cable registers.</w:t>
      </w:r>
    </w:p>
    <w:p w14:paraId="78495112" w14:textId="77777777" w:rsidR="00FF3D3F" w:rsidRDefault="00FF3D3F" w:rsidP="00FF3D3F">
      <w:pPr>
        <w:pStyle w:val="BodyText"/>
        <w:ind w:left="454"/>
      </w:pPr>
      <w:r>
        <w:t>Floor plan diagrams, developed using computer-aided design and drafting software, providing an accurate scaled view for each floor and using alphanumeric grid referencing, are critical to ensuring that cabling infrastructure components can be easily located by installers and inspectors. In doing so, floor plan diagrams should track all cabling infrastructure changes throughout the life of a system.</w:t>
      </w:r>
    </w:p>
    <w:p w14:paraId="7EB8CF54" w14:textId="24803C1E" w:rsidR="00246601" w:rsidRDefault="00FF3D3F" w:rsidP="00246601">
      <w:pPr>
        <w:pStyle w:val="Bullets1"/>
      </w:pPr>
      <w:r>
        <w:t xml:space="preserve">Security control 1645 was added to cover the maintenance and use of floor plan diagrams. </w:t>
      </w:r>
    </w:p>
    <w:p w14:paraId="43AA96CB" w14:textId="15089CA4" w:rsidR="000E1853" w:rsidRDefault="000E1853" w:rsidP="00FF3D3F">
      <w:pPr>
        <w:pStyle w:val="IntenseHeading"/>
        <w:ind w:left="454"/>
      </w:pPr>
      <w:r>
        <w:t xml:space="preserve">Security Control: </w:t>
      </w:r>
      <w:r>
        <w:t>1645</w:t>
      </w:r>
      <w:r>
        <w:t>; Revision: 0; Updated: Jun-21; Applicability: O, P, S, TS</w:t>
      </w:r>
    </w:p>
    <w:p w14:paraId="0267C95C" w14:textId="4ECEB672" w:rsidR="000E1853" w:rsidRDefault="000E1853" w:rsidP="00FF3D3F">
      <w:pPr>
        <w:ind w:left="454"/>
        <w:rPr>
          <w:rStyle w:val="IntenseEmphasis"/>
        </w:rPr>
      </w:pPr>
      <w:r>
        <w:rPr>
          <w:rStyle w:val="IntenseEmphasis"/>
        </w:rPr>
        <w:t>Floor plan diagrams are maintained and regularly audited.</w:t>
      </w:r>
    </w:p>
    <w:p w14:paraId="6B3A157E" w14:textId="355F5270" w:rsidR="00FF3D3F" w:rsidRDefault="00FF3D3F" w:rsidP="00FF3D3F">
      <w:pPr>
        <w:pStyle w:val="Bullets1"/>
      </w:pPr>
      <w:r>
        <w:t>Security control 1646 was added to cover the contents of floor plan diagrams.</w:t>
      </w:r>
    </w:p>
    <w:p w14:paraId="62A47934" w14:textId="5F0D049B" w:rsidR="000E1853" w:rsidRDefault="000E1853" w:rsidP="00FF3D3F">
      <w:pPr>
        <w:pStyle w:val="IntenseHeading"/>
        <w:ind w:left="454"/>
      </w:pPr>
      <w:r>
        <w:t xml:space="preserve">Security Control: </w:t>
      </w:r>
      <w:r>
        <w:t>1646</w:t>
      </w:r>
      <w:r>
        <w:t>; Revision: 0; Updated: Jun-21; Applicability: O, P, S, TS</w:t>
      </w:r>
    </w:p>
    <w:p w14:paraId="5ACAB53B" w14:textId="77777777" w:rsidR="000E1853" w:rsidRDefault="000E1853" w:rsidP="00FF3D3F">
      <w:pPr>
        <w:ind w:left="454"/>
        <w:rPr>
          <w:rStyle w:val="IntenseEmphasis"/>
        </w:rPr>
      </w:pPr>
      <w:r>
        <w:rPr>
          <w:rStyle w:val="IntenseEmphasis"/>
        </w:rPr>
        <w:t>Floor plan diagrams contain the following:</w:t>
      </w:r>
    </w:p>
    <w:p w14:paraId="2D977426" w14:textId="77777777" w:rsidR="000E1853" w:rsidRDefault="000E1853" w:rsidP="00FF3D3F">
      <w:pPr>
        <w:pStyle w:val="Bullets1"/>
        <w:numPr>
          <w:ilvl w:val="0"/>
          <w:numId w:val="23"/>
        </w:numPr>
        <w:ind w:left="908"/>
        <w:rPr>
          <w:rStyle w:val="IntenseEmphasis"/>
        </w:rPr>
      </w:pPr>
      <w:r>
        <w:rPr>
          <w:rStyle w:val="IntenseEmphasis"/>
        </w:rPr>
        <w:t>cable paths (including ingress and egress points between floors)</w:t>
      </w:r>
    </w:p>
    <w:p w14:paraId="264F95DF" w14:textId="77777777" w:rsidR="000E1853" w:rsidRDefault="000E1853" w:rsidP="00FF3D3F">
      <w:pPr>
        <w:pStyle w:val="Bullets1"/>
        <w:numPr>
          <w:ilvl w:val="0"/>
          <w:numId w:val="23"/>
        </w:numPr>
        <w:ind w:left="908"/>
        <w:rPr>
          <w:rStyle w:val="IntenseEmphasis"/>
        </w:rPr>
      </w:pPr>
      <w:r>
        <w:rPr>
          <w:rStyle w:val="IntenseEmphasis"/>
        </w:rPr>
        <w:t>cable reticulation system and conduit paths</w:t>
      </w:r>
    </w:p>
    <w:p w14:paraId="56354B1A" w14:textId="77777777" w:rsidR="000E1853" w:rsidRDefault="000E1853" w:rsidP="00FF3D3F">
      <w:pPr>
        <w:pStyle w:val="Bullets1"/>
        <w:numPr>
          <w:ilvl w:val="0"/>
          <w:numId w:val="23"/>
        </w:numPr>
        <w:ind w:left="908"/>
        <w:rPr>
          <w:rStyle w:val="IntenseEmphasis"/>
        </w:rPr>
      </w:pPr>
      <w:r>
        <w:rPr>
          <w:rStyle w:val="IntenseEmphasis"/>
        </w:rPr>
        <w:t>floor concentration boxes</w:t>
      </w:r>
    </w:p>
    <w:p w14:paraId="558EFC09" w14:textId="77777777" w:rsidR="000E1853" w:rsidRDefault="000E1853" w:rsidP="00FF3D3F">
      <w:pPr>
        <w:pStyle w:val="Bullets1"/>
        <w:numPr>
          <w:ilvl w:val="0"/>
          <w:numId w:val="23"/>
        </w:numPr>
        <w:ind w:left="908"/>
        <w:rPr>
          <w:rStyle w:val="IntenseEmphasis"/>
        </w:rPr>
      </w:pPr>
      <w:r>
        <w:rPr>
          <w:rStyle w:val="IntenseEmphasis"/>
        </w:rPr>
        <w:t>wall outlet boxes</w:t>
      </w:r>
    </w:p>
    <w:p w14:paraId="6967CC12" w14:textId="77777777" w:rsidR="000E1853" w:rsidRDefault="000E1853" w:rsidP="00FF3D3F">
      <w:pPr>
        <w:pStyle w:val="Bullets1"/>
        <w:numPr>
          <w:ilvl w:val="0"/>
          <w:numId w:val="23"/>
        </w:numPr>
        <w:ind w:left="908"/>
      </w:pPr>
      <w:proofErr w:type="gramStart"/>
      <w:r>
        <w:rPr>
          <w:rStyle w:val="IntenseEmphasis"/>
        </w:rPr>
        <w:t>network</w:t>
      </w:r>
      <w:proofErr w:type="gramEnd"/>
      <w:r>
        <w:rPr>
          <w:rStyle w:val="IntenseEmphasis"/>
        </w:rPr>
        <w:t xml:space="preserve"> cabinets.</w:t>
      </w:r>
    </w:p>
    <w:p w14:paraId="4CE25989" w14:textId="138B1FC2" w:rsidR="00EF1B95" w:rsidRDefault="004F208B" w:rsidP="004F208B">
      <w:pPr>
        <w:pStyle w:val="Heading2"/>
      </w:pPr>
      <w:r>
        <w:t>Emanation security</w:t>
      </w:r>
    </w:p>
    <w:p w14:paraId="6187345E" w14:textId="4873D2AB" w:rsidR="004F208B" w:rsidRDefault="004F208B" w:rsidP="004F208B">
      <w:pPr>
        <w:pStyle w:val="Heading3"/>
      </w:pPr>
      <w:r>
        <w:t>Further information</w:t>
      </w:r>
    </w:p>
    <w:p w14:paraId="1E65B3C7" w14:textId="20E23D92" w:rsidR="004F208B" w:rsidRDefault="004F208B" w:rsidP="004F208B">
      <w:pPr>
        <w:pStyle w:val="Bullets1"/>
      </w:pPr>
      <w:r>
        <w:t xml:space="preserve">References to </w:t>
      </w:r>
      <w:r w:rsidR="00C637B1">
        <w:t>Australian Communications Security Instructions (ACSIs)</w:t>
      </w:r>
      <w:r>
        <w:t xml:space="preserve"> were removed.</w:t>
      </w:r>
      <w:r w:rsidR="00267983">
        <w:t xml:space="preserve"> This publication will no lon</w:t>
      </w:r>
      <w:bookmarkStart w:id="0" w:name="_GoBack"/>
      <w:bookmarkEnd w:id="0"/>
      <w:r w:rsidR="00267983">
        <w:t>ger be maintaining references to specific ACSI publications and their versions.</w:t>
      </w:r>
    </w:p>
    <w:p w14:paraId="7F6E7A0A" w14:textId="3B97F3CD" w:rsidR="004F208B" w:rsidRDefault="004F208B" w:rsidP="004F208B">
      <w:pPr>
        <w:pStyle w:val="Heading1"/>
      </w:pPr>
      <w:r>
        <w:lastRenderedPageBreak/>
        <w:t>Guidelines for Enterprise Mobility</w:t>
      </w:r>
    </w:p>
    <w:p w14:paraId="4F70DD48" w14:textId="5135350D" w:rsidR="004F208B" w:rsidRDefault="004F208B" w:rsidP="004F208B">
      <w:pPr>
        <w:pStyle w:val="Heading2"/>
      </w:pPr>
      <w:r>
        <w:t>Mobile device usage</w:t>
      </w:r>
    </w:p>
    <w:p w14:paraId="014124A5" w14:textId="2A1DE4C6" w:rsidR="004F208B" w:rsidRDefault="004F208B" w:rsidP="004F208B">
      <w:pPr>
        <w:pStyle w:val="Heading3"/>
      </w:pPr>
      <w:r>
        <w:t>Using mobile devices in public spaces</w:t>
      </w:r>
    </w:p>
    <w:p w14:paraId="7618C87B" w14:textId="3047BFEE" w:rsidR="004F208B" w:rsidRDefault="004F208B" w:rsidP="004F208B">
      <w:pPr>
        <w:pStyle w:val="Bullets1"/>
      </w:pPr>
      <w:r>
        <w:t xml:space="preserve">The content of this topic was </w:t>
      </w:r>
      <w:r w:rsidR="00A90A92">
        <w:t>amended</w:t>
      </w:r>
      <w:r>
        <w:t xml:space="preserve"> to draw a clear distinction between using data services</w:t>
      </w:r>
      <w:r w:rsidR="00267983">
        <w:t xml:space="preserve"> (e.g. accessing emails)</w:t>
      </w:r>
      <w:r>
        <w:t xml:space="preserve"> and using voice services</w:t>
      </w:r>
      <w:r w:rsidR="00267983">
        <w:t xml:space="preserve"> (e.g. making phone calls)</w:t>
      </w:r>
      <w:r>
        <w:t>.</w:t>
      </w:r>
    </w:p>
    <w:p w14:paraId="5E75CE21" w14:textId="77777777" w:rsidR="004F208B" w:rsidRPr="00DF7362" w:rsidRDefault="004F208B" w:rsidP="004F208B">
      <w:pPr>
        <w:pStyle w:val="BodyText"/>
        <w:ind w:left="454"/>
      </w:pPr>
      <w:r w:rsidRPr="00DF7362">
        <w:t xml:space="preserve">Personnel should be aware of the environment they use mobile devices in to </w:t>
      </w:r>
      <w:r>
        <w:t>view or</w:t>
      </w:r>
      <w:r w:rsidRPr="00DF7362">
        <w:t xml:space="preserve"> communicate sensitive or classified </w:t>
      </w:r>
      <w:r>
        <w:t>data</w:t>
      </w:r>
      <w:r w:rsidRPr="00DF7362">
        <w:t>, especially in public areas such as public transport, transit lounges and coffee shops. In such locations</w:t>
      </w:r>
      <w:r>
        <w:t>,</w:t>
      </w:r>
      <w:r w:rsidRPr="00DF7362">
        <w:t xml:space="preserve"> personnel</w:t>
      </w:r>
      <w:r>
        <w:t xml:space="preserve"> should</w:t>
      </w:r>
      <w:r w:rsidRPr="00DF7362">
        <w:t xml:space="preserve"> tak</w:t>
      </w:r>
      <w:r>
        <w:t>e</w:t>
      </w:r>
      <w:r w:rsidRPr="00DF7362">
        <w:t xml:space="preserve"> care to ensure</w:t>
      </w:r>
      <w:r>
        <w:t xml:space="preserve"> that sensitive or classified</w:t>
      </w:r>
      <w:r w:rsidRPr="00DF7362">
        <w:t xml:space="preserve"> </w:t>
      </w:r>
      <w:r>
        <w:t>data</w:t>
      </w:r>
      <w:r w:rsidRPr="00DF7362">
        <w:t xml:space="preserve"> is not observed</w:t>
      </w:r>
      <w:r>
        <w:t xml:space="preserve"> by other parties</w:t>
      </w:r>
      <w:r w:rsidRPr="00DF7362">
        <w:t xml:space="preserve">. In some cases, privacy filters can be applied to the screen of a mobile device to prevent onlookers from reading content off </w:t>
      </w:r>
      <w:r>
        <w:t>its</w:t>
      </w:r>
      <w:r w:rsidRPr="00DF7362">
        <w:t xml:space="preserve"> screen.</w:t>
      </w:r>
      <w:r>
        <w:t xml:space="preserve"> In addition, personnel should maintain awareness of the environments from which they conduct sensitive or classified phone calls and the potential for their conversations to be overheard.</w:t>
      </w:r>
    </w:p>
    <w:p w14:paraId="2AB085EE" w14:textId="7DB34CC2" w:rsidR="004F208B" w:rsidRDefault="004F208B" w:rsidP="004F208B">
      <w:pPr>
        <w:pStyle w:val="Bullets1"/>
      </w:pPr>
      <w:r>
        <w:t xml:space="preserve">Security control 0866 was amended to remove references to </w:t>
      </w:r>
      <w:r w:rsidR="00956AAA">
        <w:t xml:space="preserve">phone </w:t>
      </w:r>
      <w:r>
        <w:t>conversations being overheard.</w:t>
      </w:r>
    </w:p>
    <w:p w14:paraId="6DB077D6" w14:textId="0CC74E17" w:rsidR="004F208B" w:rsidRPr="007B25E1" w:rsidRDefault="004F208B" w:rsidP="004F208B">
      <w:pPr>
        <w:pStyle w:val="IntenseHeading"/>
        <w:ind w:left="454"/>
      </w:pPr>
      <w:r w:rsidRPr="007B25E1">
        <w:t>Security Control: 0866; Revision: 4; Updated: Apr-19; Applicability: O, P, S, TS</w:t>
      </w:r>
    </w:p>
    <w:p w14:paraId="25F22EC0" w14:textId="550B7C94" w:rsidR="004F208B" w:rsidRPr="00845B51" w:rsidRDefault="004F208B" w:rsidP="004F208B">
      <w:pPr>
        <w:ind w:left="454"/>
        <w:rPr>
          <w:rStyle w:val="IntenseEmphasis"/>
        </w:rPr>
      </w:pPr>
      <w:r w:rsidRPr="00845B51">
        <w:rPr>
          <w:rStyle w:val="IntenseEmphasis"/>
        </w:rPr>
        <w:t>Sensitive or classified information is not viewed or communicated in public locations unless care is taken to reduce the chance of conversations being overheard or the screen of a mobile device being observed.</w:t>
      </w:r>
    </w:p>
    <w:p w14:paraId="57CDBEA8" w14:textId="28AAAC35" w:rsidR="004F208B" w:rsidRPr="007B25E1" w:rsidRDefault="004F208B" w:rsidP="004F208B">
      <w:pPr>
        <w:pStyle w:val="IntenseHeading"/>
        <w:ind w:left="454"/>
      </w:pPr>
      <w:r w:rsidRPr="007B25E1">
        <w:t xml:space="preserve">Security Control: 0866; Revision: </w:t>
      </w:r>
      <w:r>
        <w:t>5</w:t>
      </w:r>
      <w:r w:rsidRPr="007B25E1">
        <w:t xml:space="preserve">; Updated: </w:t>
      </w:r>
      <w:r>
        <w:t>Jun-21</w:t>
      </w:r>
      <w:r w:rsidRPr="007B25E1">
        <w:t>; Applicability: O, P, S, TS</w:t>
      </w:r>
    </w:p>
    <w:p w14:paraId="0B180621" w14:textId="20E0AA8B" w:rsidR="004F208B" w:rsidRPr="00845B51" w:rsidRDefault="004F208B" w:rsidP="004F208B">
      <w:pPr>
        <w:ind w:left="454"/>
        <w:rPr>
          <w:rStyle w:val="IntenseEmphasis"/>
        </w:rPr>
      </w:pPr>
      <w:r w:rsidRPr="00845B51">
        <w:rPr>
          <w:rStyle w:val="IntenseEmphasis"/>
        </w:rPr>
        <w:t xml:space="preserve">Sensitive or classified </w:t>
      </w:r>
      <w:r>
        <w:rPr>
          <w:rStyle w:val="IntenseEmphasis"/>
        </w:rPr>
        <w:t>data</w:t>
      </w:r>
      <w:r w:rsidRPr="00845B51">
        <w:rPr>
          <w:rStyle w:val="IntenseEmphasis"/>
        </w:rPr>
        <w:t xml:space="preserve"> is not viewed or communicated in public locations unless care is taken to reduce the chance of the screen of a mobile device being observed.</w:t>
      </w:r>
    </w:p>
    <w:p w14:paraId="4C9D7B04" w14:textId="46B68978" w:rsidR="004F208B" w:rsidRDefault="004F208B" w:rsidP="004F208B">
      <w:pPr>
        <w:pStyle w:val="Bullets1"/>
      </w:pPr>
      <w:r>
        <w:t>Security control 1644 was introduced to cover</w:t>
      </w:r>
      <w:r w:rsidR="00956AAA">
        <w:t xml:space="preserve"> phone</w:t>
      </w:r>
      <w:r>
        <w:t xml:space="preserve"> conversations being overheard.</w:t>
      </w:r>
    </w:p>
    <w:p w14:paraId="5B0D7FE2" w14:textId="77777777" w:rsidR="004F208B" w:rsidRDefault="004F208B" w:rsidP="004F208B">
      <w:pPr>
        <w:pStyle w:val="IntenseHeading"/>
        <w:ind w:left="454"/>
      </w:pPr>
      <w:r>
        <w:t>Security Control: 1644; Revision: 0; Updated: Jun-21; Applicability: O, P, S, TS</w:t>
      </w:r>
    </w:p>
    <w:p w14:paraId="2FEFE49C" w14:textId="77777777" w:rsidR="004F208B" w:rsidRPr="00845B51" w:rsidRDefault="004F208B" w:rsidP="004F208B">
      <w:pPr>
        <w:ind w:left="454"/>
        <w:rPr>
          <w:rStyle w:val="IntenseEmphasis"/>
        </w:rPr>
      </w:pPr>
      <w:r>
        <w:rPr>
          <w:rStyle w:val="IntenseEmphasis"/>
        </w:rPr>
        <w:t>Sensitive or classified phone calls are not conducted in public locations unless care is taken to reduce the chance of conversations being overheard.</w:t>
      </w:r>
    </w:p>
    <w:p w14:paraId="0DB912CC" w14:textId="7CFB3659" w:rsidR="004F208B" w:rsidRDefault="00A77D9C" w:rsidP="00A77D9C">
      <w:pPr>
        <w:pStyle w:val="Heading1"/>
      </w:pPr>
      <w:r>
        <w:t>Guidelines for System Hardening</w:t>
      </w:r>
    </w:p>
    <w:p w14:paraId="4C60DEE1" w14:textId="029E0709" w:rsidR="00A77D9C" w:rsidRDefault="00A77D9C" w:rsidP="00A77D9C">
      <w:pPr>
        <w:pStyle w:val="Heading2"/>
      </w:pPr>
      <w:r>
        <w:t>Authentication hardening</w:t>
      </w:r>
    </w:p>
    <w:p w14:paraId="03809EF1" w14:textId="2C142A82" w:rsidR="00A77D9C" w:rsidRDefault="00A77D9C" w:rsidP="00A77D9C">
      <w:pPr>
        <w:pStyle w:val="Heading3"/>
      </w:pPr>
      <w:r>
        <w:t>Session and screen locking</w:t>
      </w:r>
    </w:p>
    <w:p w14:paraId="1CAF8C21" w14:textId="783D3B14" w:rsidR="00A77D9C" w:rsidRDefault="00A77D9C" w:rsidP="00A77D9C">
      <w:pPr>
        <w:pStyle w:val="Bullets1"/>
      </w:pPr>
      <w:r>
        <w:t>Security control 0428 was amended to note that only session content</w:t>
      </w:r>
      <w:r w:rsidR="00956AAA">
        <w:t>s</w:t>
      </w:r>
      <w:r>
        <w:t xml:space="preserve"> needs to be concealed</w:t>
      </w:r>
      <w:r w:rsidR="00956AAA">
        <w:t xml:space="preserve"> (instead of all contents)</w:t>
      </w:r>
      <w:r>
        <w:t xml:space="preserve"> when a screen is locked (i.e. corporate lock screen backgrounds are acceptable).</w:t>
      </w:r>
    </w:p>
    <w:p w14:paraId="24F746F8" w14:textId="063DE6C3" w:rsidR="00A77D9C" w:rsidRPr="00E51AB5" w:rsidRDefault="00A77D9C" w:rsidP="00472B23">
      <w:pPr>
        <w:pStyle w:val="IntenseHeading"/>
        <w:ind w:left="454"/>
      </w:pPr>
      <w:r w:rsidRPr="00E51AB5">
        <w:t>Security Control: 0428; Revision: 6; Updated: Sep-18; Applicability: O, P, S, TS</w:t>
      </w:r>
    </w:p>
    <w:p w14:paraId="3D6A52EA" w14:textId="77777777" w:rsidR="00A77D9C" w:rsidRPr="00845B51" w:rsidRDefault="00A77D9C" w:rsidP="00472B23">
      <w:pPr>
        <w:ind w:left="454"/>
        <w:rPr>
          <w:rStyle w:val="IntenseEmphasis"/>
        </w:rPr>
      </w:pPr>
      <w:r w:rsidRPr="00845B51">
        <w:rPr>
          <w:rStyle w:val="IntenseEmphasis"/>
        </w:rPr>
        <w:t>Systems are configured with a session or screen lock that:</w:t>
      </w:r>
    </w:p>
    <w:p w14:paraId="32FBA50A" w14:textId="0FCA6B68" w:rsidR="00A77D9C" w:rsidRPr="00845B51" w:rsidRDefault="00A77D9C" w:rsidP="00472B23">
      <w:pPr>
        <w:pStyle w:val="Bullets1"/>
        <w:ind w:left="908"/>
        <w:rPr>
          <w:rStyle w:val="IntenseEmphasis"/>
        </w:rPr>
      </w:pPr>
      <w:r w:rsidRPr="00845B51">
        <w:rPr>
          <w:rStyle w:val="IntenseEmphasis"/>
        </w:rPr>
        <w:t>activates after a maximum of 15 minutes of user inactivity or if manually activated by the user</w:t>
      </w:r>
    </w:p>
    <w:p w14:paraId="7AF735CA" w14:textId="638740D5" w:rsidR="00A77D9C" w:rsidRPr="00845B51" w:rsidRDefault="00A77D9C" w:rsidP="00472B23">
      <w:pPr>
        <w:pStyle w:val="Bullets1"/>
        <w:ind w:left="908"/>
        <w:rPr>
          <w:rStyle w:val="IntenseEmphasis"/>
        </w:rPr>
      </w:pPr>
      <w:r w:rsidRPr="00845B51">
        <w:rPr>
          <w:rStyle w:val="IntenseEmphasis"/>
        </w:rPr>
        <w:t>completely conceals all information on the screen</w:t>
      </w:r>
    </w:p>
    <w:p w14:paraId="78D77952" w14:textId="56CF133A" w:rsidR="00A77D9C" w:rsidRPr="00845B51" w:rsidRDefault="00A77D9C" w:rsidP="00472B23">
      <w:pPr>
        <w:pStyle w:val="Bullets1"/>
        <w:ind w:left="908"/>
        <w:rPr>
          <w:rStyle w:val="IntenseEmphasis"/>
        </w:rPr>
      </w:pPr>
      <w:r w:rsidRPr="00845B51">
        <w:rPr>
          <w:rStyle w:val="IntenseEmphasis"/>
        </w:rPr>
        <w:t>ensures that the screen does not enter a power saving state before the screen or session lock is activated</w:t>
      </w:r>
    </w:p>
    <w:p w14:paraId="7D563133" w14:textId="77777777" w:rsidR="00A77D9C" w:rsidRPr="00845B51" w:rsidRDefault="00A77D9C" w:rsidP="00472B23">
      <w:pPr>
        <w:pStyle w:val="Bullets1"/>
        <w:ind w:left="908"/>
        <w:rPr>
          <w:rStyle w:val="IntenseEmphasis"/>
        </w:rPr>
      </w:pPr>
      <w:r w:rsidRPr="00845B51">
        <w:rPr>
          <w:rStyle w:val="IntenseEmphasis"/>
        </w:rPr>
        <w:t>requires the user to reauthenticate to unlock the system</w:t>
      </w:r>
    </w:p>
    <w:p w14:paraId="6EAA7FD0" w14:textId="77777777" w:rsidR="00A77D9C" w:rsidRPr="00845B51" w:rsidRDefault="00A77D9C" w:rsidP="00472B23">
      <w:pPr>
        <w:pStyle w:val="Bullets1"/>
        <w:ind w:left="908"/>
        <w:rPr>
          <w:rStyle w:val="IntenseEmphasis"/>
        </w:rPr>
      </w:pPr>
      <w:proofErr w:type="gramStart"/>
      <w:r w:rsidRPr="00845B51">
        <w:rPr>
          <w:rStyle w:val="IntenseEmphasis"/>
        </w:rPr>
        <w:t>denies</w:t>
      </w:r>
      <w:proofErr w:type="gramEnd"/>
      <w:r w:rsidRPr="00845B51">
        <w:rPr>
          <w:rStyle w:val="IntenseEmphasis"/>
        </w:rPr>
        <w:t xml:space="preserve"> users the ability to disable the session or screen locking mechanism.</w:t>
      </w:r>
    </w:p>
    <w:p w14:paraId="04970744" w14:textId="71146062" w:rsidR="00A77D9C" w:rsidRPr="00E51AB5" w:rsidRDefault="00A77D9C" w:rsidP="00472B23">
      <w:pPr>
        <w:pStyle w:val="IntenseHeading"/>
        <w:ind w:left="454"/>
      </w:pPr>
      <w:r w:rsidRPr="00E51AB5">
        <w:lastRenderedPageBreak/>
        <w:t xml:space="preserve">Security Control: 0428; Revision: </w:t>
      </w:r>
      <w:r>
        <w:t>7</w:t>
      </w:r>
      <w:r w:rsidRPr="00E51AB5">
        <w:t xml:space="preserve">; Updated: </w:t>
      </w:r>
      <w:r>
        <w:t>Jun-21</w:t>
      </w:r>
      <w:r w:rsidRPr="00E51AB5">
        <w:t>; Applicability: O, P, S, TS</w:t>
      </w:r>
    </w:p>
    <w:p w14:paraId="30FE7540" w14:textId="77777777" w:rsidR="00A77D9C" w:rsidRPr="00845B51" w:rsidRDefault="00A77D9C" w:rsidP="00472B23">
      <w:pPr>
        <w:ind w:left="454"/>
        <w:rPr>
          <w:rStyle w:val="IntenseEmphasis"/>
        </w:rPr>
      </w:pPr>
      <w:r w:rsidRPr="00845B51">
        <w:rPr>
          <w:rStyle w:val="IntenseEmphasis"/>
        </w:rPr>
        <w:t>Systems are configured with a session or screen lock that:</w:t>
      </w:r>
    </w:p>
    <w:p w14:paraId="2CE4DEE9" w14:textId="77777777" w:rsidR="00A77D9C" w:rsidRPr="00845B51" w:rsidRDefault="00A77D9C" w:rsidP="00472B23">
      <w:pPr>
        <w:pStyle w:val="Bullets1"/>
        <w:ind w:left="908"/>
        <w:rPr>
          <w:rStyle w:val="IntenseEmphasis"/>
        </w:rPr>
      </w:pPr>
      <w:r w:rsidRPr="00845B51">
        <w:rPr>
          <w:rStyle w:val="IntenseEmphasis"/>
        </w:rPr>
        <w:t>activates after a maximum of 15 minutes of user inactivity</w:t>
      </w:r>
      <w:r>
        <w:rPr>
          <w:rStyle w:val="IntenseEmphasis"/>
        </w:rPr>
        <w:t>,</w:t>
      </w:r>
      <w:r w:rsidRPr="00845B51">
        <w:rPr>
          <w:rStyle w:val="IntenseEmphasis"/>
        </w:rPr>
        <w:t xml:space="preserve"> or if manually activated by the user</w:t>
      </w:r>
    </w:p>
    <w:p w14:paraId="63484F22" w14:textId="0133C4B2" w:rsidR="00A77D9C" w:rsidRPr="00845B51" w:rsidRDefault="00A77D9C" w:rsidP="00472B23">
      <w:pPr>
        <w:pStyle w:val="Bullets1"/>
        <w:ind w:left="908"/>
        <w:rPr>
          <w:rStyle w:val="IntenseEmphasis"/>
        </w:rPr>
      </w:pPr>
      <w:r w:rsidRPr="00845B51">
        <w:rPr>
          <w:rStyle w:val="IntenseEmphasis"/>
        </w:rPr>
        <w:t xml:space="preserve">conceals all </w:t>
      </w:r>
      <w:r>
        <w:rPr>
          <w:rStyle w:val="IntenseEmphasis"/>
        </w:rPr>
        <w:t>session content</w:t>
      </w:r>
      <w:r w:rsidRPr="00845B51">
        <w:rPr>
          <w:rStyle w:val="IntenseEmphasis"/>
        </w:rPr>
        <w:t xml:space="preserve"> on the screen</w:t>
      </w:r>
    </w:p>
    <w:p w14:paraId="6810B7EC" w14:textId="3A0D877A" w:rsidR="00A77D9C" w:rsidRPr="00845B51" w:rsidRDefault="00A77D9C" w:rsidP="00472B23">
      <w:pPr>
        <w:pStyle w:val="Bullets1"/>
        <w:ind w:left="908"/>
        <w:rPr>
          <w:rStyle w:val="IntenseEmphasis"/>
        </w:rPr>
      </w:pPr>
      <w:r w:rsidRPr="00845B51">
        <w:rPr>
          <w:rStyle w:val="IntenseEmphasis"/>
        </w:rPr>
        <w:t xml:space="preserve">ensures that the screen does not enter a power saving state before the </w:t>
      </w:r>
      <w:r>
        <w:rPr>
          <w:rStyle w:val="IntenseEmphasis"/>
        </w:rPr>
        <w:t xml:space="preserve">session or </w:t>
      </w:r>
      <w:r w:rsidRPr="00845B51">
        <w:rPr>
          <w:rStyle w:val="IntenseEmphasis"/>
        </w:rPr>
        <w:t>screen lock is activated</w:t>
      </w:r>
    </w:p>
    <w:p w14:paraId="646CBA24" w14:textId="77777777" w:rsidR="00A77D9C" w:rsidRPr="00845B51" w:rsidRDefault="00A77D9C" w:rsidP="00472B23">
      <w:pPr>
        <w:pStyle w:val="Bullets1"/>
        <w:ind w:left="908"/>
        <w:rPr>
          <w:rStyle w:val="IntenseEmphasis"/>
        </w:rPr>
      </w:pPr>
      <w:r w:rsidRPr="00845B51">
        <w:rPr>
          <w:rStyle w:val="IntenseEmphasis"/>
        </w:rPr>
        <w:t>requires the user to reauthenticate to unlock the system</w:t>
      </w:r>
    </w:p>
    <w:p w14:paraId="3A2DD603" w14:textId="77777777" w:rsidR="00A77D9C" w:rsidRPr="00845B51" w:rsidRDefault="00A77D9C" w:rsidP="00472B23">
      <w:pPr>
        <w:pStyle w:val="Bullets1"/>
        <w:ind w:left="908"/>
        <w:rPr>
          <w:rStyle w:val="IntenseEmphasis"/>
        </w:rPr>
      </w:pPr>
      <w:proofErr w:type="gramStart"/>
      <w:r w:rsidRPr="00845B51">
        <w:rPr>
          <w:rStyle w:val="IntenseEmphasis"/>
        </w:rPr>
        <w:t>denies</w:t>
      </w:r>
      <w:proofErr w:type="gramEnd"/>
      <w:r w:rsidRPr="00845B51">
        <w:rPr>
          <w:rStyle w:val="IntenseEmphasis"/>
        </w:rPr>
        <w:t xml:space="preserve"> users the ability to disable the session or screen locking mechanism.</w:t>
      </w:r>
    </w:p>
    <w:p w14:paraId="2E80666C" w14:textId="095E96BC" w:rsidR="00A77D9C" w:rsidRDefault="00E93AF5" w:rsidP="00E93AF5">
      <w:pPr>
        <w:pStyle w:val="Heading1"/>
      </w:pPr>
      <w:r>
        <w:t>Guidelines for System Management</w:t>
      </w:r>
    </w:p>
    <w:p w14:paraId="0CC972FB" w14:textId="6712EF74" w:rsidR="00E93AF5" w:rsidRDefault="00E93AF5" w:rsidP="00E93AF5">
      <w:pPr>
        <w:pStyle w:val="Heading2"/>
      </w:pPr>
      <w:r>
        <w:t>System patching</w:t>
      </w:r>
    </w:p>
    <w:p w14:paraId="5C79266E" w14:textId="7663716B" w:rsidR="00E93AF5" w:rsidRDefault="00E93AF5" w:rsidP="00E93AF5">
      <w:pPr>
        <w:pStyle w:val="Heading3"/>
      </w:pPr>
      <w:r>
        <w:t>Patch management process and procedures</w:t>
      </w:r>
    </w:p>
    <w:p w14:paraId="60030FC7" w14:textId="0D335F84" w:rsidR="00E93AF5" w:rsidRDefault="00E93AF5" w:rsidP="00E93AF5">
      <w:pPr>
        <w:pStyle w:val="Bullets1"/>
      </w:pPr>
      <w:r>
        <w:t>Security control 1493 was amended to split out the contents of the software register into a s</w:t>
      </w:r>
      <w:r w:rsidR="00956AAA">
        <w:t>eparate security control as per similar security control</w:t>
      </w:r>
      <w:r>
        <w:t xml:space="preserve"> pairs for other</w:t>
      </w:r>
      <w:r w:rsidR="00956AAA">
        <w:t xml:space="preserve"> types of</w:t>
      </w:r>
      <w:r>
        <w:t xml:space="preserve"> registers.</w:t>
      </w:r>
    </w:p>
    <w:p w14:paraId="610052B3" w14:textId="2AAF1DD8" w:rsidR="00E93AF5" w:rsidRPr="00E51AB5" w:rsidRDefault="00E93AF5" w:rsidP="00E93AF5">
      <w:pPr>
        <w:pStyle w:val="IntenseHeading"/>
        <w:ind w:left="454"/>
      </w:pPr>
      <w:r w:rsidRPr="00E51AB5">
        <w:t xml:space="preserve">Security Control: 1493; Revision: </w:t>
      </w:r>
      <w:r>
        <w:t>1</w:t>
      </w:r>
      <w:r w:rsidRPr="00E51AB5">
        <w:t xml:space="preserve">; Updated: </w:t>
      </w:r>
      <w:r>
        <w:t>Aug-19</w:t>
      </w:r>
      <w:r w:rsidRPr="00E51AB5">
        <w:t>; Applicability: O, P, S, TS</w:t>
      </w:r>
    </w:p>
    <w:p w14:paraId="64719164" w14:textId="7D5EB906" w:rsidR="00E93AF5" w:rsidRDefault="00E93AF5" w:rsidP="00E93AF5">
      <w:pPr>
        <w:ind w:left="454"/>
        <w:rPr>
          <w:rStyle w:val="IntenseEmphasis"/>
        </w:rPr>
      </w:pPr>
      <w:r w:rsidRPr="00845B51">
        <w:rPr>
          <w:rStyle w:val="IntenseEmphasis"/>
        </w:rPr>
        <w:t>A software register, including versions and patch histories of applications, drivers, operating systems and firmware for workstations, servers, mobile devices, network devices and all other ICT equipment, is maintained and regularly audited</w:t>
      </w:r>
    </w:p>
    <w:p w14:paraId="30D561AF" w14:textId="2D62BC26" w:rsidR="00E93AF5" w:rsidRPr="00E51AB5" w:rsidRDefault="00E93AF5" w:rsidP="00E93AF5">
      <w:pPr>
        <w:pStyle w:val="IntenseHeading"/>
        <w:ind w:left="454"/>
      </w:pPr>
      <w:r w:rsidRPr="00E51AB5">
        <w:t xml:space="preserve">Security Control: 1493; Revision: </w:t>
      </w:r>
      <w:r>
        <w:t>2</w:t>
      </w:r>
      <w:r w:rsidRPr="00E51AB5">
        <w:t xml:space="preserve">; Updated: </w:t>
      </w:r>
      <w:r>
        <w:t>Jun-21</w:t>
      </w:r>
      <w:r w:rsidRPr="00E51AB5">
        <w:t>; Applicability: O, P, S, TS</w:t>
      </w:r>
    </w:p>
    <w:p w14:paraId="0511410F" w14:textId="572D9098" w:rsidR="00E93AF5" w:rsidRDefault="00E93AF5" w:rsidP="00E93AF5">
      <w:pPr>
        <w:ind w:left="454"/>
        <w:rPr>
          <w:rStyle w:val="IntenseEmphasis"/>
        </w:rPr>
      </w:pPr>
      <w:r>
        <w:rPr>
          <w:rStyle w:val="IntenseEmphasis"/>
        </w:rPr>
        <w:t>S</w:t>
      </w:r>
      <w:r w:rsidRPr="00845B51">
        <w:rPr>
          <w:rStyle w:val="IntenseEmphasis"/>
        </w:rPr>
        <w:t>oftware register</w:t>
      </w:r>
      <w:r>
        <w:rPr>
          <w:rStyle w:val="IntenseEmphasis"/>
        </w:rPr>
        <w:t>s are</w:t>
      </w:r>
      <w:r w:rsidRPr="00845B51">
        <w:rPr>
          <w:rStyle w:val="IntenseEmphasis"/>
        </w:rPr>
        <w:t xml:space="preserve"> maintained and regularly audited for workstations, servers, mobile devices, network devices and all other ICT equipment.</w:t>
      </w:r>
    </w:p>
    <w:p w14:paraId="0A110BA9" w14:textId="2C18442E" w:rsidR="00E93AF5" w:rsidRPr="00E93AF5" w:rsidRDefault="00E93AF5" w:rsidP="00E93AF5">
      <w:pPr>
        <w:pStyle w:val="Bullets1"/>
      </w:pPr>
      <w:r>
        <w:t>Security control 1643 was introduced to cover the contents of software registers.</w:t>
      </w:r>
    </w:p>
    <w:p w14:paraId="01F97EB2" w14:textId="77777777" w:rsidR="00E93AF5" w:rsidRPr="00E51AB5" w:rsidRDefault="00E93AF5" w:rsidP="00E93AF5">
      <w:pPr>
        <w:pStyle w:val="IntenseHeading"/>
        <w:ind w:left="454"/>
      </w:pPr>
      <w:r w:rsidRPr="00E51AB5">
        <w:t xml:space="preserve">Security Control: </w:t>
      </w:r>
      <w:r>
        <w:t>1643</w:t>
      </w:r>
      <w:r w:rsidRPr="00E51AB5">
        <w:t xml:space="preserve">; Revision: </w:t>
      </w:r>
      <w:r>
        <w:t>0</w:t>
      </w:r>
      <w:r w:rsidRPr="00E51AB5">
        <w:t xml:space="preserve">; Updated: </w:t>
      </w:r>
      <w:r>
        <w:t>Jun-21</w:t>
      </w:r>
      <w:r w:rsidRPr="00E51AB5">
        <w:t>; Applicability: O, P, S, TS</w:t>
      </w:r>
    </w:p>
    <w:p w14:paraId="5B7E2683" w14:textId="77777777" w:rsidR="00E93AF5" w:rsidRPr="00845B51" w:rsidRDefault="00E93AF5" w:rsidP="00E93AF5">
      <w:pPr>
        <w:ind w:left="454"/>
        <w:rPr>
          <w:rStyle w:val="IntenseEmphasis"/>
        </w:rPr>
      </w:pPr>
      <w:r>
        <w:rPr>
          <w:rStyle w:val="IntenseEmphasis"/>
        </w:rPr>
        <w:t>S</w:t>
      </w:r>
      <w:r w:rsidRPr="00845B51">
        <w:rPr>
          <w:rStyle w:val="IntenseEmphasis"/>
        </w:rPr>
        <w:t>oftware register</w:t>
      </w:r>
      <w:r>
        <w:rPr>
          <w:rStyle w:val="IntenseEmphasis"/>
        </w:rPr>
        <w:t xml:space="preserve">s contain </w:t>
      </w:r>
      <w:r w:rsidRPr="00845B51">
        <w:rPr>
          <w:rStyle w:val="IntenseEmphasis"/>
        </w:rPr>
        <w:t>versions and patch histories of applications, drivers, operating systems and firmware.</w:t>
      </w:r>
    </w:p>
    <w:p w14:paraId="548F62DF" w14:textId="5C7F16B7" w:rsidR="00E93AF5" w:rsidRDefault="00A90A92" w:rsidP="00A90A92">
      <w:pPr>
        <w:pStyle w:val="Heading1"/>
      </w:pPr>
      <w:r>
        <w:t>Guidelines for Email</w:t>
      </w:r>
    </w:p>
    <w:p w14:paraId="12974DC3" w14:textId="574BD470" w:rsidR="00A90A92" w:rsidRDefault="00A90A92" w:rsidP="00A90A92">
      <w:pPr>
        <w:pStyle w:val="Heading2"/>
      </w:pPr>
      <w:r>
        <w:t>Email usage</w:t>
      </w:r>
    </w:p>
    <w:p w14:paraId="1321B152" w14:textId="2B4F91E9" w:rsidR="00A90A92" w:rsidRDefault="00A90A92" w:rsidP="00A90A92">
      <w:pPr>
        <w:pStyle w:val="Heading3"/>
      </w:pPr>
      <w:r>
        <w:t>Protective markings for emails</w:t>
      </w:r>
    </w:p>
    <w:p w14:paraId="269D6D4A" w14:textId="0B1313BC" w:rsidR="00A90A92" w:rsidRDefault="00A90A92" w:rsidP="00A90A92">
      <w:pPr>
        <w:pStyle w:val="Bullets1"/>
      </w:pPr>
      <w:r>
        <w:t>The content of this topic was amended to note that the protective marking applied to an email reflects the highest sensitive or classification of the subject, body and attachments for the email.</w:t>
      </w:r>
    </w:p>
    <w:p w14:paraId="7E9AF8ED" w14:textId="77777777" w:rsidR="00C637B1" w:rsidRPr="00DF7362" w:rsidRDefault="00C637B1" w:rsidP="00C637B1">
      <w:pPr>
        <w:pStyle w:val="BodyText"/>
        <w:ind w:left="454"/>
      </w:pPr>
      <w:r>
        <w:t xml:space="preserve">Implementing </w:t>
      </w:r>
      <w:r w:rsidRPr="00DF7362">
        <w:t>protective marking</w:t>
      </w:r>
      <w:r>
        <w:t xml:space="preserve">s for emails </w:t>
      </w:r>
      <w:r w:rsidRPr="00DF7362">
        <w:t xml:space="preserve">ensures that appropriate security controls are applied to </w:t>
      </w:r>
      <w:r>
        <w:t>data,</w:t>
      </w:r>
      <w:r w:rsidRPr="00DF7362">
        <w:t xml:space="preserve"> and </w:t>
      </w:r>
      <w:r>
        <w:t xml:space="preserve">also </w:t>
      </w:r>
      <w:r w:rsidRPr="00DF7362">
        <w:t xml:space="preserve">helps </w:t>
      </w:r>
      <w:r>
        <w:t xml:space="preserve">to </w:t>
      </w:r>
      <w:r w:rsidRPr="00DF7362">
        <w:t xml:space="preserve">prevent unauthorised </w:t>
      </w:r>
      <w:r>
        <w:t>data</w:t>
      </w:r>
      <w:r w:rsidRPr="00DF7362">
        <w:t xml:space="preserve"> being r</w:t>
      </w:r>
      <w:r>
        <w:t xml:space="preserve">eleased into the public domain. In doing so, </w:t>
      </w:r>
      <w:r w:rsidRPr="00DF7362">
        <w:t>it is important that</w:t>
      </w:r>
      <w:r>
        <w:t xml:space="preserve"> protective markings reflect</w:t>
      </w:r>
      <w:r w:rsidRPr="00DF7362">
        <w:t xml:space="preserve"> the </w:t>
      </w:r>
      <w:r>
        <w:t>highest sensitivity or classification of</w:t>
      </w:r>
      <w:r w:rsidRPr="00DF7362">
        <w:t xml:space="preserve"> the </w:t>
      </w:r>
      <w:r>
        <w:t xml:space="preserve">subject, </w:t>
      </w:r>
      <w:r w:rsidRPr="00DF7362">
        <w:t xml:space="preserve">body </w:t>
      </w:r>
      <w:r>
        <w:t xml:space="preserve">and attachments </w:t>
      </w:r>
      <w:r w:rsidRPr="00DF7362">
        <w:t xml:space="preserve">of </w:t>
      </w:r>
      <w:r>
        <w:t>emails</w:t>
      </w:r>
      <w:r w:rsidRPr="00DF7362">
        <w:t>.</w:t>
      </w:r>
    </w:p>
    <w:p w14:paraId="3E9AAED7" w14:textId="6246D299" w:rsidR="00A90A92" w:rsidRDefault="00A90A92" w:rsidP="00A90A92">
      <w:pPr>
        <w:pStyle w:val="Bullets1"/>
      </w:pPr>
      <w:r>
        <w:t>Security control 0270 was amended to note that the protective marking applied to an email reflects the highest sensitive or classification of the subject, body and attachments for the email.</w:t>
      </w:r>
    </w:p>
    <w:p w14:paraId="1B4859C5" w14:textId="5455883C" w:rsidR="00A90A92" w:rsidRPr="005509CA" w:rsidRDefault="00A90A92" w:rsidP="00A90A92">
      <w:pPr>
        <w:pStyle w:val="IntenseHeading"/>
        <w:ind w:left="454"/>
      </w:pPr>
      <w:r w:rsidRPr="005509CA">
        <w:t>Security Control: 0270; Revision: 5; Updated: Mar-19; Applicability: O, P, S, TS</w:t>
      </w:r>
    </w:p>
    <w:p w14:paraId="41A8AB57" w14:textId="04DE9E45" w:rsidR="00A90A92" w:rsidRPr="00845B51" w:rsidRDefault="00A90A92" w:rsidP="00A90A92">
      <w:pPr>
        <w:ind w:left="454"/>
        <w:rPr>
          <w:rStyle w:val="IntenseEmphasis"/>
        </w:rPr>
      </w:pPr>
      <w:r w:rsidRPr="00845B51">
        <w:rPr>
          <w:rStyle w:val="IntenseEmphasis"/>
        </w:rPr>
        <w:t>Protective markings are applied to emails and reflect the information in their subject, body and attachments.</w:t>
      </w:r>
    </w:p>
    <w:p w14:paraId="33D149FD" w14:textId="6116D87C" w:rsidR="00A90A92" w:rsidRPr="005509CA" w:rsidRDefault="00A90A92" w:rsidP="00A90A92">
      <w:pPr>
        <w:pStyle w:val="IntenseHeading"/>
        <w:ind w:left="454"/>
      </w:pPr>
      <w:r w:rsidRPr="005509CA">
        <w:lastRenderedPageBreak/>
        <w:t xml:space="preserve">Security Control: 0270; Revision: </w:t>
      </w:r>
      <w:r>
        <w:t>6</w:t>
      </w:r>
      <w:r w:rsidRPr="005509CA">
        <w:t xml:space="preserve">; Updated: </w:t>
      </w:r>
      <w:r>
        <w:t>Jun-21</w:t>
      </w:r>
      <w:r w:rsidRPr="005509CA">
        <w:t>; Applicability: O, P, S, TS</w:t>
      </w:r>
    </w:p>
    <w:p w14:paraId="7F103198" w14:textId="447BEEFA" w:rsidR="00A90A92" w:rsidRPr="00845B51" w:rsidRDefault="00A90A92" w:rsidP="00A90A92">
      <w:pPr>
        <w:ind w:left="454"/>
        <w:rPr>
          <w:rStyle w:val="IntenseEmphasis"/>
        </w:rPr>
      </w:pPr>
      <w:r w:rsidRPr="00845B51">
        <w:rPr>
          <w:rStyle w:val="IntenseEmphasis"/>
        </w:rPr>
        <w:t xml:space="preserve">Protective markings are applied to emails and reflect the </w:t>
      </w:r>
      <w:r>
        <w:rPr>
          <w:rStyle w:val="IntenseEmphasis"/>
        </w:rPr>
        <w:t>highest sensitivity or classification of</w:t>
      </w:r>
      <w:r w:rsidRPr="00845B51">
        <w:rPr>
          <w:rStyle w:val="IntenseEmphasis"/>
        </w:rPr>
        <w:t xml:space="preserve"> the subject, body and attachments.</w:t>
      </w:r>
    </w:p>
    <w:p w14:paraId="46231552" w14:textId="393E432C" w:rsidR="00A90A92" w:rsidRDefault="005E3288" w:rsidP="005E3288">
      <w:pPr>
        <w:pStyle w:val="Heading1"/>
      </w:pPr>
      <w:r>
        <w:t>Guidelines for Cryptography</w:t>
      </w:r>
    </w:p>
    <w:p w14:paraId="1EE4FD54" w14:textId="53F266F5" w:rsidR="00C637B1" w:rsidRDefault="00C637B1" w:rsidP="005E3288">
      <w:pPr>
        <w:pStyle w:val="Heading2"/>
      </w:pPr>
      <w:r>
        <w:t>Cryptographic fundamentals</w:t>
      </w:r>
    </w:p>
    <w:p w14:paraId="1564A152" w14:textId="5255FF55" w:rsidR="00C637B1" w:rsidRDefault="00C637B1" w:rsidP="00C637B1">
      <w:pPr>
        <w:pStyle w:val="Heading3"/>
      </w:pPr>
      <w:r>
        <w:t>Further information</w:t>
      </w:r>
    </w:p>
    <w:p w14:paraId="3E61ED5B" w14:textId="1E99794E" w:rsidR="00C637B1" w:rsidRDefault="00C637B1" w:rsidP="00C637B1">
      <w:pPr>
        <w:pStyle w:val="Bullets1"/>
      </w:pPr>
      <w:r>
        <w:t>References to Australian Communications Security Instructions (ACSIs) were removed.</w:t>
      </w:r>
      <w:r w:rsidR="00956AAA">
        <w:t xml:space="preserve"> This publication will no longer be maintaining references to specific ACSI publications and their versions.</w:t>
      </w:r>
    </w:p>
    <w:p w14:paraId="24A3CC32" w14:textId="3A8BC3D8" w:rsidR="005E3288" w:rsidRDefault="005E3288" w:rsidP="005E3288">
      <w:pPr>
        <w:pStyle w:val="Heading2"/>
      </w:pPr>
      <w:r>
        <w:t>Cryptographic system management</w:t>
      </w:r>
    </w:p>
    <w:p w14:paraId="01FF0260" w14:textId="1A15CB42" w:rsidR="005E3288" w:rsidRDefault="005E3288" w:rsidP="005E3288">
      <w:pPr>
        <w:pStyle w:val="Heading3"/>
      </w:pPr>
      <w:r>
        <w:t>High Assurance Cryptographic Equipment</w:t>
      </w:r>
    </w:p>
    <w:p w14:paraId="51235D92" w14:textId="404CDF58" w:rsidR="005E3288" w:rsidRDefault="005E3288" w:rsidP="005E3288">
      <w:pPr>
        <w:pStyle w:val="Bullets1"/>
      </w:pPr>
      <w:r>
        <w:t xml:space="preserve">The content of this topic was amended to remove references to </w:t>
      </w:r>
      <w:r w:rsidR="00C637B1">
        <w:t>A</w:t>
      </w:r>
      <w:r>
        <w:t>CSIs.</w:t>
      </w:r>
    </w:p>
    <w:p w14:paraId="4814C1DB" w14:textId="77777777" w:rsidR="00C637B1" w:rsidRPr="00DF7362" w:rsidRDefault="00C637B1" w:rsidP="00C637B1">
      <w:pPr>
        <w:pStyle w:val="BodyText"/>
        <w:ind w:left="454"/>
      </w:pPr>
      <w:r w:rsidRPr="00DF7362">
        <w:t xml:space="preserve">HACE can be used by organisations to protect highly classified </w:t>
      </w:r>
      <w:r>
        <w:t>data</w:t>
      </w:r>
      <w:r w:rsidRPr="00DF7362">
        <w:t xml:space="preserve">. </w:t>
      </w:r>
      <w:r>
        <w:t xml:space="preserve">Organisations using HACE must comply with all communications security and </w:t>
      </w:r>
      <w:r w:rsidRPr="00DF7362">
        <w:t>equipment-specific doctrine</w:t>
      </w:r>
      <w:r>
        <w:t xml:space="preserve"> produced by the ACSC</w:t>
      </w:r>
      <w:r w:rsidRPr="00DF7362">
        <w:t xml:space="preserve"> for the </w:t>
      </w:r>
      <w:r>
        <w:t xml:space="preserve">management and </w:t>
      </w:r>
      <w:r w:rsidRPr="00DF7362">
        <w:t>use of HACE.</w:t>
      </w:r>
    </w:p>
    <w:p w14:paraId="28CD284E" w14:textId="198B4535" w:rsidR="005E3288" w:rsidRDefault="005E3288" w:rsidP="005E3288">
      <w:pPr>
        <w:pStyle w:val="Bullets1"/>
      </w:pPr>
      <w:r>
        <w:t>Security control 0499 was amended to replace references to specific ACSIs with a requirement to comply with all communications security and equipment-specific doctrine produced by the ACSC.</w:t>
      </w:r>
    </w:p>
    <w:p w14:paraId="4C3E9EBB" w14:textId="6FE5A8A5" w:rsidR="00C637B1" w:rsidRPr="007F2C7E" w:rsidRDefault="00C637B1" w:rsidP="00C637B1">
      <w:pPr>
        <w:pStyle w:val="IntenseHeading"/>
        <w:ind w:left="454"/>
      </w:pPr>
      <w:r w:rsidRPr="007F2C7E">
        <w:t>Security Control: 0499; Revision: 8; Updated: Apr-19; Applicability: S, TS</w:t>
      </w:r>
    </w:p>
    <w:p w14:paraId="195C5715" w14:textId="581DB3D9" w:rsidR="00C637B1" w:rsidRPr="00845B51" w:rsidRDefault="00C637B1" w:rsidP="00C637B1">
      <w:pPr>
        <w:ind w:left="454"/>
        <w:rPr>
          <w:rStyle w:val="IntenseEmphasis"/>
        </w:rPr>
      </w:pPr>
      <w:r w:rsidRPr="00845B51">
        <w:rPr>
          <w:rStyle w:val="IntenseEmphasis"/>
        </w:rPr>
        <w:t>ACSI 53 E, ACSI 103 A, ACSI 105 B, ACSI 107 B, ACSI 173 A</w:t>
      </w:r>
      <w:r>
        <w:rPr>
          <w:rStyle w:val="IntenseEmphasis"/>
        </w:rPr>
        <w:t xml:space="preserve"> and </w:t>
      </w:r>
      <w:r w:rsidRPr="00845B51">
        <w:rPr>
          <w:rStyle w:val="IntenseEmphasis"/>
        </w:rPr>
        <w:t xml:space="preserve">the latest </w:t>
      </w:r>
      <w:r>
        <w:rPr>
          <w:rStyle w:val="IntenseEmphasis"/>
        </w:rPr>
        <w:t>equipment-specific doctrine is complied with</w:t>
      </w:r>
      <w:r w:rsidRPr="00845B51">
        <w:rPr>
          <w:rStyle w:val="IntenseEmphasis"/>
        </w:rPr>
        <w:t xml:space="preserve"> when using HACE.</w:t>
      </w:r>
    </w:p>
    <w:p w14:paraId="1C06A193" w14:textId="603C9845" w:rsidR="00C637B1" w:rsidRPr="007F2C7E" w:rsidRDefault="00C637B1" w:rsidP="00C637B1">
      <w:pPr>
        <w:pStyle w:val="IntenseHeading"/>
        <w:ind w:left="454"/>
      </w:pPr>
      <w:r w:rsidRPr="007F2C7E">
        <w:t xml:space="preserve">Security Control: 0499; Revision: </w:t>
      </w:r>
      <w:r>
        <w:t>9</w:t>
      </w:r>
      <w:r w:rsidRPr="007F2C7E">
        <w:t xml:space="preserve">; Updated: </w:t>
      </w:r>
      <w:r>
        <w:t>Jun-21</w:t>
      </w:r>
      <w:r w:rsidRPr="007F2C7E">
        <w:t>; Applicability: S, TS</w:t>
      </w:r>
    </w:p>
    <w:p w14:paraId="457155A0" w14:textId="480CB031" w:rsidR="00C637B1" w:rsidRPr="00845B51" w:rsidRDefault="00C637B1" w:rsidP="00C637B1">
      <w:pPr>
        <w:ind w:left="454"/>
        <w:rPr>
          <w:rStyle w:val="IntenseEmphasis"/>
        </w:rPr>
      </w:pPr>
      <w:r>
        <w:rPr>
          <w:rStyle w:val="IntenseEmphasis"/>
        </w:rPr>
        <w:t>All communications security and equipment-specific doctrine produced by the ACSC for the management and use of HACE is complied with</w:t>
      </w:r>
      <w:r w:rsidRPr="00845B51">
        <w:rPr>
          <w:rStyle w:val="IntenseEmphasis"/>
        </w:rPr>
        <w:t>.</w:t>
      </w:r>
    </w:p>
    <w:p w14:paraId="2859F332" w14:textId="5B372A2D" w:rsidR="00C637B1" w:rsidRDefault="00C637B1" w:rsidP="00C637B1">
      <w:pPr>
        <w:pStyle w:val="Heading3"/>
      </w:pPr>
      <w:r>
        <w:t>Further information</w:t>
      </w:r>
    </w:p>
    <w:p w14:paraId="7F33BB4B" w14:textId="2D68EECE" w:rsidR="00C637B1" w:rsidRDefault="00C637B1" w:rsidP="00C637B1">
      <w:pPr>
        <w:pStyle w:val="Bullets1"/>
      </w:pPr>
      <w:r>
        <w:t>References to Australian Communications Security Instructions (ACSIs) were removed.</w:t>
      </w:r>
      <w:r w:rsidR="00956AAA">
        <w:t xml:space="preserve"> This publication will no longer be maintaining references to specific ACSI publications and their versions.</w:t>
      </w:r>
    </w:p>
    <w:p w14:paraId="4D31B676" w14:textId="61A8FD20" w:rsidR="005E3288" w:rsidRDefault="00C637B1" w:rsidP="00C637B1">
      <w:pPr>
        <w:pStyle w:val="Heading1"/>
      </w:pPr>
      <w:r>
        <w:t>Cyber Security Terminology</w:t>
      </w:r>
    </w:p>
    <w:p w14:paraId="2B03ACE3" w14:textId="1FF43D36" w:rsidR="00C637B1" w:rsidRDefault="00C637B1" w:rsidP="00C637B1">
      <w:pPr>
        <w:pStyle w:val="Heading2"/>
      </w:pPr>
      <w:r>
        <w:t>Glossary of abbreviations</w:t>
      </w:r>
    </w:p>
    <w:p w14:paraId="77DD16A2" w14:textId="7D02CA43" w:rsidR="00C637B1" w:rsidRDefault="00C637B1" w:rsidP="00C637B1">
      <w:pPr>
        <w:pStyle w:val="Bullets1"/>
      </w:pPr>
      <w:r>
        <w:t>The ‘ACSI’ abbreviation was removed as it no longer appears in the publication.</w:t>
      </w:r>
    </w:p>
    <w:p w14:paraId="321DB48E" w14:textId="4943FCB3" w:rsidR="00C637B1" w:rsidRDefault="00C637B1" w:rsidP="00C637B1">
      <w:pPr>
        <w:pStyle w:val="Heading2"/>
      </w:pPr>
      <w:r>
        <w:t>Glossary of cyber security terms</w:t>
      </w:r>
    </w:p>
    <w:p w14:paraId="50423A24" w14:textId="3534AE7B" w:rsidR="00C637B1" w:rsidRPr="00C637B1" w:rsidRDefault="00C637B1" w:rsidP="00C637B1">
      <w:pPr>
        <w:pStyle w:val="Bullets1"/>
      </w:pPr>
      <w:r>
        <w:t>The ‘logical access controls’ term was removed as it no longer appears in the publication.</w:t>
      </w:r>
    </w:p>
    <w:sectPr w:rsidR="00C637B1" w:rsidRPr="00C637B1" w:rsidSect="00824517">
      <w:headerReference w:type="default" r:id="rId7"/>
      <w:footerReference w:type="even" r:id="rId8"/>
      <w:footerReference w:type="default" r:id="rId9"/>
      <w:headerReference w:type="first" r:id="rId10"/>
      <w:footerReference w:type="first" r:id="rId11"/>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DD125" w14:textId="77777777" w:rsidR="00614066" w:rsidRDefault="00614066" w:rsidP="0089728C">
      <w:pPr>
        <w:spacing w:after="0"/>
      </w:pPr>
      <w:r>
        <w:separator/>
      </w:r>
    </w:p>
  </w:endnote>
  <w:endnote w:type="continuationSeparator" w:id="0">
    <w:p w14:paraId="58D1DB2B" w14:textId="77777777" w:rsidR="00614066" w:rsidRDefault="00614066"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rEavesXLModOTBook">
    <w:altName w:val="MrEavesXLModOT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421B33" w:rsidRDefault="00421B33" w:rsidP="002476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421B33" w:rsidRDefault="00421B33"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33B27480" w:rsidR="00421B33" w:rsidRDefault="00421B33" w:rsidP="002476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F3D3F">
          <w:rPr>
            <w:rStyle w:val="PageNumber"/>
            <w:noProof/>
          </w:rPr>
          <w:t>4</w:t>
        </w:r>
        <w:r>
          <w:rPr>
            <w:rStyle w:val="PageNumber"/>
          </w:rPr>
          <w:fldChar w:fldCharType="end"/>
        </w:r>
      </w:p>
    </w:sdtContent>
  </w:sdt>
  <w:p w14:paraId="5A9CB412" w14:textId="77777777" w:rsidR="00421B33" w:rsidRDefault="00421B33"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0353CA22" w:rsidR="00421B33" w:rsidRDefault="00421B33"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F3D3F">
          <w:rPr>
            <w:rStyle w:val="PageNumber"/>
            <w:noProof/>
          </w:rPr>
          <w:t>1</w:t>
        </w:r>
        <w:r>
          <w:rPr>
            <w:rStyle w:val="PageNumber"/>
          </w:rPr>
          <w:fldChar w:fldCharType="end"/>
        </w:r>
      </w:p>
    </w:sdtContent>
  </w:sdt>
  <w:p w14:paraId="16E6B28B" w14:textId="77777777" w:rsidR="00421B33" w:rsidRDefault="00421B33">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361A5" w14:textId="77777777" w:rsidR="00614066" w:rsidRDefault="00614066" w:rsidP="0089728C">
      <w:pPr>
        <w:spacing w:after="0"/>
      </w:pPr>
      <w:r>
        <w:separator/>
      </w:r>
    </w:p>
  </w:footnote>
  <w:footnote w:type="continuationSeparator" w:id="0">
    <w:p w14:paraId="14316F14" w14:textId="77777777" w:rsidR="00614066" w:rsidRDefault="00614066"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421B33" w:rsidRDefault="00421B33">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421B33" w:rsidRDefault="00421B33">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436CC"/>
    <w:multiLevelType w:val="multilevel"/>
    <w:tmpl w:val="176CEC90"/>
    <w:styleLink w:val="ACSC-Paras-Numbered"/>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none"/>
      <w:lvlText w:val=""/>
      <w:lvlJc w:val="left"/>
      <w:pPr>
        <w:tabs>
          <w:tab w:val="num" w:pos="1701"/>
        </w:tabs>
        <w:ind w:left="1701" w:firstLine="0"/>
      </w:pPr>
      <w:rPr>
        <w:rFonts w:hint="default"/>
      </w:rPr>
    </w:lvl>
    <w:lvl w:ilvl="4">
      <w:start w:val="1"/>
      <w:numFmt w:val="none"/>
      <w:lvlText w:val=""/>
      <w:lvlJc w:val="left"/>
      <w:pPr>
        <w:tabs>
          <w:tab w:val="num" w:pos="1701"/>
        </w:tabs>
        <w:ind w:left="1701" w:firstLine="0"/>
      </w:pPr>
      <w:rPr>
        <w:rFonts w:hint="default"/>
      </w:rPr>
    </w:lvl>
    <w:lvl w:ilvl="5">
      <w:start w:val="1"/>
      <w:numFmt w:val="none"/>
      <w:lvlText w:val=""/>
      <w:lvlJc w:val="left"/>
      <w:pPr>
        <w:tabs>
          <w:tab w:val="num" w:pos="1701"/>
        </w:tabs>
        <w:ind w:left="1701" w:firstLine="0"/>
      </w:pPr>
      <w:rPr>
        <w:rFonts w:hint="default"/>
      </w:rPr>
    </w:lvl>
    <w:lvl w:ilvl="6">
      <w:start w:val="1"/>
      <w:numFmt w:val="none"/>
      <w:lvlText w:val=""/>
      <w:lvlJc w:val="left"/>
      <w:pPr>
        <w:tabs>
          <w:tab w:val="num" w:pos="1701"/>
        </w:tabs>
        <w:ind w:left="1701" w:firstLine="0"/>
      </w:pPr>
      <w:rPr>
        <w:rFonts w:hint="default"/>
      </w:rPr>
    </w:lvl>
    <w:lvl w:ilvl="7">
      <w:start w:val="1"/>
      <w:numFmt w:val="none"/>
      <w:lvlText w:val=""/>
      <w:lvlJc w:val="left"/>
      <w:pPr>
        <w:tabs>
          <w:tab w:val="num" w:pos="1701"/>
        </w:tabs>
        <w:ind w:left="1701" w:firstLine="0"/>
      </w:pPr>
      <w:rPr>
        <w:rFonts w:hint="default"/>
      </w:rPr>
    </w:lvl>
    <w:lvl w:ilvl="8">
      <w:start w:val="1"/>
      <w:numFmt w:val="none"/>
      <w:lvlText w:val=""/>
      <w:lvlJc w:val="left"/>
      <w:pPr>
        <w:tabs>
          <w:tab w:val="num" w:pos="1701"/>
        </w:tabs>
        <w:ind w:left="1701" w:firstLine="0"/>
      </w:pPr>
      <w:rPr>
        <w:rFonts w:hint="default"/>
      </w:rPr>
    </w:lvl>
  </w:abstractNum>
  <w:abstractNum w:abstractNumId="4"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8"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42336FB"/>
    <w:multiLevelType w:val="hybridMultilevel"/>
    <w:tmpl w:val="00D8BFA8"/>
    <w:lvl w:ilvl="0" w:tplc="24F8BFA8">
      <w:numFmt w:val="bullet"/>
      <w:lvlText w:val=""/>
      <w:lvlJc w:val="left"/>
      <w:pPr>
        <w:ind w:left="765" w:hanging="360"/>
      </w:pPr>
      <w:rPr>
        <w:rFonts w:ascii="Symbol" w:eastAsia="Calibri" w:hAnsi="Symbol" w:cs="Times New Roman" w:hint="default"/>
      </w:rPr>
    </w:lvl>
    <w:lvl w:ilvl="1" w:tplc="0C090003">
      <w:start w:val="1"/>
      <w:numFmt w:val="bullet"/>
      <w:lvlText w:val="o"/>
      <w:lvlJc w:val="left"/>
      <w:pPr>
        <w:ind w:left="1485" w:hanging="360"/>
      </w:pPr>
      <w:rPr>
        <w:rFonts w:ascii="Courier New" w:hAnsi="Courier New" w:cs="Courier New" w:hint="default"/>
      </w:rPr>
    </w:lvl>
    <w:lvl w:ilvl="2" w:tplc="0C090005">
      <w:start w:val="1"/>
      <w:numFmt w:val="bullet"/>
      <w:lvlText w:val=""/>
      <w:lvlJc w:val="left"/>
      <w:pPr>
        <w:ind w:left="2205" w:hanging="360"/>
      </w:pPr>
      <w:rPr>
        <w:rFonts w:ascii="Wingdings" w:hAnsi="Wingdings" w:hint="default"/>
      </w:rPr>
    </w:lvl>
    <w:lvl w:ilvl="3" w:tplc="0C090001">
      <w:start w:val="1"/>
      <w:numFmt w:val="bullet"/>
      <w:lvlText w:val=""/>
      <w:lvlJc w:val="left"/>
      <w:pPr>
        <w:ind w:left="2925" w:hanging="360"/>
      </w:pPr>
      <w:rPr>
        <w:rFonts w:ascii="Symbol" w:hAnsi="Symbol" w:hint="default"/>
      </w:rPr>
    </w:lvl>
    <w:lvl w:ilvl="4" w:tplc="0C090003">
      <w:start w:val="1"/>
      <w:numFmt w:val="bullet"/>
      <w:lvlText w:val="o"/>
      <w:lvlJc w:val="left"/>
      <w:pPr>
        <w:ind w:left="3645" w:hanging="360"/>
      </w:pPr>
      <w:rPr>
        <w:rFonts w:ascii="Courier New" w:hAnsi="Courier New" w:cs="Courier New" w:hint="default"/>
      </w:rPr>
    </w:lvl>
    <w:lvl w:ilvl="5" w:tplc="0C090005">
      <w:start w:val="1"/>
      <w:numFmt w:val="bullet"/>
      <w:lvlText w:val=""/>
      <w:lvlJc w:val="left"/>
      <w:pPr>
        <w:ind w:left="4365" w:hanging="360"/>
      </w:pPr>
      <w:rPr>
        <w:rFonts w:ascii="Wingdings" w:hAnsi="Wingdings" w:hint="default"/>
      </w:rPr>
    </w:lvl>
    <w:lvl w:ilvl="6" w:tplc="0C090001">
      <w:start w:val="1"/>
      <w:numFmt w:val="bullet"/>
      <w:lvlText w:val=""/>
      <w:lvlJc w:val="left"/>
      <w:pPr>
        <w:ind w:left="5085" w:hanging="360"/>
      </w:pPr>
      <w:rPr>
        <w:rFonts w:ascii="Symbol" w:hAnsi="Symbol" w:hint="default"/>
      </w:rPr>
    </w:lvl>
    <w:lvl w:ilvl="7" w:tplc="0C090003">
      <w:start w:val="1"/>
      <w:numFmt w:val="bullet"/>
      <w:lvlText w:val="o"/>
      <w:lvlJc w:val="left"/>
      <w:pPr>
        <w:ind w:left="5805" w:hanging="360"/>
      </w:pPr>
      <w:rPr>
        <w:rFonts w:ascii="Courier New" w:hAnsi="Courier New" w:cs="Courier New" w:hint="default"/>
      </w:rPr>
    </w:lvl>
    <w:lvl w:ilvl="8" w:tplc="0C090005">
      <w:start w:val="1"/>
      <w:numFmt w:val="bullet"/>
      <w:lvlText w:val=""/>
      <w:lvlJc w:val="left"/>
      <w:pPr>
        <w:ind w:left="6525" w:hanging="360"/>
      </w:pPr>
      <w:rPr>
        <w:rFonts w:ascii="Wingdings" w:hAnsi="Wingdings" w:hint="default"/>
      </w:rPr>
    </w:lvl>
  </w:abstractNum>
  <w:abstractNum w:abstractNumId="15"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4"/>
  </w:num>
  <w:num w:numId="4">
    <w:abstractNumId w:val="1"/>
  </w:num>
  <w:num w:numId="5">
    <w:abstractNumId w:val="5"/>
  </w:num>
  <w:num w:numId="6">
    <w:abstractNumId w:val="2"/>
  </w:num>
  <w:num w:numId="7">
    <w:abstractNumId w:val="10"/>
  </w:num>
  <w:num w:numId="8">
    <w:abstractNumId w:val="0"/>
  </w:num>
  <w:num w:numId="9">
    <w:abstractNumId w:val="9"/>
  </w:num>
  <w:num w:numId="10">
    <w:abstractNumId w:val="11"/>
  </w:num>
  <w:num w:numId="11">
    <w:abstractNumId w:val="12"/>
  </w:num>
  <w:num w:numId="12">
    <w:abstractNumId w:val="8"/>
  </w:num>
  <w:num w:numId="13">
    <w:abstractNumId w:val="6"/>
  </w:num>
  <w:num w:numId="14">
    <w:abstractNumId w:val="15"/>
  </w:num>
  <w:num w:numId="15">
    <w:abstractNumId w:val="12"/>
  </w:num>
  <w:num w:numId="16">
    <w:abstractNumId w:val="12"/>
  </w:num>
  <w:num w:numId="17">
    <w:abstractNumId w:val="3"/>
    <w:lvlOverride w:ilvl="0">
      <w:lvl w:ilvl="0">
        <w:start w:val="1"/>
        <w:numFmt w:val="decimal"/>
        <w:lvlText w:val="%1."/>
        <w:lvlJc w:val="left"/>
        <w:pPr>
          <w:tabs>
            <w:tab w:val="num" w:pos="567"/>
          </w:tabs>
          <w:ind w:left="567" w:hanging="567"/>
        </w:pPr>
        <w:rPr>
          <w:rFonts w:hint="default"/>
          <w:b w:val="0"/>
          <w:sz w:val="22"/>
          <w:szCs w:val="22"/>
        </w:rPr>
      </w:lvl>
    </w:lvlOverride>
    <w:lvlOverride w:ilvl="1">
      <w:lvl w:ilvl="1">
        <w:start w:val="1"/>
        <w:numFmt w:val="lowerLetter"/>
        <w:lvlText w:val="%2."/>
        <w:lvlJc w:val="left"/>
        <w:pPr>
          <w:tabs>
            <w:tab w:val="num" w:pos="1134"/>
          </w:tabs>
          <w:ind w:left="1134" w:hanging="567"/>
        </w:pPr>
        <w:rPr>
          <w:rFonts w:hint="default"/>
          <w:b w:val="0"/>
          <w:i w:val="0"/>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none"/>
        <w:lvlText w:val=""/>
        <w:lvlJc w:val="left"/>
        <w:pPr>
          <w:tabs>
            <w:tab w:val="num" w:pos="1701"/>
          </w:tabs>
          <w:ind w:left="1701" w:firstLine="0"/>
        </w:pPr>
        <w:rPr>
          <w:rFonts w:hint="default"/>
        </w:rPr>
      </w:lvl>
    </w:lvlOverride>
    <w:lvlOverride w:ilvl="4">
      <w:lvl w:ilvl="4">
        <w:start w:val="1"/>
        <w:numFmt w:val="none"/>
        <w:lvlText w:val=""/>
        <w:lvlJc w:val="left"/>
        <w:pPr>
          <w:tabs>
            <w:tab w:val="num" w:pos="1701"/>
          </w:tabs>
          <w:ind w:left="1701" w:firstLine="0"/>
        </w:pPr>
        <w:rPr>
          <w:rFonts w:hint="default"/>
        </w:rPr>
      </w:lvl>
    </w:lvlOverride>
    <w:lvlOverride w:ilvl="5">
      <w:lvl w:ilvl="5">
        <w:start w:val="1"/>
        <w:numFmt w:val="none"/>
        <w:lvlText w:val=""/>
        <w:lvlJc w:val="left"/>
        <w:pPr>
          <w:tabs>
            <w:tab w:val="num" w:pos="1701"/>
          </w:tabs>
          <w:ind w:left="1701" w:firstLine="0"/>
        </w:pPr>
        <w:rPr>
          <w:rFonts w:hint="default"/>
        </w:rPr>
      </w:lvl>
    </w:lvlOverride>
    <w:lvlOverride w:ilvl="6">
      <w:lvl w:ilvl="6">
        <w:start w:val="1"/>
        <w:numFmt w:val="none"/>
        <w:lvlText w:val=""/>
        <w:lvlJc w:val="left"/>
        <w:pPr>
          <w:tabs>
            <w:tab w:val="num" w:pos="1701"/>
          </w:tabs>
          <w:ind w:left="1701" w:firstLine="0"/>
        </w:pPr>
        <w:rPr>
          <w:rFonts w:hint="default"/>
        </w:rPr>
      </w:lvl>
    </w:lvlOverride>
    <w:lvlOverride w:ilvl="7">
      <w:lvl w:ilvl="7">
        <w:start w:val="1"/>
        <w:numFmt w:val="none"/>
        <w:lvlText w:val=""/>
        <w:lvlJc w:val="left"/>
        <w:pPr>
          <w:tabs>
            <w:tab w:val="num" w:pos="1701"/>
          </w:tabs>
          <w:ind w:left="1701" w:firstLine="0"/>
        </w:pPr>
        <w:rPr>
          <w:rFonts w:hint="default"/>
        </w:rPr>
      </w:lvl>
    </w:lvlOverride>
    <w:lvlOverride w:ilvl="8">
      <w:lvl w:ilvl="8">
        <w:start w:val="1"/>
        <w:numFmt w:val="none"/>
        <w:lvlText w:val=""/>
        <w:lvlJc w:val="left"/>
        <w:pPr>
          <w:tabs>
            <w:tab w:val="num" w:pos="1701"/>
          </w:tabs>
          <w:ind w:left="1701" w:firstLine="0"/>
        </w:pPr>
        <w:rPr>
          <w:rFonts w:hint="default"/>
        </w:rPr>
      </w:lvl>
    </w:lvlOverride>
  </w:num>
  <w:num w:numId="18">
    <w:abstractNumId w:val="3"/>
  </w:num>
  <w:num w:numId="19">
    <w:abstractNumId w:val="14"/>
  </w:num>
  <w:num w:numId="20">
    <w:abstractNumId w:val="12"/>
  </w:num>
  <w:num w:numId="21">
    <w:abstractNumId w:val="12"/>
  </w:num>
  <w:num w:numId="22">
    <w:abstractNumId w:val="12"/>
  </w:num>
  <w:num w:numId="23">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05D8"/>
    <w:rsid w:val="000045B7"/>
    <w:rsid w:val="00007DE9"/>
    <w:rsid w:val="00015891"/>
    <w:rsid w:val="00015AE4"/>
    <w:rsid w:val="00020829"/>
    <w:rsid w:val="00020EEC"/>
    <w:rsid w:val="00023B93"/>
    <w:rsid w:val="00023EB5"/>
    <w:rsid w:val="00037C6F"/>
    <w:rsid w:val="000542D0"/>
    <w:rsid w:val="00064D37"/>
    <w:rsid w:val="000650F5"/>
    <w:rsid w:val="000664D2"/>
    <w:rsid w:val="0009245D"/>
    <w:rsid w:val="0009277E"/>
    <w:rsid w:val="000A5DDC"/>
    <w:rsid w:val="000A609C"/>
    <w:rsid w:val="000B5952"/>
    <w:rsid w:val="000B6C00"/>
    <w:rsid w:val="000C2490"/>
    <w:rsid w:val="000C35B9"/>
    <w:rsid w:val="000D1906"/>
    <w:rsid w:val="000E1853"/>
    <w:rsid w:val="000E4956"/>
    <w:rsid w:val="000E617E"/>
    <w:rsid w:val="000F0FE6"/>
    <w:rsid w:val="000F13A8"/>
    <w:rsid w:val="000F22ED"/>
    <w:rsid w:val="000F276A"/>
    <w:rsid w:val="000F28B8"/>
    <w:rsid w:val="000F2AEA"/>
    <w:rsid w:val="000F2DF1"/>
    <w:rsid w:val="000F3766"/>
    <w:rsid w:val="000F6756"/>
    <w:rsid w:val="001041D9"/>
    <w:rsid w:val="0010575A"/>
    <w:rsid w:val="00105AE9"/>
    <w:rsid w:val="0011101B"/>
    <w:rsid w:val="00111F0C"/>
    <w:rsid w:val="00115019"/>
    <w:rsid w:val="00120ABA"/>
    <w:rsid w:val="001375A7"/>
    <w:rsid w:val="00145E2D"/>
    <w:rsid w:val="00152217"/>
    <w:rsid w:val="00155CD6"/>
    <w:rsid w:val="00160E22"/>
    <w:rsid w:val="001763D4"/>
    <w:rsid w:val="001816F4"/>
    <w:rsid w:val="00191931"/>
    <w:rsid w:val="001B1073"/>
    <w:rsid w:val="001B5B57"/>
    <w:rsid w:val="001B7CBA"/>
    <w:rsid w:val="001C192D"/>
    <w:rsid w:val="001C53CE"/>
    <w:rsid w:val="001D13BA"/>
    <w:rsid w:val="001E319F"/>
    <w:rsid w:val="001E38D3"/>
    <w:rsid w:val="001E5737"/>
    <w:rsid w:val="001E5BAE"/>
    <w:rsid w:val="001E66CE"/>
    <w:rsid w:val="001F778C"/>
    <w:rsid w:val="00200C5F"/>
    <w:rsid w:val="00213702"/>
    <w:rsid w:val="0022093D"/>
    <w:rsid w:val="00221DC2"/>
    <w:rsid w:val="002246D7"/>
    <w:rsid w:val="00231F63"/>
    <w:rsid w:val="0024127B"/>
    <w:rsid w:val="002451FA"/>
    <w:rsid w:val="00246601"/>
    <w:rsid w:val="0024762C"/>
    <w:rsid w:val="00250122"/>
    <w:rsid w:val="002544A0"/>
    <w:rsid w:val="00255CDC"/>
    <w:rsid w:val="002573D5"/>
    <w:rsid w:val="00257E52"/>
    <w:rsid w:val="00263819"/>
    <w:rsid w:val="00265DCB"/>
    <w:rsid w:val="00267983"/>
    <w:rsid w:val="002817E7"/>
    <w:rsid w:val="00282DA0"/>
    <w:rsid w:val="002A2DC0"/>
    <w:rsid w:val="002A41E1"/>
    <w:rsid w:val="002B6574"/>
    <w:rsid w:val="002C1EAC"/>
    <w:rsid w:val="002C2240"/>
    <w:rsid w:val="002C3E81"/>
    <w:rsid w:val="002C5737"/>
    <w:rsid w:val="002D2CFD"/>
    <w:rsid w:val="002F235F"/>
    <w:rsid w:val="002F7D3C"/>
    <w:rsid w:val="00302186"/>
    <w:rsid w:val="00303343"/>
    <w:rsid w:val="00303CF1"/>
    <w:rsid w:val="00312B1B"/>
    <w:rsid w:val="003131AB"/>
    <w:rsid w:val="00316C76"/>
    <w:rsid w:val="003217BE"/>
    <w:rsid w:val="00322020"/>
    <w:rsid w:val="003274B7"/>
    <w:rsid w:val="003310E4"/>
    <w:rsid w:val="00336D98"/>
    <w:rsid w:val="00337852"/>
    <w:rsid w:val="0037565B"/>
    <w:rsid w:val="003A26EC"/>
    <w:rsid w:val="003A449C"/>
    <w:rsid w:val="003A6EB3"/>
    <w:rsid w:val="003B24EA"/>
    <w:rsid w:val="003B3AEF"/>
    <w:rsid w:val="003B600C"/>
    <w:rsid w:val="003B7AED"/>
    <w:rsid w:val="003D3B1D"/>
    <w:rsid w:val="003D5DBE"/>
    <w:rsid w:val="003E6443"/>
    <w:rsid w:val="003F1CA6"/>
    <w:rsid w:val="003F5EE1"/>
    <w:rsid w:val="003F65A6"/>
    <w:rsid w:val="003F733A"/>
    <w:rsid w:val="003F7862"/>
    <w:rsid w:val="003F786A"/>
    <w:rsid w:val="00401C13"/>
    <w:rsid w:val="00404841"/>
    <w:rsid w:val="00412059"/>
    <w:rsid w:val="00417106"/>
    <w:rsid w:val="00421B33"/>
    <w:rsid w:val="00427F79"/>
    <w:rsid w:val="004353F7"/>
    <w:rsid w:val="004417CC"/>
    <w:rsid w:val="00441E79"/>
    <w:rsid w:val="004448DC"/>
    <w:rsid w:val="004520AB"/>
    <w:rsid w:val="00452AAC"/>
    <w:rsid w:val="004567AA"/>
    <w:rsid w:val="00472B23"/>
    <w:rsid w:val="00483A58"/>
    <w:rsid w:val="00483FEE"/>
    <w:rsid w:val="00490249"/>
    <w:rsid w:val="004C31A0"/>
    <w:rsid w:val="004C479B"/>
    <w:rsid w:val="004C619E"/>
    <w:rsid w:val="004D2011"/>
    <w:rsid w:val="004D3356"/>
    <w:rsid w:val="004D7F17"/>
    <w:rsid w:val="004E7F37"/>
    <w:rsid w:val="004F208B"/>
    <w:rsid w:val="004F5C5E"/>
    <w:rsid w:val="00505C4E"/>
    <w:rsid w:val="00507600"/>
    <w:rsid w:val="00507E58"/>
    <w:rsid w:val="00512A7D"/>
    <w:rsid w:val="00512FD3"/>
    <w:rsid w:val="00522C6A"/>
    <w:rsid w:val="00524733"/>
    <w:rsid w:val="0052743E"/>
    <w:rsid w:val="00531929"/>
    <w:rsid w:val="005642A7"/>
    <w:rsid w:val="00564ABA"/>
    <w:rsid w:val="00571102"/>
    <w:rsid w:val="00573414"/>
    <w:rsid w:val="00580899"/>
    <w:rsid w:val="00581423"/>
    <w:rsid w:val="0058536A"/>
    <w:rsid w:val="005941AF"/>
    <w:rsid w:val="005943F5"/>
    <w:rsid w:val="00595A87"/>
    <w:rsid w:val="005A3DF9"/>
    <w:rsid w:val="005A4C6D"/>
    <w:rsid w:val="005A6C1C"/>
    <w:rsid w:val="005B6060"/>
    <w:rsid w:val="005C23BF"/>
    <w:rsid w:val="005C692F"/>
    <w:rsid w:val="005D0AAE"/>
    <w:rsid w:val="005D1715"/>
    <w:rsid w:val="005D3C07"/>
    <w:rsid w:val="005E2B93"/>
    <w:rsid w:val="005E3288"/>
    <w:rsid w:val="005E51CF"/>
    <w:rsid w:val="005F1B6A"/>
    <w:rsid w:val="005F6507"/>
    <w:rsid w:val="005F7012"/>
    <w:rsid w:val="006012F5"/>
    <w:rsid w:val="0060222E"/>
    <w:rsid w:val="00614066"/>
    <w:rsid w:val="00616EBA"/>
    <w:rsid w:val="00617C4E"/>
    <w:rsid w:val="00632C08"/>
    <w:rsid w:val="00633007"/>
    <w:rsid w:val="006448D1"/>
    <w:rsid w:val="006503C4"/>
    <w:rsid w:val="00653BDD"/>
    <w:rsid w:val="006554E5"/>
    <w:rsid w:val="006573AE"/>
    <w:rsid w:val="00665E8D"/>
    <w:rsid w:val="0066614E"/>
    <w:rsid w:val="0067074A"/>
    <w:rsid w:val="00672994"/>
    <w:rsid w:val="00681D27"/>
    <w:rsid w:val="00686918"/>
    <w:rsid w:val="006964BA"/>
    <w:rsid w:val="00696F28"/>
    <w:rsid w:val="006A5AD7"/>
    <w:rsid w:val="006A70D2"/>
    <w:rsid w:val="006A75D1"/>
    <w:rsid w:val="006B669A"/>
    <w:rsid w:val="006B78F5"/>
    <w:rsid w:val="006C0CEA"/>
    <w:rsid w:val="006C15C5"/>
    <w:rsid w:val="006C2D3C"/>
    <w:rsid w:val="006D02DE"/>
    <w:rsid w:val="006D33E4"/>
    <w:rsid w:val="006D37D1"/>
    <w:rsid w:val="006D665E"/>
    <w:rsid w:val="006E697E"/>
    <w:rsid w:val="00702C81"/>
    <w:rsid w:val="00711A63"/>
    <w:rsid w:val="0071297A"/>
    <w:rsid w:val="00723BB4"/>
    <w:rsid w:val="00732E28"/>
    <w:rsid w:val="0073448B"/>
    <w:rsid w:val="0073457A"/>
    <w:rsid w:val="00735185"/>
    <w:rsid w:val="0073601D"/>
    <w:rsid w:val="00736A76"/>
    <w:rsid w:val="0075214D"/>
    <w:rsid w:val="00752C6B"/>
    <w:rsid w:val="00763D8B"/>
    <w:rsid w:val="007663BD"/>
    <w:rsid w:val="0077674A"/>
    <w:rsid w:val="0078062D"/>
    <w:rsid w:val="00782C03"/>
    <w:rsid w:val="00782C65"/>
    <w:rsid w:val="00784FCD"/>
    <w:rsid w:val="007A64C2"/>
    <w:rsid w:val="007A72AE"/>
    <w:rsid w:val="007A74DF"/>
    <w:rsid w:val="007B1B1B"/>
    <w:rsid w:val="007B3C28"/>
    <w:rsid w:val="007B48AD"/>
    <w:rsid w:val="007B5102"/>
    <w:rsid w:val="007B71E5"/>
    <w:rsid w:val="007D1CED"/>
    <w:rsid w:val="007D4638"/>
    <w:rsid w:val="007D772D"/>
    <w:rsid w:val="007F0DF5"/>
    <w:rsid w:val="00801123"/>
    <w:rsid w:val="0080157C"/>
    <w:rsid w:val="008017CB"/>
    <w:rsid w:val="00803763"/>
    <w:rsid w:val="00814F24"/>
    <w:rsid w:val="00816220"/>
    <w:rsid w:val="00816DBD"/>
    <w:rsid w:val="00820F20"/>
    <w:rsid w:val="0082116C"/>
    <w:rsid w:val="00821DF8"/>
    <w:rsid w:val="00824517"/>
    <w:rsid w:val="00825754"/>
    <w:rsid w:val="008303C3"/>
    <w:rsid w:val="008328C1"/>
    <w:rsid w:val="00844C2D"/>
    <w:rsid w:val="0085042B"/>
    <w:rsid w:val="00851AEE"/>
    <w:rsid w:val="0085542E"/>
    <w:rsid w:val="00866849"/>
    <w:rsid w:val="00871AFA"/>
    <w:rsid w:val="00885223"/>
    <w:rsid w:val="008964F3"/>
    <w:rsid w:val="0089721C"/>
    <w:rsid w:val="0089728C"/>
    <w:rsid w:val="008C11A6"/>
    <w:rsid w:val="008C3BA5"/>
    <w:rsid w:val="00902EEE"/>
    <w:rsid w:val="00902F34"/>
    <w:rsid w:val="00903FBF"/>
    <w:rsid w:val="00910525"/>
    <w:rsid w:val="00922980"/>
    <w:rsid w:val="009231FD"/>
    <w:rsid w:val="009345F1"/>
    <w:rsid w:val="0094606A"/>
    <w:rsid w:val="00946F99"/>
    <w:rsid w:val="00947860"/>
    <w:rsid w:val="00956AAA"/>
    <w:rsid w:val="00956EE0"/>
    <w:rsid w:val="00961072"/>
    <w:rsid w:val="009667E0"/>
    <w:rsid w:val="0097182E"/>
    <w:rsid w:val="00974CE0"/>
    <w:rsid w:val="00981062"/>
    <w:rsid w:val="009871B5"/>
    <w:rsid w:val="00993C5A"/>
    <w:rsid w:val="009A0ED4"/>
    <w:rsid w:val="009A24ED"/>
    <w:rsid w:val="009A6B4F"/>
    <w:rsid w:val="009B45AE"/>
    <w:rsid w:val="009C1830"/>
    <w:rsid w:val="009D3149"/>
    <w:rsid w:val="009D7F1B"/>
    <w:rsid w:val="009E5417"/>
    <w:rsid w:val="009E750F"/>
    <w:rsid w:val="009F0CB2"/>
    <w:rsid w:val="009F3B9B"/>
    <w:rsid w:val="009F5753"/>
    <w:rsid w:val="00A02F4B"/>
    <w:rsid w:val="00A04D96"/>
    <w:rsid w:val="00A0629B"/>
    <w:rsid w:val="00A11938"/>
    <w:rsid w:val="00A13821"/>
    <w:rsid w:val="00A4091B"/>
    <w:rsid w:val="00A51E17"/>
    <w:rsid w:val="00A52E3A"/>
    <w:rsid w:val="00A54537"/>
    <w:rsid w:val="00A56CD9"/>
    <w:rsid w:val="00A77D9C"/>
    <w:rsid w:val="00A874C9"/>
    <w:rsid w:val="00A90A92"/>
    <w:rsid w:val="00A90D1B"/>
    <w:rsid w:val="00AB5A44"/>
    <w:rsid w:val="00AC3E34"/>
    <w:rsid w:val="00AD017E"/>
    <w:rsid w:val="00AD04B9"/>
    <w:rsid w:val="00AD483C"/>
    <w:rsid w:val="00AD6E38"/>
    <w:rsid w:val="00AD77E7"/>
    <w:rsid w:val="00AF195E"/>
    <w:rsid w:val="00AF2411"/>
    <w:rsid w:val="00B01206"/>
    <w:rsid w:val="00B1778A"/>
    <w:rsid w:val="00B20E87"/>
    <w:rsid w:val="00B25AE2"/>
    <w:rsid w:val="00B363D4"/>
    <w:rsid w:val="00B56838"/>
    <w:rsid w:val="00B63398"/>
    <w:rsid w:val="00B716F4"/>
    <w:rsid w:val="00B760FC"/>
    <w:rsid w:val="00B8383E"/>
    <w:rsid w:val="00B84602"/>
    <w:rsid w:val="00B93C00"/>
    <w:rsid w:val="00BA3C35"/>
    <w:rsid w:val="00BA549D"/>
    <w:rsid w:val="00BA6272"/>
    <w:rsid w:val="00BC093A"/>
    <w:rsid w:val="00BC1C8A"/>
    <w:rsid w:val="00BC4ACC"/>
    <w:rsid w:val="00BC5D5B"/>
    <w:rsid w:val="00BD7312"/>
    <w:rsid w:val="00BE0817"/>
    <w:rsid w:val="00BE75CD"/>
    <w:rsid w:val="00BE7752"/>
    <w:rsid w:val="00C025F0"/>
    <w:rsid w:val="00C04197"/>
    <w:rsid w:val="00C05ABA"/>
    <w:rsid w:val="00C06006"/>
    <w:rsid w:val="00C1415C"/>
    <w:rsid w:val="00C1475B"/>
    <w:rsid w:val="00C156C0"/>
    <w:rsid w:val="00C16A59"/>
    <w:rsid w:val="00C21621"/>
    <w:rsid w:val="00C217A8"/>
    <w:rsid w:val="00C24A74"/>
    <w:rsid w:val="00C44DB2"/>
    <w:rsid w:val="00C570F0"/>
    <w:rsid w:val="00C637B1"/>
    <w:rsid w:val="00C74AB5"/>
    <w:rsid w:val="00C80A93"/>
    <w:rsid w:val="00C84508"/>
    <w:rsid w:val="00C96C09"/>
    <w:rsid w:val="00CA23DE"/>
    <w:rsid w:val="00CA3DFC"/>
    <w:rsid w:val="00CB027C"/>
    <w:rsid w:val="00CB17EC"/>
    <w:rsid w:val="00CB2D70"/>
    <w:rsid w:val="00CB3421"/>
    <w:rsid w:val="00CB54D0"/>
    <w:rsid w:val="00CB58CD"/>
    <w:rsid w:val="00CC5829"/>
    <w:rsid w:val="00CD112C"/>
    <w:rsid w:val="00CD1866"/>
    <w:rsid w:val="00CD5925"/>
    <w:rsid w:val="00CD6C33"/>
    <w:rsid w:val="00CE557A"/>
    <w:rsid w:val="00CE775A"/>
    <w:rsid w:val="00CF0A74"/>
    <w:rsid w:val="00CF25A6"/>
    <w:rsid w:val="00CF3856"/>
    <w:rsid w:val="00D038A1"/>
    <w:rsid w:val="00D073AF"/>
    <w:rsid w:val="00D1410C"/>
    <w:rsid w:val="00D165C2"/>
    <w:rsid w:val="00D25DEE"/>
    <w:rsid w:val="00D2618D"/>
    <w:rsid w:val="00D3313B"/>
    <w:rsid w:val="00D34256"/>
    <w:rsid w:val="00D42C7C"/>
    <w:rsid w:val="00D441FE"/>
    <w:rsid w:val="00D50C7C"/>
    <w:rsid w:val="00D50F3C"/>
    <w:rsid w:val="00D57F79"/>
    <w:rsid w:val="00D6230C"/>
    <w:rsid w:val="00D6311A"/>
    <w:rsid w:val="00D64FAC"/>
    <w:rsid w:val="00D67B94"/>
    <w:rsid w:val="00D71DA3"/>
    <w:rsid w:val="00D74C58"/>
    <w:rsid w:val="00D74FDD"/>
    <w:rsid w:val="00D83D62"/>
    <w:rsid w:val="00D861C0"/>
    <w:rsid w:val="00D904F0"/>
    <w:rsid w:val="00D91378"/>
    <w:rsid w:val="00D918AF"/>
    <w:rsid w:val="00D92105"/>
    <w:rsid w:val="00D932E9"/>
    <w:rsid w:val="00DA030E"/>
    <w:rsid w:val="00DB306A"/>
    <w:rsid w:val="00DB6119"/>
    <w:rsid w:val="00DB7BF6"/>
    <w:rsid w:val="00DC301B"/>
    <w:rsid w:val="00DC4482"/>
    <w:rsid w:val="00DC6F78"/>
    <w:rsid w:val="00DD1408"/>
    <w:rsid w:val="00DD356D"/>
    <w:rsid w:val="00DD61C6"/>
    <w:rsid w:val="00DF0A91"/>
    <w:rsid w:val="00DF14DA"/>
    <w:rsid w:val="00DF365E"/>
    <w:rsid w:val="00DF607C"/>
    <w:rsid w:val="00E02444"/>
    <w:rsid w:val="00E06112"/>
    <w:rsid w:val="00E13811"/>
    <w:rsid w:val="00E22047"/>
    <w:rsid w:val="00E24D7F"/>
    <w:rsid w:val="00E2782B"/>
    <w:rsid w:val="00E34DC6"/>
    <w:rsid w:val="00E52D3B"/>
    <w:rsid w:val="00E5392F"/>
    <w:rsid w:val="00E55E49"/>
    <w:rsid w:val="00E6745A"/>
    <w:rsid w:val="00E75A18"/>
    <w:rsid w:val="00E775BE"/>
    <w:rsid w:val="00E7765A"/>
    <w:rsid w:val="00E77D8C"/>
    <w:rsid w:val="00E832AF"/>
    <w:rsid w:val="00E84012"/>
    <w:rsid w:val="00E87767"/>
    <w:rsid w:val="00E93AF5"/>
    <w:rsid w:val="00E946A1"/>
    <w:rsid w:val="00E9477D"/>
    <w:rsid w:val="00EA0724"/>
    <w:rsid w:val="00EA6251"/>
    <w:rsid w:val="00EB0C14"/>
    <w:rsid w:val="00EB5FF1"/>
    <w:rsid w:val="00EB6414"/>
    <w:rsid w:val="00EC3321"/>
    <w:rsid w:val="00EC44EB"/>
    <w:rsid w:val="00ED72FB"/>
    <w:rsid w:val="00EE31F2"/>
    <w:rsid w:val="00EE40B4"/>
    <w:rsid w:val="00EE55FD"/>
    <w:rsid w:val="00EE567C"/>
    <w:rsid w:val="00EE790A"/>
    <w:rsid w:val="00EF1B95"/>
    <w:rsid w:val="00EF2FE3"/>
    <w:rsid w:val="00EF3804"/>
    <w:rsid w:val="00F040F3"/>
    <w:rsid w:val="00F114E7"/>
    <w:rsid w:val="00F2352D"/>
    <w:rsid w:val="00F27C65"/>
    <w:rsid w:val="00F33810"/>
    <w:rsid w:val="00F42A66"/>
    <w:rsid w:val="00F46D71"/>
    <w:rsid w:val="00F501C2"/>
    <w:rsid w:val="00F530A9"/>
    <w:rsid w:val="00F5341C"/>
    <w:rsid w:val="00F548F3"/>
    <w:rsid w:val="00F60502"/>
    <w:rsid w:val="00F670B5"/>
    <w:rsid w:val="00F720A9"/>
    <w:rsid w:val="00F80A52"/>
    <w:rsid w:val="00F80C28"/>
    <w:rsid w:val="00F87694"/>
    <w:rsid w:val="00F90183"/>
    <w:rsid w:val="00F923AD"/>
    <w:rsid w:val="00F9446F"/>
    <w:rsid w:val="00F97AD7"/>
    <w:rsid w:val="00FA22F0"/>
    <w:rsid w:val="00FA2F70"/>
    <w:rsid w:val="00FA5A7B"/>
    <w:rsid w:val="00FA69C9"/>
    <w:rsid w:val="00FB4554"/>
    <w:rsid w:val="00FC35D9"/>
    <w:rsid w:val="00FC76A3"/>
    <w:rsid w:val="00FD00DC"/>
    <w:rsid w:val="00FE2D60"/>
    <w:rsid w:val="00FF3D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34"/>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 w:type="paragraph" w:styleId="IntenseQuote">
    <w:name w:val="Intense Quote"/>
    <w:basedOn w:val="Normal"/>
    <w:next w:val="Normal"/>
    <w:link w:val="IntenseQuoteChar"/>
    <w:uiPriority w:val="99"/>
    <w:rsid w:val="00E2782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99"/>
    <w:rsid w:val="00E2782B"/>
    <w:rPr>
      <w:rFonts w:ascii="Calibri" w:hAnsi="Calibri"/>
      <w:i/>
      <w:iCs/>
      <w:color w:val="4F81BD" w:themeColor="accent1"/>
    </w:rPr>
  </w:style>
  <w:style w:type="character" w:styleId="IntenseReference">
    <w:name w:val="Intense Reference"/>
    <w:basedOn w:val="DefaultParagraphFont"/>
    <w:uiPriority w:val="99"/>
    <w:rsid w:val="00E2782B"/>
    <w:rPr>
      <w:b/>
      <w:bCs/>
      <w:smallCaps/>
      <w:color w:val="4F81BD" w:themeColor="accent1"/>
      <w:spacing w:val="5"/>
    </w:rPr>
  </w:style>
  <w:style w:type="paragraph" w:styleId="TOC4">
    <w:name w:val="toc 4"/>
    <w:basedOn w:val="Normal"/>
    <w:next w:val="Normal"/>
    <w:autoRedefine/>
    <w:uiPriority w:val="39"/>
    <w:unhideWhenUsed/>
    <w:rsid w:val="00E2782B"/>
    <w:pPr>
      <w:spacing w:after="100" w:line="259" w:lineRule="auto"/>
      <w:ind w:left="660"/>
    </w:pPr>
    <w:rPr>
      <w:rFonts w:asciiTheme="minorHAnsi" w:eastAsiaTheme="minorEastAsia" w:hAnsiTheme="minorHAnsi" w:cstheme="minorBidi"/>
      <w:szCs w:val="22"/>
      <w:lang w:eastAsia="en-AU"/>
    </w:rPr>
  </w:style>
  <w:style w:type="paragraph" w:styleId="TOC5">
    <w:name w:val="toc 5"/>
    <w:basedOn w:val="Normal"/>
    <w:next w:val="Normal"/>
    <w:autoRedefine/>
    <w:uiPriority w:val="39"/>
    <w:unhideWhenUsed/>
    <w:rsid w:val="00E2782B"/>
    <w:pPr>
      <w:spacing w:after="100" w:line="259" w:lineRule="auto"/>
      <w:ind w:left="880"/>
    </w:pPr>
    <w:rPr>
      <w:rFonts w:asciiTheme="minorHAnsi" w:eastAsiaTheme="minorEastAsia" w:hAnsiTheme="minorHAnsi" w:cstheme="minorBidi"/>
      <w:szCs w:val="22"/>
      <w:lang w:eastAsia="en-AU"/>
    </w:rPr>
  </w:style>
  <w:style w:type="paragraph" w:styleId="TOC6">
    <w:name w:val="toc 6"/>
    <w:basedOn w:val="Normal"/>
    <w:next w:val="Normal"/>
    <w:autoRedefine/>
    <w:uiPriority w:val="39"/>
    <w:unhideWhenUsed/>
    <w:rsid w:val="00E2782B"/>
    <w:pPr>
      <w:spacing w:after="100" w:line="259" w:lineRule="auto"/>
      <w:ind w:left="1100"/>
    </w:pPr>
    <w:rPr>
      <w:rFonts w:asciiTheme="minorHAnsi" w:eastAsiaTheme="minorEastAsia" w:hAnsiTheme="minorHAnsi" w:cstheme="minorBidi"/>
      <w:szCs w:val="22"/>
      <w:lang w:eastAsia="en-AU"/>
    </w:rPr>
  </w:style>
  <w:style w:type="paragraph" w:styleId="TOC7">
    <w:name w:val="toc 7"/>
    <w:basedOn w:val="Normal"/>
    <w:next w:val="Normal"/>
    <w:autoRedefine/>
    <w:uiPriority w:val="39"/>
    <w:unhideWhenUsed/>
    <w:rsid w:val="00E2782B"/>
    <w:pPr>
      <w:spacing w:after="100" w:line="259" w:lineRule="auto"/>
      <w:ind w:left="1320"/>
    </w:pPr>
    <w:rPr>
      <w:rFonts w:asciiTheme="minorHAnsi" w:eastAsiaTheme="minorEastAsia" w:hAnsiTheme="minorHAnsi" w:cstheme="minorBidi"/>
      <w:szCs w:val="22"/>
      <w:lang w:eastAsia="en-AU"/>
    </w:rPr>
  </w:style>
  <w:style w:type="paragraph" w:styleId="TOC8">
    <w:name w:val="toc 8"/>
    <w:basedOn w:val="Normal"/>
    <w:next w:val="Normal"/>
    <w:autoRedefine/>
    <w:uiPriority w:val="39"/>
    <w:unhideWhenUsed/>
    <w:rsid w:val="00E2782B"/>
    <w:pPr>
      <w:spacing w:after="100" w:line="259" w:lineRule="auto"/>
      <w:ind w:left="1540"/>
    </w:pPr>
    <w:rPr>
      <w:rFonts w:asciiTheme="minorHAnsi" w:eastAsiaTheme="minorEastAsia" w:hAnsiTheme="minorHAnsi" w:cstheme="minorBidi"/>
      <w:szCs w:val="22"/>
      <w:lang w:eastAsia="en-AU"/>
    </w:rPr>
  </w:style>
  <w:style w:type="paragraph" w:styleId="TOC9">
    <w:name w:val="toc 9"/>
    <w:basedOn w:val="Normal"/>
    <w:next w:val="Normal"/>
    <w:autoRedefine/>
    <w:uiPriority w:val="39"/>
    <w:unhideWhenUsed/>
    <w:rsid w:val="00E2782B"/>
    <w:pPr>
      <w:spacing w:after="100" w:line="259" w:lineRule="auto"/>
      <w:ind w:left="1760"/>
    </w:pPr>
    <w:rPr>
      <w:rFonts w:asciiTheme="minorHAnsi" w:eastAsiaTheme="minorEastAsia" w:hAnsiTheme="minorHAnsi" w:cstheme="minorBidi"/>
      <w:szCs w:val="22"/>
      <w:lang w:eastAsia="en-AU"/>
    </w:rPr>
  </w:style>
  <w:style w:type="character" w:styleId="Emphasis">
    <w:name w:val="Emphasis"/>
    <w:basedOn w:val="DefaultParagraphFont"/>
    <w:uiPriority w:val="99"/>
    <w:rsid w:val="00E2782B"/>
    <w:rPr>
      <w:i/>
      <w:iCs/>
    </w:rPr>
  </w:style>
  <w:style w:type="numbering" w:customStyle="1" w:styleId="ACSC-Paras-Numbered">
    <w:name w:val="ACSC-Paras-Numbered"/>
    <w:rsid w:val="00E2782B"/>
    <w:pPr>
      <w:numPr>
        <w:numId w:val="18"/>
      </w:numPr>
    </w:pPr>
  </w:style>
  <w:style w:type="character" w:styleId="CommentReference">
    <w:name w:val="annotation reference"/>
    <w:basedOn w:val="DefaultParagraphFont"/>
    <w:uiPriority w:val="99"/>
    <w:semiHidden/>
    <w:unhideWhenUsed/>
    <w:rsid w:val="00E2782B"/>
    <w:rPr>
      <w:sz w:val="16"/>
      <w:szCs w:val="16"/>
    </w:rPr>
  </w:style>
  <w:style w:type="paragraph" w:styleId="CommentText">
    <w:name w:val="annotation text"/>
    <w:basedOn w:val="Normal"/>
    <w:link w:val="CommentTextChar"/>
    <w:uiPriority w:val="99"/>
    <w:unhideWhenUsed/>
    <w:rsid w:val="00E2782B"/>
    <w:pPr>
      <w:spacing w:after="240"/>
    </w:pPr>
  </w:style>
  <w:style w:type="character" w:customStyle="1" w:styleId="CommentTextChar">
    <w:name w:val="Comment Text Char"/>
    <w:basedOn w:val="DefaultParagraphFont"/>
    <w:link w:val="CommentText"/>
    <w:uiPriority w:val="99"/>
    <w:rsid w:val="00E2782B"/>
    <w:rPr>
      <w:rFonts w:ascii="Calibri" w:hAnsi="Calibri"/>
    </w:rPr>
  </w:style>
  <w:style w:type="paragraph" w:styleId="CommentSubject">
    <w:name w:val="annotation subject"/>
    <w:basedOn w:val="CommentText"/>
    <w:next w:val="CommentText"/>
    <w:link w:val="CommentSubjectChar"/>
    <w:uiPriority w:val="99"/>
    <w:semiHidden/>
    <w:unhideWhenUsed/>
    <w:rsid w:val="00E2782B"/>
    <w:rPr>
      <w:b/>
      <w:bCs/>
    </w:rPr>
  </w:style>
  <w:style w:type="character" w:customStyle="1" w:styleId="CommentSubjectChar">
    <w:name w:val="Comment Subject Char"/>
    <w:basedOn w:val="CommentTextChar"/>
    <w:link w:val="CommentSubject"/>
    <w:uiPriority w:val="99"/>
    <w:semiHidden/>
    <w:rsid w:val="00E2782B"/>
    <w:rPr>
      <w:rFonts w:ascii="Calibri" w:hAnsi="Calibri"/>
      <w:b/>
      <w:bCs/>
    </w:rPr>
  </w:style>
  <w:style w:type="paragraph" w:customStyle="1" w:styleId="Pa1">
    <w:name w:val="Pa1"/>
    <w:basedOn w:val="Normal"/>
    <w:next w:val="Normal"/>
    <w:uiPriority w:val="99"/>
    <w:rsid w:val="00E2782B"/>
    <w:pPr>
      <w:autoSpaceDE w:val="0"/>
      <w:autoSpaceDN w:val="0"/>
      <w:adjustRightInd w:val="0"/>
      <w:spacing w:after="0" w:line="201" w:lineRule="atLeast"/>
    </w:pPr>
    <w:rPr>
      <w:rFonts w:ascii="MrEavesXLModOTBook" w:hAnsi="MrEavesXLModOTBook"/>
      <w:sz w:val="24"/>
      <w:szCs w:val="24"/>
    </w:rPr>
  </w:style>
  <w:style w:type="character" w:customStyle="1" w:styleId="A2">
    <w:name w:val="A2"/>
    <w:uiPriority w:val="99"/>
    <w:rsid w:val="00E2782B"/>
    <w:rPr>
      <w:rFonts w:cs="MrEavesXLModOTBook"/>
      <w:color w:val="000000"/>
      <w:sz w:val="20"/>
      <w:szCs w:val="20"/>
      <w:u w:val="single"/>
    </w:rPr>
  </w:style>
  <w:style w:type="paragraph" w:customStyle="1" w:styleId="Pa2">
    <w:name w:val="Pa2"/>
    <w:basedOn w:val="Normal"/>
    <w:next w:val="Normal"/>
    <w:uiPriority w:val="99"/>
    <w:rsid w:val="00E2782B"/>
    <w:pPr>
      <w:autoSpaceDE w:val="0"/>
      <w:autoSpaceDN w:val="0"/>
      <w:adjustRightInd w:val="0"/>
      <w:spacing w:after="0" w:line="201" w:lineRule="atLeast"/>
    </w:pPr>
    <w:rPr>
      <w:rFonts w:ascii="MrEavesXLModOTBook" w:hAnsi="MrEavesXLModOTBook"/>
      <w:sz w:val="24"/>
      <w:szCs w:val="24"/>
    </w:rPr>
  </w:style>
  <w:style w:type="character" w:styleId="FollowedHyperlink">
    <w:name w:val="FollowedHyperlink"/>
    <w:basedOn w:val="DefaultParagraphFont"/>
    <w:uiPriority w:val="99"/>
    <w:semiHidden/>
    <w:unhideWhenUsed/>
    <w:rsid w:val="00E2782B"/>
    <w:rPr>
      <w:color w:val="800080" w:themeColor="followedHyperlink"/>
      <w:u w:val="single"/>
    </w:rPr>
  </w:style>
  <w:style w:type="paragraph" w:styleId="Revision">
    <w:name w:val="Revision"/>
    <w:hidden/>
    <w:uiPriority w:val="99"/>
    <w:semiHidden/>
    <w:rsid w:val="00E2782B"/>
    <w:rPr>
      <w:rFonts w:ascii="Calibri" w:hAnsi="Calibri"/>
    </w:rPr>
  </w:style>
  <w:style w:type="character" w:customStyle="1" w:styleId="UnresolvedMention">
    <w:name w:val="Unresolved Mention"/>
    <w:basedOn w:val="DefaultParagraphFont"/>
    <w:uiPriority w:val="99"/>
    <w:semiHidden/>
    <w:unhideWhenUsed/>
    <w:rsid w:val="00E27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6290">
      <w:bodyDiv w:val="1"/>
      <w:marLeft w:val="0"/>
      <w:marRight w:val="0"/>
      <w:marTop w:val="0"/>
      <w:marBottom w:val="0"/>
      <w:divBdr>
        <w:top w:val="none" w:sz="0" w:space="0" w:color="auto"/>
        <w:left w:val="none" w:sz="0" w:space="0" w:color="auto"/>
        <w:bottom w:val="none" w:sz="0" w:space="0" w:color="auto"/>
        <w:right w:val="none" w:sz="0" w:space="0" w:color="auto"/>
      </w:divBdr>
    </w:div>
    <w:div w:id="38284935">
      <w:bodyDiv w:val="1"/>
      <w:marLeft w:val="0"/>
      <w:marRight w:val="0"/>
      <w:marTop w:val="0"/>
      <w:marBottom w:val="0"/>
      <w:divBdr>
        <w:top w:val="none" w:sz="0" w:space="0" w:color="auto"/>
        <w:left w:val="none" w:sz="0" w:space="0" w:color="auto"/>
        <w:bottom w:val="none" w:sz="0" w:space="0" w:color="auto"/>
        <w:right w:val="none" w:sz="0" w:space="0" w:color="auto"/>
      </w:divBdr>
    </w:div>
    <w:div w:id="85687713">
      <w:bodyDiv w:val="1"/>
      <w:marLeft w:val="0"/>
      <w:marRight w:val="0"/>
      <w:marTop w:val="0"/>
      <w:marBottom w:val="0"/>
      <w:divBdr>
        <w:top w:val="none" w:sz="0" w:space="0" w:color="auto"/>
        <w:left w:val="none" w:sz="0" w:space="0" w:color="auto"/>
        <w:bottom w:val="none" w:sz="0" w:space="0" w:color="auto"/>
        <w:right w:val="none" w:sz="0" w:space="0" w:color="auto"/>
      </w:divBdr>
    </w:div>
    <w:div w:id="107507305">
      <w:bodyDiv w:val="1"/>
      <w:marLeft w:val="0"/>
      <w:marRight w:val="0"/>
      <w:marTop w:val="0"/>
      <w:marBottom w:val="0"/>
      <w:divBdr>
        <w:top w:val="none" w:sz="0" w:space="0" w:color="auto"/>
        <w:left w:val="none" w:sz="0" w:space="0" w:color="auto"/>
        <w:bottom w:val="none" w:sz="0" w:space="0" w:color="auto"/>
        <w:right w:val="none" w:sz="0" w:space="0" w:color="auto"/>
      </w:divBdr>
    </w:div>
    <w:div w:id="245068468">
      <w:bodyDiv w:val="1"/>
      <w:marLeft w:val="0"/>
      <w:marRight w:val="0"/>
      <w:marTop w:val="0"/>
      <w:marBottom w:val="0"/>
      <w:divBdr>
        <w:top w:val="none" w:sz="0" w:space="0" w:color="auto"/>
        <w:left w:val="none" w:sz="0" w:space="0" w:color="auto"/>
        <w:bottom w:val="none" w:sz="0" w:space="0" w:color="auto"/>
        <w:right w:val="none" w:sz="0" w:space="0" w:color="auto"/>
      </w:divBdr>
    </w:div>
    <w:div w:id="296254550">
      <w:bodyDiv w:val="1"/>
      <w:marLeft w:val="0"/>
      <w:marRight w:val="0"/>
      <w:marTop w:val="0"/>
      <w:marBottom w:val="0"/>
      <w:divBdr>
        <w:top w:val="none" w:sz="0" w:space="0" w:color="auto"/>
        <w:left w:val="none" w:sz="0" w:space="0" w:color="auto"/>
        <w:bottom w:val="none" w:sz="0" w:space="0" w:color="auto"/>
        <w:right w:val="none" w:sz="0" w:space="0" w:color="auto"/>
      </w:divBdr>
    </w:div>
    <w:div w:id="307364556">
      <w:bodyDiv w:val="1"/>
      <w:marLeft w:val="0"/>
      <w:marRight w:val="0"/>
      <w:marTop w:val="0"/>
      <w:marBottom w:val="0"/>
      <w:divBdr>
        <w:top w:val="none" w:sz="0" w:space="0" w:color="auto"/>
        <w:left w:val="none" w:sz="0" w:space="0" w:color="auto"/>
        <w:bottom w:val="none" w:sz="0" w:space="0" w:color="auto"/>
        <w:right w:val="none" w:sz="0" w:space="0" w:color="auto"/>
      </w:divBdr>
    </w:div>
    <w:div w:id="422991252">
      <w:bodyDiv w:val="1"/>
      <w:marLeft w:val="0"/>
      <w:marRight w:val="0"/>
      <w:marTop w:val="0"/>
      <w:marBottom w:val="0"/>
      <w:divBdr>
        <w:top w:val="none" w:sz="0" w:space="0" w:color="auto"/>
        <w:left w:val="none" w:sz="0" w:space="0" w:color="auto"/>
        <w:bottom w:val="none" w:sz="0" w:space="0" w:color="auto"/>
        <w:right w:val="none" w:sz="0" w:space="0" w:color="auto"/>
      </w:divBdr>
    </w:div>
    <w:div w:id="427652898">
      <w:bodyDiv w:val="1"/>
      <w:marLeft w:val="0"/>
      <w:marRight w:val="0"/>
      <w:marTop w:val="0"/>
      <w:marBottom w:val="0"/>
      <w:divBdr>
        <w:top w:val="none" w:sz="0" w:space="0" w:color="auto"/>
        <w:left w:val="none" w:sz="0" w:space="0" w:color="auto"/>
        <w:bottom w:val="none" w:sz="0" w:space="0" w:color="auto"/>
        <w:right w:val="none" w:sz="0" w:space="0" w:color="auto"/>
      </w:divBdr>
    </w:div>
    <w:div w:id="446123839">
      <w:bodyDiv w:val="1"/>
      <w:marLeft w:val="0"/>
      <w:marRight w:val="0"/>
      <w:marTop w:val="0"/>
      <w:marBottom w:val="0"/>
      <w:divBdr>
        <w:top w:val="none" w:sz="0" w:space="0" w:color="auto"/>
        <w:left w:val="none" w:sz="0" w:space="0" w:color="auto"/>
        <w:bottom w:val="none" w:sz="0" w:space="0" w:color="auto"/>
        <w:right w:val="none" w:sz="0" w:space="0" w:color="auto"/>
      </w:divBdr>
    </w:div>
    <w:div w:id="453602115">
      <w:bodyDiv w:val="1"/>
      <w:marLeft w:val="0"/>
      <w:marRight w:val="0"/>
      <w:marTop w:val="0"/>
      <w:marBottom w:val="0"/>
      <w:divBdr>
        <w:top w:val="none" w:sz="0" w:space="0" w:color="auto"/>
        <w:left w:val="none" w:sz="0" w:space="0" w:color="auto"/>
        <w:bottom w:val="none" w:sz="0" w:space="0" w:color="auto"/>
        <w:right w:val="none" w:sz="0" w:space="0" w:color="auto"/>
      </w:divBdr>
    </w:div>
    <w:div w:id="463889891">
      <w:bodyDiv w:val="1"/>
      <w:marLeft w:val="0"/>
      <w:marRight w:val="0"/>
      <w:marTop w:val="0"/>
      <w:marBottom w:val="0"/>
      <w:divBdr>
        <w:top w:val="none" w:sz="0" w:space="0" w:color="auto"/>
        <w:left w:val="none" w:sz="0" w:space="0" w:color="auto"/>
        <w:bottom w:val="none" w:sz="0" w:space="0" w:color="auto"/>
        <w:right w:val="none" w:sz="0" w:space="0" w:color="auto"/>
      </w:divBdr>
    </w:div>
    <w:div w:id="537203353">
      <w:bodyDiv w:val="1"/>
      <w:marLeft w:val="0"/>
      <w:marRight w:val="0"/>
      <w:marTop w:val="0"/>
      <w:marBottom w:val="0"/>
      <w:divBdr>
        <w:top w:val="none" w:sz="0" w:space="0" w:color="auto"/>
        <w:left w:val="none" w:sz="0" w:space="0" w:color="auto"/>
        <w:bottom w:val="none" w:sz="0" w:space="0" w:color="auto"/>
        <w:right w:val="none" w:sz="0" w:space="0" w:color="auto"/>
      </w:divBdr>
    </w:div>
    <w:div w:id="561521250">
      <w:bodyDiv w:val="1"/>
      <w:marLeft w:val="0"/>
      <w:marRight w:val="0"/>
      <w:marTop w:val="0"/>
      <w:marBottom w:val="0"/>
      <w:divBdr>
        <w:top w:val="none" w:sz="0" w:space="0" w:color="auto"/>
        <w:left w:val="none" w:sz="0" w:space="0" w:color="auto"/>
        <w:bottom w:val="none" w:sz="0" w:space="0" w:color="auto"/>
        <w:right w:val="none" w:sz="0" w:space="0" w:color="auto"/>
      </w:divBdr>
    </w:div>
    <w:div w:id="578171941">
      <w:bodyDiv w:val="1"/>
      <w:marLeft w:val="0"/>
      <w:marRight w:val="0"/>
      <w:marTop w:val="0"/>
      <w:marBottom w:val="0"/>
      <w:divBdr>
        <w:top w:val="none" w:sz="0" w:space="0" w:color="auto"/>
        <w:left w:val="none" w:sz="0" w:space="0" w:color="auto"/>
        <w:bottom w:val="none" w:sz="0" w:space="0" w:color="auto"/>
        <w:right w:val="none" w:sz="0" w:space="0" w:color="auto"/>
      </w:divBdr>
    </w:div>
    <w:div w:id="706222002">
      <w:bodyDiv w:val="1"/>
      <w:marLeft w:val="0"/>
      <w:marRight w:val="0"/>
      <w:marTop w:val="0"/>
      <w:marBottom w:val="0"/>
      <w:divBdr>
        <w:top w:val="none" w:sz="0" w:space="0" w:color="auto"/>
        <w:left w:val="none" w:sz="0" w:space="0" w:color="auto"/>
        <w:bottom w:val="none" w:sz="0" w:space="0" w:color="auto"/>
        <w:right w:val="none" w:sz="0" w:space="0" w:color="auto"/>
      </w:divBdr>
    </w:div>
    <w:div w:id="762844233">
      <w:bodyDiv w:val="1"/>
      <w:marLeft w:val="0"/>
      <w:marRight w:val="0"/>
      <w:marTop w:val="0"/>
      <w:marBottom w:val="0"/>
      <w:divBdr>
        <w:top w:val="none" w:sz="0" w:space="0" w:color="auto"/>
        <w:left w:val="none" w:sz="0" w:space="0" w:color="auto"/>
        <w:bottom w:val="none" w:sz="0" w:space="0" w:color="auto"/>
        <w:right w:val="none" w:sz="0" w:space="0" w:color="auto"/>
      </w:divBdr>
    </w:div>
    <w:div w:id="764155256">
      <w:bodyDiv w:val="1"/>
      <w:marLeft w:val="0"/>
      <w:marRight w:val="0"/>
      <w:marTop w:val="0"/>
      <w:marBottom w:val="0"/>
      <w:divBdr>
        <w:top w:val="none" w:sz="0" w:space="0" w:color="auto"/>
        <w:left w:val="none" w:sz="0" w:space="0" w:color="auto"/>
        <w:bottom w:val="none" w:sz="0" w:space="0" w:color="auto"/>
        <w:right w:val="none" w:sz="0" w:space="0" w:color="auto"/>
      </w:divBdr>
    </w:div>
    <w:div w:id="810709638">
      <w:bodyDiv w:val="1"/>
      <w:marLeft w:val="0"/>
      <w:marRight w:val="0"/>
      <w:marTop w:val="0"/>
      <w:marBottom w:val="0"/>
      <w:divBdr>
        <w:top w:val="none" w:sz="0" w:space="0" w:color="auto"/>
        <w:left w:val="none" w:sz="0" w:space="0" w:color="auto"/>
        <w:bottom w:val="none" w:sz="0" w:space="0" w:color="auto"/>
        <w:right w:val="none" w:sz="0" w:space="0" w:color="auto"/>
      </w:divBdr>
    </w:div>
    <w:div w:id="859780438">
      <w:bodyDiv w:val="1"/>
      <w:marLeft w:val="0"/>
      <w:marRight w:val="0"/>
      <w:marTop w:val="0"/>
      <w:marBottom w:val="0"/>
      <w:divBdr>
        <w:top w:val="none" w:sz="0" w:space="0" w:color="auto"/>
        <w:left w:val="none" w:sz="0" w:space="0" w:color="auto"/>
        <w:bottom w:val="none" w:sz="0" w:space="0" w:color="auto"/>
        <w:right w:val="none" w:sz="0" w:space="0" w:color="auto"/>
      </w:divBdr>
    </w:div>
    <w:div w:id="904069246">
      <w:bodyDiv w:val="1"/>
      <w:marLeft w:val="0"/>
      <w:marRight w:val="0"/>
      <w:marTop w:val="0"/>
      <w:marBottom w:val="0"/>
      <w:divBdr>
        <w:top w:val="none" w:sz="0" w:space="0" w:color="auto"/>
        <w:left w:val="none" w:sz="0" w:space="0" w:color="auto"/>
        <w:bottom w:val="none" w:sz="0" w:space="0" w:color="auto"/>
        <w:right w:val="none" w:sz="0" w:space="0" w:color="auto"/>
      </w:divBdr>
    </w:div>
    <w:div w:id="918558543">
      <w:bodyDiv w:val="1"/>
      <w:marLeft w:val="0"/>
      <w:marRight w:val="0"/>
      <w:marTop w:val="0"/>
      <w:marBottom w:val="0"/>
      <w:divBdr>
        <w:top w:val="none" w:sz="0" w:space="0" w:color="auto"/>
        <w:left w:val="none" w:sz="0" w:space="0" w:color="auto"/>
        <w:bottom w:val="none" w:sz="0" w:space="0" w:color="auto"/>
        <w:right w:val="none" w:sz="0" w:space="0" w:color="auto"/>
      </w:divBdr>
    </w:div>
    <w:div w:id="936257384">
      <w:bodyDiv w:val="1"/>
      <w:marLeft w:val="0"/>
      <w:marRight w:val="0"/>
      <w:marTop w:val="0"/>
      <w:marBottom w:val="0"/>
      <w:divBdr>
        <w:top w:val="none" w:sz="0" w:space="0" w:color="auto"/>
        <w:left w:val="none" w:sz="0" w:space="0" w:color="auto"/>
        <w:bottom w:val="none" w:sz="0" w:space="0" w:color="auto"/>
        <w:right w:val="none" w:sz="0" w:space="0" w:color="auto"/>
      </w:divBdr>
    </w:div>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250192195">
      <w:bodyDiv w:val="1"/>
      <w:marLeft w:val="0"/>
      <w:marRight w:val="0"/>
      <w:marTop w:val="0"/>
      <w:marBottom w:val="0"/>
      <w:divBdr>
        <w:top w:val="none" w:sz="0" w:space="0" w:color="auto"/>
        <w:left w:val="none" w:sz="0" w:space="0" w:color="auto"/>
        <w:bottom w:val="none" w:sz="0" w:space="0" w:color="auto"/>
        <w:right w:val="none" w:sz="0" w:space="0" w:color="auto"/>
      </w:divBdr>
    </w:div>
    <w:div w:id="1260599389">
      <w:bodyDiv w:val="1"/>
      <w:marLeft w:val="0"/>
      <w:marRight w:val="0"/>
      <w:marTop w:val="0"/>
      <w:marBottom w:val="0"/>
      <w:divBdr>
        <w:top w:val="none" w:sz="0" w:space="0" w:color="auto"/>
        <w:left w:val="none" w:sz="0" w:space="0" w:color="auto"/>
        <w:bottom w:val="none" w:sz="0" w:space="0" w:color="auto"/>
        <w:right w:val="none" w:sz="0" w:space="0" w:color="auto"/>
      </w:divBdr>
    </w:div>
    <w:div w:id="1306087692">
      <w:bodyDiv w:val="1"/>
      <w:marLeft w:val="0"/>
      <w:marRight w:val="0"/>
      <w:marTop w:val="0"/>
      <w:marBottom w:val="0"/>
      <w:divBdr>
        <w:top w:val="none" w:sz="0" w:space="0" w:color="auto"/>
        <w:left w:val="none" w:sz="0" w:space="0" w:color="auto"/>
        <w:bottom w:val="none" w:sz="0" w:space="0" w:color="auto"/>
        <w:right w:val="none" w:sz="0" w:space="0" w:color="auto"/>
      </w:divBdr>
    </w:div>
    <w:div w:id="1359309193">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392312833">
      <w:bodyDiv w:val="1"/>
      <w:marLeft w:val="0"/>
      <w:marRight w:val="0"/>
      <w:marTop w:val="0"/>
      <w:marBottom w:val="0"/>
      <w:divBdr>
        <w:top w:val="none" w:sz="0" w:space="0" w:color="auto"/>
        <w:left w:val="none" w:sz="0" w:space="0" w:color="auto"/>
        <w:bottom w:val="none" w:sz="0" w:space="0" w:color="auto"/>
        <w:right w:val="none" w:sz="0" w:space="0" w:color="auto"/>
      </w:divBdr>
    </w:div>
    <w:div w:id="1423987389">
      <w:bodyDiv w:val="1"/>
      <w:marLeft w:val="0"/>
      <w:marRight w:val="0"/>
      <w:marTop w:val="0"/>
      <w:marBottom w:val="0"/>
      <w:divBdr>
        <w:top w:val="none" w:sz="0" w:space="0" w:color="auto"/>
        <w:left w:val="none" w:sz="0" w:space="0" w:color="auto"/>
        <w:bottom w:val="none" w:sz="0" w:space="0" w:color="auto"/>
        <w:right w:val="none" w:sz="0" w:space="0" w:color="auto"/>
      </w:divBdr>
    </w:div>
    <w:div w:id="1443577197">
      <w:bodyDiv w:val="1"/>
      <w:marLeft w:val="0"/>
      <w:marRight w:val="0"/>
      <w:marTop w:val="0"/>
      <w:marBottom w:val="0"/>
      <w:divBdr>
        <w:top w:val="none" w:sz="0" w:space="0" w:color="auto"/>
        <w:left w:val="none" w:sz="0" w:space="0" w:color="auto"/>
        <w:bottom w:val="none" w:sz="0" w:space="0" w:color="auto"/>
        <w:right w:val="none" w:sz="0" w:space="0" w:color="auto"/>
      </w:divBdr>
    </w:div>
    <w:div w:id="1472943543">
      <w:bodyDiv w:val="1"/>
      <w:marLeft w:val="0"/>
      <w:marRight w:val="0"/>
      <w:marTop w:val="0"/>
      <w:marBottom w:val="0"/>
      <w:divBdr>
        <w:top w:val="none" w:sz="0" w:space="0" w:color="auto"/>
        <w:left w:val="none" w:sz="0" w:space="0" w:color="auto"/>
        <w:bottom w:val="none" w:sz="0" w:space="0" w:color="auto"/>
        <w:right w:val="none" w:sz="0" w:space="0" w:color="auto"/>
      </w:divBdr>
    </w:div>
    <w:div w:id="1490170767">
      <w:bodyDiv w:val="1"/>
      <w:marLeft w:val="0"/>
      <w:marRight w:val="0"/>
      <w:marTop w:val="0"/>
      <w:marBottom w:val="0"/>
      <w:divBdr>
        <w:top w:val="none" w:sz="0" w:space="0" w:color="auto"/>
        <w:left w:val="none" w:sz="0" w:space="0" w:color="auto"/>
        <w:bottom w:val="none" w:sz="0" w:space="0" w:color="auto"/>
        <w:right w:val="none" w:sz="0" w:space="0" w:color="auto"/>
      </w:divBdr>
    </w:div>
    <w:div w:id="1564483621">
      <w:bodyDiv w:val="1"/>
      <w:marLeft w:val="0"/>
      <w:marRight w:val="0"/>
      <w:marTop w:val="0"/>
      <w:marBottom w:val="0"/>
      <w:divBdr>
        <w:top w:val="none" w:sz="0" w:space="0" w:color="auto"/>
        <w:left w:val="none" w:sz="0" w:space="0" w:color="auto"/>
        <w:bottom w:val="none" w:sz="0" w:space="0" w:color="auto"/>
        <w:right w:val="none" w:sz="0" w:space="0" w:color="auto"/>
      </w:divBdr>
    </w:div>
    <w:div w:id="1581255685">
      <w:bodyDiv w:val="1"/>
      <w:marLeft w:val="0"/>
      <w:marRight w:val="0"/>
      <w:marTop w:val="0"/>
      <w:marBottom w:val="0"/>
      <w:divBdr>
        <w:top w:val="none" w:sz="0" w:space="0" w:color="auto"/>
        <w:left w:val="none" w:sz="0" w:space="0" w:color="auto"/>
        <w:bottom w:val="none" w:sz="0" w:space="0" w:color="auto"/>
        <w:right w:val="none" w:sz="0" w:space="0" w:color="auto"/>
      </w:divBdr>
    </w:div>
    <w:div w:id="159809614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33173473">
      <w:bodyDiv w:val="1"/>
      <w:marLeft w:val="0"/>
      <w:marRight w:val="0"/>
      <w:marTop w:val="0"/>
      <w:marBottom w:val="0"/>
      <w:divBdr>
        <w:top w:val="none" w:sz="0" w:space="0" w:color="auto"/>
        <w:left w:val="none" w:sz="0" w:space="0" w:color="auto"/>
        <w:bottom w:val="none" w:sz="0" w:space="0" w:color="auto"/>
        <w:right w:val="none" w:sz="0" w:space="0" w:color="auto"/>
      </w:divBdr>
    </w:div>
    <w:div w:id="1669480034">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 w:id="1701513779">
      <w:bodyDiv w:val="1"/>
      <w:marLeft w:val="0"/>
      <w:marRight w:val="0"/>
      <w:marTop w:val="0"/>
      <w:marBottom w:val="0"/>
      <w:divBdr>
        <w:top w:val="none" w:sz="0" w:space="0" w:color="auto"/>
        <w:left w:val="none" w:sz="0" w:space="0" w:color="auto"/>
        <w:bottom w:val="none" w:sz="0" w:space="0" w:color="auto"/>
        <w:right w:val="none" w:sz="0" w:space="0" w:color="auto"/>
      </w:divBdr>
    </w:div>
    <w:div w:id="1713312055">
      <w:bodyDiv w:val="1"/>
      <w:marLeft w:val="0"/>
      <w:marRight w:val="0"/>
      <w:marTop w:val="0"/>
      <w:marBottom w:val="0"/>
      <w:divBdr>
        <w:top w:val="none" w:sz="0" w:space="0" w:color="auto"/>
        <w:left w:val="none" w:sz="0" w:space="0" w:color="auto"/>
        <w:bottom w:val="none" w:sz="0" w:space="0" w:color="auto"/>
        <w:right w:val="none" w:sz="0" w:space="0" w:color="auto"/>
      </w:divBdr>
    </w:div>
    <w:div w:id="1733119414">
      <w:bodyDiv w:val="1"/>
      <w:marLeft w:val="0"/>
      <w:marRight w:val="0"/>
      <w:marTop w:val="0"/>
      <w:marBottom w:val="0"/>
      <w:divBdr>
        <w:top w:val="none" w:sz="0" w:space="0" w:color="auto"/>
        <w:left w:val="none" w:sz="0" w:space="0" w:color="auto"/>
        <w:bottom w:val="none" w:sz="0" w:space="0" w:color="auto"/>
        <w:right w:val="none" w:sz="0" w:space="0" w:color="auto"/>
      </w:divBdr>
    </w:div>
    <w:div w:id="1871797825">
      <w:bodyDiv w:val="1"/>
      <w:marLeft w:val="0"/>
      <w:marRight w:val="0"/>
      <w:marTop w:val="0"/>
      <w:marBottom w:val="0"/>
      <w:divBdr>
        <w:top w:val="none" w:sz="0" w:space="0" w:color="auto"/>
        <w:left w:val="none" w:sz="0" w:space="0" w:color="auto"/>
        <w:bottom w:val="none" w:sz="0" w:space="0" w:color="auto"/>
        <w:right w:val="none" w:sz="0" w:space="0" w:color="auto"/>
      </w:divBdr>
    </w:div>
    <w:div w:id="1888949682">
      <w:bodyDiv w:val="1"/>
      <w:marLeft w:val="0"/>
      <w:marRight w:val="0"/>
      <w:marTop w:val="0"/>
      <w:marBottom w:val="0"/>
      <w:divBdr>
        <w:top w:val="none" w:sz="0" w:space="0" w:color="auto"/>
        <w:left w:val="none" w:sz="0" w:space="0" w:color="auto"/>
        <w:bottom w:val="none" w:sz="0" w:space="0" w:color="auto"/>
        <w:right w:val="none" w:sz="0" w:space="0" w:color="auto"/>
      </w:divBdr>
    </w:div>
    <w:div w:id="19919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2021-05-24T06:16:00Z</dcterms:modified>
</cp:coreProperties>
</file>