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C55A11"/>
          <w:spacing w:val="20"/>
          <w:sz w:val="22"/>
          <w:szCs w:val="22"/>
        </w:rPr>
        <w:t xml:space="preserve">NEPOPS — DIGITAL MARKETING</w:t>
      </w:r>
    </w:p>
    <w:p>
      <w:pPr>
        <w:spacing w:after="240"/>
        <w:jc w:val="center"/>
      </w:pPr>
      <w:r>
        <w:rPr>
          <w:b/>
          <w:bCs/>
          <w:color w:val="1F3864"/>
          <w:sz w:val="40"/>
          <w:szCs w:val="40"/>
        </w:rPr>
        <w:t xml:space="preserve">MONTHLY MANAGEMENT 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21"/>
        <w:gridCol w:w="6739"/>
      </w:tblGrid>
      <w:tr>
        <w:trPr>
          <w:tblHeader/>
        </w:trPr>
        <w:tc>
          <w:tcPr>
            <w:tcW w:type="dxa" w:w="2621"/>
            <w:tcBorders>
              <w:top w:val="single" w:color="BFC9D9" w:sz="4"/>
              <w:left w:val="single" w:color="BFC9D9" w:sz="4"/>
              <w:bottom w:val="single" w:color="BFC9D9" w:sz="4"/>
              <w:right w:val="single" w:color="BFC9D9" w:sz="4"/>
            </w:tcBorders>
            <w:shd w:fill="1F3864" w:color="auto" w:val="clear"/>
            <w:tcMar>
              <w:top w:type="dxa" w:w="70"/>
              <w:left w:type="dxa" w:w="100"/>
              <w:bottom w:type="dxa" w:w="70"/>
              <w:right w:type="dxa" w:w="100"/>
            </w:tcMar>
            <w:vAlign w:val="center"/>
          </w:tcPr>
          <w:p>
            <w:pPr>
              <w:spacing w:line="260"/>
              <w:jc w:val="left"/>
            </w:pPr>
            <w:r>
              <w:rPr>
                <w:b/>
                <w:bCs/>
                <w:color w:val="FFFFFF"/>
                <w:sz w:val="19"/>
                <w:szCs w:val="19"/>
              </w:rPr>
              <w:t xml:space="preserve">Field</w:t>
            </w:r>
          </w:p>
        </w:tc>
        <w:tc>
          <w:tcPr>
            <w:tcW w:type="dxa" w:w="6739"/>
            <w:tcBorders>
              <w:top w:val="single" w:color="BFC9D9" w:sz="4"/>
              <w:left w:val="single" w:color="BFC9D9" w:sz="4"/>
              <w:bottom w:val="single" w:color="BFC9D9" w:sz="4"/>
              <w:right w:val="single" w:color="BFC9D9" w:sz="4"/>
            </w:tcBorders>
            <w:shd w:fill="1F3864" w:color="auto" w:val="clear"/>
            <w:tcMar>
              <w:top w:type="dxa" w:w="70"/>
              <w:left w:type="dxa" w:w="100"/>
              <w:bottom w:type="dxa" w:w="70"/>
              <w:right w:type="dxa" w:w="100"/>
            </w:tcMar>
            <w:vAlign w:val="center"/>
          </w:tcPr>
          <w:p>
            <w:pPr>
              <w:spacing w:line="260"/>
              <w:jc w:val="left"/>
            </w:pPr>
            <w:r>
              <w:rPr>
                <w:b/>
                <w:bCs/>
                <w:color w:val="FFFFFF"/>
                <w:sz w:val="19"/>
                <w:szCs w:val="19"/>
              </w:rPr>
              <w:t xml:space="preserve">Detail</w:t>
            </w:r>
          </w:p>
        </w:tc>
      </w:tr>
      <w:tr>
        <w:trPr>
          <w:cantSplit/>
        </w:trPr>
        <w:tc>
          <w:tcPr>
            <w:tcW w:type="dxa" w:w="2621"/>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left"/>
            </w:pPr>
            <w:r>
              <w:rPr>
                <w:b/>
                <w:bCs/>
                <w:color w:val="1F3864"/>
                <w:sz w:val="19"/>
                <w:szCs w:val="19"/>
              </w:rPr>
              <w:t xml:space="preserve">Period</w:t>
            </w:r>
          </w:p>
        </w:tc>
        <w:tc>
          <w:tcPr>
            <w:tcW w:type="dxa" w:w="6739"/>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left"/>
            </w:pPr>
            <w:r>
              <w:rPr>
                <w:color w:val="262626"/>
                <w:sz w:val="19"/>
                <w:szCs w:val="19"/>
              </w:rPr>
              <w:t xml:space="preserve">September 2026</w:t>
            </w:r>
          </w:p>
        </w:tc>
      </w:tr>
      <w:tr>
        <w:trPr>
          <w:cantSplit/>
        </w:trPr>
        <w:tc>
          <w:tcPr>
            <w:tcW w:type="dxa" w:w="2621"/>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left"/>
            </w:pPr>
            <w:r>
              <w:rPr>
                <w:b/>
                <w:bCs/>
                <w:color w:val="1F3864"/>
                <w:sz w:val="19"/>
                <w:szCs w:val="19"/>
              </w:rPr>
              <w:t xml:space="preserve">Area</w:t>
            </w:r>
          </w:p>
        </w:tc>
        <w:tc>
          <w:tcPr>
            <w:tcW w:type="dxa" w:w="6739"/>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left"/>
            </w:pPr>
            <w:r>
              <w:rPr>
                <w:color w:val="262626"/>
                <w:sz w:val="19"/>
                <w:szCs w:val="19"/>
              </w:rPr>
              <w:t xml:space="preserve">Marketing — NEPOPS</w:t>
            </w:r>
          </w:p>
        </w:tc>
      </w:tr>
      <w:tr>
        <w:trPr>
          <w:cantSplit/>
        </w:trPr>
        <w:tc>
          <w:tcPr>
            <w:tcW w:type="dxa" w:w="2621"/>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left"/>
            </w:pPr>
            <w:r>
              <w:rPr>
                <w:b/>
                <w:bCs/>
                <w:color w:val="1F3864"/>
                <w:sz w:val="19"/>
                <w:szCs w:val="19"/>
              </w:rPr>
              <w:t xml:space="preserve">Responsible supervisor</w:t>
            </w:r>
          </w:p>
        </w:tc>
        <w:tc>
          <w:tcPr>
            <w:tcW w:type="dxa" w:w="6739"/>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left"/>
            </w:pPr>
            <w:r>
              <w:rPr>
                <w:color w:val="262626"/>
                <w:sz w:val="19"/>
                <w:szCs w:val="19"/>
              </w:rPr>
              <w:t xml:space="preserve">Prerana Subedi</w:t>
            </w:r>
          </w:p>
        </w:tc>
      </w:tr>
      <w:tr>
        <w:trPr>
          <w:cantSplit/>
        </w:trPr>
        <w:tc>
          <w:tcPr>
            <w:tcW w:type="dxa" w:w="2621"/>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left"/>
            </w:pPr>
            <w:r>
              <w:rPr>
                <w:b/>
                <w:bCs/>
                <w:color w:val="1F3864"/>
                <w:sz w:val="19"/>
                <w:szCs w:val="19"/>
              </w:rPr>
              <w:t xml:space="preserve">Clients / projects</w:t>
            </w:r>
          </w:p>
        </w:tc>
        <w:tc>
          <w:tcPr>
            <w:tcW w:type="dxa" w:w="6739"/>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left"/>
            </w:pPr>
            <w:r>
              <w:rPr>
                <w:color w:val="262626"/>
                <w:sz w:val="19"/>
                <w:szCs w:val="19"/>
              </w:rPr>
              <w:t xml:space="preserve">Pensiones México · MÉVIAL</w:t>
            </w:r>
          </w:p>
        </w:tc>
      </w:tr>
      <w:tr>
        <w:trPr>
          <w:cantSplit/>
        </w:trPr>
        <w:tc>
          <w:tcPr>
            <w:tcW w:type="dxa" w:w="2621"/>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left"/>
            </w:pPr>
            <w:r>
              <w:rPr>
                <w:b/>
                <w:bCs/>
                <w:color w:val="1F3864"/>
                <w:sz w:val="19"/>
                <w:szCs w:val="19"/>
              </w:rPr>
              <w:t xml:space="preserve">Purpose of the report</w:t>
            </w:r>
          </w:p>
        </w:tc>
        <w:tc>
          <w:tcPr>
            <w:tcW w:type="dxa" w:w="6739"/>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left"/>
            </w:pPr>
            <w:r>
              <w:rPr>
                <w:color w:val="262626"/>
                <w:sz w:val="19"/>
                <w:szCs w:val="19"/>
              </w:rPr>
              <w:t xml:space="preserve">To report what was done, what results were achieved, how the area evolved compared with the previous month, what is currently in progress, and the objectives for the following month.</w:t>
            </w:r>
          </w:p>
        </w:tc>
      </w:tr>
    </w:tbl>
    <w:p>
      <w:pPr>
        <w:spacing w:after="80"/>
      </w:pPr>
    </w:p>
    <w:p>
      <w:pPr>
        <w:spacing w:after="200" w:before="60"/>
      </w:pPr>
      <w:r>
        <w:rPr>
          <w:i/>
          <w:iCs/>
          <w:color w:val="595959"/>
          <w:sz w:val="18"/>
          <w:szCs w:val="18"/>
        </w:rPr>
        <w:t xml:space="preserve">Figures marked “calc.” are calculated from the reported figures.</w:t>
      </w:r>
    </w:p>
    <w:p>
      <w:pPr>
        <w:pStyle w:val="Heading2"/>
      </w:pPr>
      <w:r>
        <w:t xml:space="preserve">Executive summary</w:t>
      </w:r>
    </w:p>
    <w:p>
      <w:pPr>
        <w:pStyle w:val="ListParagraph"/>
        <w:numPr>
          <w:ilvl w:val="0"/>
          <w:numId w:val="2"/>
        </w:numPr>
        <w:spacing w:after="80" w:line="276"/>
      </w:pPr>
      <w:r>
        <w:rPr>
          <w:b/>
          <w:bCs/>
        </w:rPr>
        <w:t xml:space="preserve">Volume fell again at Pensiones México:</w:t>
      </w:r>
      <w:r>
        <w:t xml:space="preserve"> messages 4,489 → 3,769 (-16.0%), assigned 40 → 22 (-45.0%), closures 8 → 3 (-62.5%).</w:t>
      </w:r>
    </w:p>
    <w:p>
      <w:pPr>
        <w:pStyle w:val="ListParagraph"/>
        <w:numPr>
          <w:ilvl w:val="0"/>
          <w:numId w:val="2"/>
        </w:numPr>
        <w:spacing w:after="80" w:line="276"/>
      </w:pPr>
      <w:r>
        <w:rPr>
          <w:b/>
          <w:bCs/>
        </w:rPr>
        <w:t xml:space="preserve">Spend fell 12.9%</w:t>
      </w:r>
      <w:r>
        <w:t xml:space="preserve"> ($49,520 → $43,146.05, calc.), while impressions fell 19.7% and reach 18.6%. Cost per 1,000 impressions rose from $48.21 to $52.29 (+8.5%, calc.).</w:t>
      </w:r>
    </w:p>
    <w:p>
      <w:pPr>
        <w:pStyle w:val="ListParagraph"/>
        <w:numPr>
          <w:ilvl w:val="0"/>
          <w:numId w:val="2"/>
        </w:numPr>
        <w:spacing w:after="80" w:line="276"/>
      </w:pPr>
      <w:r>
        <w:rPr>
          <w:b/>
          <w:bCs/>
        </w:rPr>
        <w:t xml:space="preserve">Cost per message held roughly flat</w:t>
      </w:r>
      <w:r>
        <w:t xml:space="preserve"> ($11.03 → $11.45, +3.8%), but cost per assigned rose 58.4% ($1,238 → $1,961) and cost per closure 132.3% ($6,190 → $14,382), all calc.</w:t>
      </w:r>
    </w:p>
    <w:p>
      <w:pPr>
        <w:pStyle w:val="ListParagraph"/>
        <w:numPr>
          <w:ilvl w:val="0"/>
          <w:numId w:val="2"/>
        </w:numPr>
        <w:spacing w:after="80" w:line="276"/>
      </w:pPr>
      <w:r>
        <w:rPr>
          <w:b/>
          <w:bCs/>
        </w:rPr>
        <w:t xml:space="preserve">Conversion weakened at both downstream stages:</w:t>
      </w:r>
      <w:r>
        <w:t xml:space="preserve"> message → assigned 0.89% → 0.58% and assigned → closure 20.0% → 13.6% (calc.). In August only the first stage had declined.</w:t>
      </w:r>
    </w:p>
    <w:p>
      <w:pPr>
        <w:pStyle w:val="ListParagraph"/>
        <w:numPr>
          <w:ilvl w:val="0"/>
          <w:numId w:val="2"/>
        </w:numPr>
        <w:spacing w:after="80" w:line="276"/>
      </w:pPr>
      <w:r>
        <w:rPr>
          <w:b/>
          <w:bCs/>
        </w:rPr>
        <w:t xml:space="preserve">Campaign results diverged:</w:t>
      </w:r>
      <w:r>
        <w:t xml:space="preserve"> PAM (+3.0%) and Pensionate (+10.2%) were the only campaigns to increase messages, and both lowered their cost per message. Barcco (-30.9%) and Retiro Vertical (-30.2%) had the largest declines.</w:t>
      </w:r>
    </w:p>
    <w:p>
      <w:pPr>
        <w:pStyle w:val="ListParagraph"/>
        <w:numPr>
          <w:ilvl w:val="0"/>
          <w:numId w:val="2"/>
        </w:numPr>
        <w:spacing w:after="80" w:line="276"/>
      </w:pPr>
      <w:r>
        <w:rPr>
          <w:b/>
          <w:bCs/>
        </w:rPr>
        <w:t xml:space="preserve">August's volume objective was met:</w:t>
      </w:r>
      <w:r>
        <w:t xml:space="preserve"> at least 40% of July's messages (~2,400) was required; September's 3,769 equal 62.2% of July (calc.).</w:t>
      </w:r>
    </w:p>
    <w:p>
      <w:pPr>
        <w:pStyle w:val="ListParagraph"/>
        <w:numPr>
          <w:ilvl w:val="0"/>
          <w:numId w:val="2"/>
        </w:numPr>
        <w:spacing w:after="80" w:line="276"/>
      </w:pPr>
      <w:r>
        <w:rPr>
          <w:b/>
          <w:bCs/>
        </w:rPr>
        <w:t xml:space="preserve">Mid-month reset:</w:t>
      </w:r>
      <w:r>
        <w:t xml:space="preserve"> from 15 September, campaigns were returned as far as possible to their July geographic and creative configuration. The team observed a significant improvement in message volume afterwards; this has not yet been quantified.</w:t>
      </w:r>
    </w:p>
    <w:p>
      <w:pPr>
        <w:pStyle w:val="ListParagraph"/>
        <w:numPr>
          <w:ilvl w:val="0"/>
          <w:numId w:val="2"/>
        </w:numPr>
        <w:spacing w:after="80" w:line="276"/>
      </w:pPr>
      <w:r>
        <w:rPr>
          <w:b/>
          <w:bCs/>
        </w:rPr>
        <w:t xml:space="preserve">Operational issues:</w:t>
      </w:r>
      <w:r>
        <w:t xml:space="preserve"> GHL configuration (seven Meta business portfolios could not be managed in one sub-account and were split into four advisor sub-accounts); the PAM page, which sat in a personal portfolio, was transferred to a business portfolio with a new ad account.</w:t>
      </w:r>
    </w:p>
    <w:p>
      <w:pPr>
        <w:pStyle w:val="ListParagraph"/>
        <w:numPr>
          <w:ilvl w:val="0"/>
          <w:numId w:val="2"/>
        </w:numPr>
        <w:spacing w:after="80" w:line="276"/>
      </w:pPr>
      <w:r>
        <w:rPr>
          <w:b/>
          <w:bCs/>
        </w:rPr>
        <w:t xml:space="preserve">New campaign:</w:t>
      </w:r>
      <w:r>
        <w:t xml:space="preserve"> Prosperar launched in Guadalajara on 21 September (62 messages, $1,040.32).</w:t>
      </w:r>
    </w:p>
    <w:p>
      <w:pPr>
        <w:pStyle w:val="ListParagraph"/>
        <w:numPr>
          <w:ilvl w:val="0"/>
          <w:numId w:val="2"/>
        </w:numPr>
        <w:spacing w:after="80" w:line="276"/>
      </w:pPr>
      <w:r>
        <w:rPr>
          <w:b/>
          <w:bCs/>
        </w:rPr>
        <w:t xml:space="preserve">MÉVIAL:</w:t>
      </w:r>
      <w:r>
        <w:t xml:space="preserve"> the campaign stayed active without changes. Landing page views fell to 2,922 (-18.3%) at a higher cost per view (€0.070 → €0.103). Of 2,096 users who started the diagnostic, 2 reached step 2 and none completed it.</w:t>
      </w:r>
    </w:p>
    <w:p>
      <w:pPr>
        <w:pStyle w:val="Heading1"/>
      </w:pPr>
      <w:r>
        <w:t xml:space="preserve">1. What did we do during September?</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08"/>
        <w:gridCol w:w="6552"/>
      </w:tblGrid>
      <w:tr>
        <w:trPr>
          <w:tblHeader/>
        </w:trPr>
        <w:tc>
          <w:tcPr>
            <w:tcW w:type="dxa" w:w="2808"/>
            <w:tcBorders>
              <w:top w:val="single" w:color="BFC9D9" w:sz="4"/>
              <w:left w:val="single" w:color="BFC9D9" w:sz="4"/>
              <w:bottom w:val="single" w:color="BFC9D9" w:sz="4"/>
              <w:right w:val="single" w:color="BFC9D9" w:sz="4"/>
            </w:tcBorders>
            <w:shd w:fill="1F3864" w:color="auto" w:val="clear"/>
            <w:tcMar>
              <w:top w:type="dxa" w:w="70"/>
              <w:left w:type="dxa" w:w="100"/>
              <w:bottom w:type="dxa" w:w="70"/>
              <w:right w:type="dxa" w:w="100"/>
            </w:tcMar>
            <w:vAlign w:val="center"/>
          </w:tcPr>
          <w:p>
            <w:pPr>
              <w:spacing w:line="260"/>
              <w:jc w:val="left"/>
            </w:pPr>
            <w:r>
              <w:rPr>
                <w:b/>
                <w:bCs/>
                <w:color w:val="FFFFFF"/>
                <w:sz w:val="19"/>
                <w:szCs w:val="19"/>
              </w:rPr>
              <w:t xml:space="preserve">Activity indicator</w:t>
            </w:r>
          </w:p>
        </w:tc>
        <w:tc>
          <w:tcPr>
            <w:tcW w:type="dxa" w:w="6552"/>
            <w:tcBorders>
              <w:top w:val="single" w:color="BFC9D9" w:sz="4"/>
              <w:left w:val="single" w:color="BFC9D9" w:sz="4"/>
              <w:bottom w:val="single" w:color="BFC9D9" w:sz="4"/>
              <w:right w:val="single" w:color="BFC9D9" w:sz="4"/>
            </w:tcBorders>
            <w:shd w:fill="1F3864" w:color="auto" w:val="clear"/>
            <w:tcMar>
              <w:top w:type="dxa" w:w="70"/>
              <w:left w:type="dxa" w:w="100"/>
              <w:bottom w:type="dxa" w:w="70"/>
              <w:right w:type="dxa" w:w="100"/>
            </w:tcMar>
            <w:vAlign w:val="center"/>
          </w:tcPr>
          <w:p>
            <w:pPr>
              <w:spacing w:line="260"/>
              <w:jc w:val="left"/>
            </w:pPr>
            <w:r>
              <w:rPr>
                <w:b/>
                <w:bCs/>
                <w:color w:val="FFFFFF"/>
                <w:sz w:val="19"/>
                <w:szCs w:val="19"/>
              </w:rPr>
              <w:t xml:space="preserve">September 2026</w:t>
            </w:r>
          </w:p>
        </w:tc>
      </w:tr>
      <w:tr>
        <w:trPr>
          <w:cantSplit/>
        </w:trPr>
        <w:tc>
          <w:tcPr>
            <w:tcW w:type="dxa" w:w="2808"/>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left"/>
            </w:pPr>
            <w:r>
              <w:rPr>
                <w:b/>
                <w:bCs/>
                <w:color w:val="1F3864"/>
                <w:sz w:val="19"/>
                <w:szCs w:val="19"/>
              </w:rPr>
              <w:t xml:space="preserve">Campaigns active / launched</w:t>
            </w:r>
          </w:p>
        </w:tc>
        <w:tc>
          <w:tcPr>
            <w:tcW w:type="dxa" w:w="6552"/>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left"/>
            </w:pPr>
            <w:r>
              <w:rPr>
                <w:color w:val="262626"/>
                <w:sz w:val="19"/>
                <w:szCs w:val="19"/>
              </w:rPr>
              <w:t xml:space="preserve">8 in total: 7 at Pensiones México (Pensión 360, Pensionate, Nosotros, Retiro Vertical, Barcco, PAM and Prosperar) + 1 MÉVIAL campaign.</w:t>
            </w:r>
          </w:p>
        </w:tc>
      </w:tr>
      <w:tr>
        <w:trPr>
          <w:cantSplit/>
        </w:trPr>
        <w:tc>
          <w:tcPr>
            <w:tcW w:type="dxa" w:w="2808"/>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left"/>
            </w:pPr>
            <w:r>
              <w:rPr>
                <w:b/>
                <w:bCs/>
                <w:color w:val="1F3864"/>
                <w:sz w:val="19"/>
                <w:szCs w:val="19"/>
              </w:rPr>
              <w:t xml:space="preserve">Videos / Reels</w:t>
            </w:r>
          </w:p>
        </w:tc>
        <w:tc>
          <w:tcPr>
            <w:tcW w:type="dxa" w:w="6552"/>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left"/>
            </w:pPr>
            <w:r>
              <w:rPr>
                <w:color w:val="262626"/>
                <w:sz w:val="19"/>
                <w:szCs w:val="19"/>
              </w:rPr>
              <w:t xml:space="preserve">14 in total: 12 for Pensiones México (1 organic) and 2 promotional videos prepared for MÉVIAL.</w:t>
            </w:r>
          </w:p>
        </w:tc>
      </w:tr>
      <w:tr>
        <w:trPr>
          <w:cantSplit/>
        </w:trPr>
        <w:tc>
          <w:tcPr>
            <w:tcW w:type="dxa" w:w="2808"/>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left"/>
            </w:pPr>
            <w:r>
              <w:rPr>
                <w:b/>
                <w:bCs/>
                <w:color w:val="1F3864"/>
                <w:sz w:val="19"/>
                <w:szCs w:val="19"/>
              </w:rPr>
              <w:t xml:space="preserve">Posts and designs</w:t>
            </w:r>
          </w:p>
        </w:tc>
        <w:tc>
          <w:tcPr>
            <w:tcW w:type="dxa" w:w="6552"/>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left"/>
            </w:pPr>
            <w:r>
              <w:rPr>
                <w:color w:val="262626"/>
                <w:sz w:val="19"/>
                <w:szCs w:val="19"/>
              </w:rPr>
              <w:t xml:space="preserve">7 paid posts, 5 carousels and 45 organic posts.</w:t>
            </w:r>
          </w:p>
        </w:tc>
      </w:tr>
      <w:tr>
        <w:trPr>
          <w:cantSplit/>
        </w:trPr>
        <w:tc>
          <w:tcPr>
            <w:tcW w:type="dxa" w:w="2808"/>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left"/>
            </w:pPr>
            <w:r>
              <w:rPr>
                <w:b/>
                <w:bCs/>
                <w:color w:val="1F3864"/>
                <w:sz w:val="19"/>
                <w:szCs w:val="19"/>
              </w:rPr>
              <w:t xml:space="preserve">Other actions</w:t>
            </w:r>
          </w:p>
        </w:tc>
        <w:tc>
          <w:tcPr>
            <w:tcW w:type="dxa" w:w="6552"/>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left"/>
            </w:pPr>
            <w:r>
              <w:rPr>
                <w:color w:val="262626"/>
                <w:sz w:val="19"/>
                <w:szCs w:val="19"/>
              </w:rPr>
              <w:t xml:space="preserve">GHL sub-account setup per advisor; new business portfolio and ad account for PAM; restructuring rounds on 4, 15, 21 and 28–29 Sep; Retiro Vertical verification and relaunch; Barcco switched to WhatsApp Business (WABA) on 29 Sep.</w:t>
            </w:r>
          </w:p>
        </w:tc>
      </w:tr>
    </w:tbl>
    <w:p>
      <w:pPr>
        <w:spacing w:after="80"/>
      </w:pPr>
    </w:p>
    <w:p>
      <w:pPr>
        <w:pStyle w:val="Heading3"/>
      </w:pPr>
      <w:r>
        <w:t xml:space="preserve">Detail of the work carried out</w:t>
      </w:r>
    </w:p>
    <w:p>
      <w:pPr>
        <w:pStyle w:val="ListParagraph"/>
        <w:numPr>
          <w:ilvl w:val="0"/>
          <w:numId w:val="2"/>
        </w:numPr>
        <w:spacing w:after="80" w:line="276"/>
      </w:pPr>
      <w:r>
        <w:rPr>
          <w:b/>
          <w:bCs/>
        </w:rPr>
        <w:t xml:space="preserve">Pensiones México — campaign restructuring.</w:t>
      </w:r>
      <w:r>
        <w:t xml:space="preserve"> Geographic expansion on 4 Sep, a return to the July configuration on 15 Sep, age range raised to 60–65+ and location refinement on 21 Sep, new Reels on 25 Sep, and new campaigns and ad-set changes on 28–29 Sep.</w:t>
      </w:r>
    </w:p>
    <w:p>
      <w:pPr>
        <w:pStyle w:val="ListParagraph"/>
        <w:numPr>
          <w:ilvl w:val="0"/>
          <w:numId w:val="2"/>
        </w:numPr>
        <w:spacing w:after="80" w:line="276"/>
      </w:pPr>
      <w:r>
        <w:rPr>
          <w:b/>
          <w:bCs/>
        </w:rPr>
        <w:t xml:space="preserve">New campaign.</w:t>
      </w:r>
      <w:r>
        <w:t xml:space="preserve"> Prosperar launched in Guadalajara on 21 Sep (one circle, one Reel, one post).</w:t>
      </w:r>
    </w:p>
    <w:p>
      <w:pPr>
        <w:pStyle w:val="ListParagraph"/>
        <w:numPr>
          <w:ilvl w:val="0"/>
          <w:numId w:val="2"/>
        </w:numPr>
        <w:spacing w:after="80" w:line="276"/>
      </w:pPr>
      <w:r>
        <w:rPr>
          <w:b/>
          <w:bCs/>
        </w:rPr>
        <w:t xml:space="preserve">GHL implementation.</w:t>
      </w:r>
      <w:r>
        <w:t xml:space="preserve"> Sub-accounts reorganized into four, one per advisor's Facebook account and business page. Technical help from Andres and Lorgio for a long-term solution.</w:t>
      </w:r>
    </w:p>
    <w:p>
      <w:pPr>
        <w:pStyle w:val="ListParagraph"/>
        <w:numPr>
          <w:ilvl w:val="0"/>
          <w:numId w:val="2"/>
        </w:numPr>
        <w:spacing w:after="80" w:line="276"/>
      </w:pPr>
      <w:r>
        <w:rPr>
          <w:b/>
          <w:bCs/>
        </w:rPr>
        <w:t xml:space="preserve">Content production.</w:t>
      </w:r>
      <w:r>
        <w:t xml:space="preserve"> 12 videos for Pensiones México, 2 promotional videos for MÉVIAL, 7 paid posts, 5 carousels and 45 organic posts. Advisor Reels were introduced in Retiro Vertical, Barcco and PAM.</w:t>
      </w:r>
    </w:p>
    <w:p>
      <w:pPr>
        <w:pStyle w:val="ListParagraph"/>
        <w:numPr>
          <w:ilvl w:val="0"/>
          <w:numId w:val="2"/>
        </w:numPr>
        <w:spacing w:after="80" w:line="276"/>
      </w:pPr>
      <w:r>
        <w:rPr>
          <w:b/>
          <w:bCs/>
        </w:rPr>
        <w:t xml:space="preserve">Monitoring.</w:t>
      </w:r>
      <w:r>
        <w:t xml:space="preserve"> The Mexico campaigns are analyzed daily, with new promotional and organic material produced alongside.</w:t>
      </w:r>
    </w:p>
    <w:p>
      <w:pPr>
        <w:pStyle w:val="Heading1"/>
      </w:pPr>
      <w:r>
        <w:t xml:space="preserve">2. Clients / projects</w:t>
      </w:r>
    </w:p>
    <w:p>
      <w:pPr>
        <w:pStyle w:val="Heading2"/>
      </w:pPr>
      <w:r>
        <w:t xml:space="preserve">A. Pensiones México</w:t>
      </w:r>
    </w:p>
    <w:p>
      <w:pPr>
        <w:pStyle w:val="Heading3"/>
      </w:pPr>
      <w:r>
        <w:t xml:space="preserve">What did we do during September?</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10"/>
        <w:gridCol w:w="8050"/>
      </w:tblGrid>
      <w:tr>
        <w:trPr>
          <w:tblHeader/>
        </w:trPr>
        <w:tc>
          <w:tcPr>
            <w:tcW w:type="dxa" w:w="1310"/>
            <w:tcBorders>
              <w:top w:val="single" w:color="BFC9D9" w:sz="4"/>
              <w:left w:val="single" w:color="BFC9D9" w:sz="4"/>
              <w:bottom w:val="single" w:color="BFC9D9" w:sz="4"/>
              <w:right w:val="single" w:color="BFC9D9" w:sz="4"/>
            </w:tcBorders>
            <w:shd w:fill="1F3864" w:color="auto" w:val="clear"/>
            <w:tcMar>
              <w:top w:type="dxa" w:w="70"/>
              <w:left w:type="dxa" w:w="100"/>
              <w:bottom w:type="dxa" w:w="70"/>
              <w:right w:type="dxa" w:w="100"/>
            </w:tcMar>
            <w:vAlign w:val="center"/>
          </w:tcPr>
          <w:p>
            <w:pPr>
              <w:spacing w:line="260"/>
              <w:jc w:val="left"/>
            </w:pPr>
            <w:r>
              <w:rPr>
                <w:b/>
                <w:bCs/>
                <w:color w:val="FFFFFF"/>
                <w:sz w:val="19"/>
                <w:szCs w:val="19"/>
              </w:rPr>
              <w:t xml:space="preserve">Date</w:t>
            </w:r>
          </w:p>
        </w:tc>
        <w:tc>
          <w:tcPr>
            <w:tcW w:type="dxa" w:w="8050"/>
            <w:tcBorders>
              <w:top w:val="single" w:color="BFC9D9" w:sz="4"/>
              <w:left w:val="single" w:color="BFC9D9" w:sz="4"/>
              <w:bottom w:val="single" w:color="BFC9D9" w:sz="4"/>
              <w:right w:val="single" w:color="BFC9D9" w:sz="4"/>
            </w:tcBorders>
            <w:shd w:fill="1F3864" w:color="auto" w:val="clear"/>
            <w:tcMar>
              <w:top w:type="dxa" w:w="70"/>
              <w:left w:type="dxa" w:w="100"/>
              <w:bottom w:type="dxa" w:w="70"/>
              <w:right w:type="dxa" w:w="100"/>
            </w:tcMar>
            <w:vAlign w:val="center"/>
          </w:tcPr>
          <w:p>
            <w:pPr>
              <w:spacing w:line="260"/>
              <w:jc w:val="left"/>
            </w:pPr>
            <w:r>
              <w:rPr>
                <w:b/>
                <w:bCs/>
                <w:color w:val="FFFFFF"/>
                <w:sz w:val="19"/>
                <w:szCs w:val="19"/>
              </w:rPr>
              <w:t xml:space="preserve">Main action</w:t>
            </w:r>
          </w:p>
        </w:tc>
      </w:tr>
      <w:tr>
        <w:trPr>
          <w:cantSplit/>
        </w:trPr>
        <w:tc>
          <w:tcPr>
            <w:tcW w:type="dxa" w:w="1310"/>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left"/>
            </w:pPr>
            <w:r>
              <w:rPr>
                <w:b/>
                <w:bCs/>
                <w:color w:val="1F3864"/>
                <w:sz w:val="19"/>
                <w:szCs w:val="19"/>
              </w:rPr>
              <w:t xml:space="preserve">4 Sep</w:t>
            </w:r>
          </w:p>
        </w:tc>
        <w:tc>
          <w:tcPr>
            <w:tcW w:type="dxa" w:w="8050"/>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left"/>
            </w:pPr>
            <w:r>
              <w:rPr>
                <w:b/>
                <w:bCs/>
                <w:color w:val="262626"/>
                <w:sz w:val="19"/>
                <w:szCs w:val="19"/>
              </w:rPr>
              <w:t xml:space="preserve">Geographic expansion.</w:t>
            </w:r>
            <w:r>
              <w:rPr>
                <w:color w:val="262626"/>
                <w:sz w:val="19"/>
                <w:szCs w:val="19"/>
              </w:rPr>
              <w:t xml:space="preserve"> Pensión 360: whole CDMX in one set (25 miles). Pensionate: CD Juárez 3 circles; Chihuahua expanded from 10 to 12 miles. Nosotros: both halves of CDMX. PAM: new campaign with 3 new Monterrey circles, same materials. Barcco: 3 Monterrey circles. Retiro Vertical: beneficiary verified using Rocio's ID and the paused campaign relaunched.</w:t>
            </w:r>
          </w:p>
        </w:tc>
      </w:tr>
      <w:tr>
        <w:trPr>
          <w:cantSplit/>
        </w:trPr>
        <w:tc>
          <w:tcPr>
            <w:tcW w:type="dxa" w:w="1310"/>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left"/>
            </w:pPr>
            <w:r>
              <w:rPr>
                <w:b/>
                <w:bCs/>
                <w:color w:val="1F3864"/>
                <w:sz w:val="19"/>
                <w:szCs w:val="19"/>
              </w:rPr>
              <w:t xml:space="preserve">15 Sep</w:t>
            </w:r>
          </w:p>
        </w:tc>
        <w:tc>
          <w:tcPr>
            <w:tcW w:type="dxa" w:w="8050"/>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left"/>
            </w:pPr>
            <w:r>
              <w:rPr>
                <w:b/>
                <w:bCs/>
                <w:color w:val="262626"/>
                <w:sz w:val="19"/>
                <w:szCs w:val="19"/>
              </w:rPr>
              <w:t xml:space="preserve">Return to the July configuration.</w:t>
            </w:r>
            <w:r>
              <w:rPr>
                <w:color w:val="262626"/>
                <w:sz w:val="19"/>
                <w:szCs w:val="19"/>
              </w:rPr>
              <w:t xml:space="preserve"> Barcco relaunched with the July setup, budget reduced from $300 to $250/day, 2 ad sets (Monterrey halves, $150 / $100), AI post variations, age 58–65+. PAM: new ad account in a new business portfolio inside Pablo's account (same Facebook page), July ad structure, Monterrey $100 + Border $100, age 58–65+. Pensionate: July setup (Chihuahua + CD Juárez, $200, one ad set), age 57–65+, June Reel and July post. Retiro Vertical: 3 campaigns (Mérida, Campeche, Cancún; $250/3 ≈ $83 per city), age 57–65+, July Reel. Pensión 360: 2 ad sets covering CDMX halves ($300), one including Toluca, age 57–65+. Nosotros: July Reel and post, whole CDMX, no Toluca.</w:t>
            </w:r>
          </w:p>
        </w:tc>
      </w:tr>
      <w:tr>
        <w:trPr>
          <w:cantSplit/>
        </w:trPr>
        <w:tc>
          <w:tcPr>
            <w:tcW w:type="dxa" w:w="1310"/>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left"/>
            </w:pPr>
            <w:r>
              <w:rPr>
                <w:b/>
                <w:bCs/>
                <w:color w:val="1F3864"/>
                <w:sz w:val="19"/>
                <w:szCs w:val="19"/>
              </w:rPr>
              <w:t xml:space="preserve">21 Sep</w:t>
            </w:r>
          </w:p>
        </w:tc>
        <w:tc>
          <w:tcPr>
            <w:tcW w:type="dxa" w:w="8050"/>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left"/>
            </w:pPr>
            <w:r>
              <w:rPr>
                <w:b/>
                <w:bCs/>
                <w:color w:val="262626"/>
                <w:sz w:val="19"/>
                <w:szCs w:val="19"/>
              </w:rPr>
              <w:t xml:space="preserve">Age raised to 60–65+ across all campaigns, plus location refinement.</w:t>
            </w:r>
            <w:r>
              <w:rPr>
                <w:color w:val="262626"/>
                <w:sz w:val="19"/>
                <w:szCs w:val="19"/>
              </w:rPr>
              <w:t xml:space="preserve"> Retiro Vertical: Mérida (Umán, Komchén, Chablekal, Conkal, Tixkokob), Cancún (Playa del Carmen), Campeche (Samulá, Lerma, China). Nosotros: two ad sets (upper and lower halves). Pensionate: CD Juárez 4 circles. Barcco: two halves of Monterrey (2 + 4 circles). PAM: more bubbles (Border + Monterrey). </w:t>
            </w:r>
            <w:r>
              <w:rPr>
                <w:b/>
                <w:bCs/>
                <w:color w:val="262626"/>
                <w:sz w:val="19"/>
                <w:szCs w:val="19"/>
              </w:rPr>
              <w:t xml:space="preserve">Prosperar launched in Guadalajara.</w:t>
            </w:r>
          </w:p>
        </w:tc>
      </w:tr>
      <w:tr>
        <w:trPr>
          <w:cantSplit/>
        </w:trPr>
        <w:tc>
          <w:tcPr>
            <w:tcW w:type="dxa" w:w="1310"/>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left"/>
            </w:pPr>
            <w:r>
              <w:rPr>
                <w:b/>
                <w:bCs/>
                <w:color w:val="1F3864"/>
                <w:sz w:val="19"/>
                <w:szCs w:val="19"/>
              </w:rPr>
              <w:t xml:space="preserve">25 Sep</w:t>
            </w:r>
          </w:p>
        </w:tc>
        <w:tc>
          <w:tcPr>
            <w:tcW w:type="dxa" w:w="8050"/>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left"/>
            </w:pPr>
            <w:r>
              <w:rPr>
                <w:color w:val="262626"/>
                <w:sz w:val="19"/>
                <w:szCs w:val="19"/>
              </w:rPr>
              <w:t xml:space="preserve">Retiro Vertical: Reel replaced with advisor Rocio's Reel in all 3 cities. Pensión 360: Reel updated with a CDMX Reel.</w:t>
            </w:r>
          </w:p>
        </w:tc>
      </w:tr>
      <w:tr>
        <w:trPr>
          <w:cantSplit/>
        </w:trPr>
        <w:tc>
          <w:tcPr>
            <w:tcW w:type="dxa" w:w="1310"/>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left"/>
            </w:pPr>
            <w:r>
              <w:rPr>
                <w:b/>
                <w:bCs/>
                <w:color w:val="1F3864"/>
                <w:sz w:val="19"/>
                <w:szCs w:val="19"/>
              </w:rPr>
              <w:t xml:space="preserve">28 Sep</w:t>
            </w:r>
          </w:p>
        </w:tc>
        <w:tc>
          <w:tcPr>
            <w:tcW w:type="dxa" w:w="8050"/>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left"/>
            </w:pPr>
            <w:r>
              <w:rPr>
                <w:color w:val="262626"/>
                <w:sz w:val="19"/>
                <w:szCs w:val="19"/>
              </w:rPr>
              <w:t xml:space="preserve">Pensión 360: new campaign testing two Reel angles (CDMX-specific video vs. the earlier mother–daughter Reel), 2 ad sets (20 miles). Retiro Vertical: new campaign with Mérida and Cancún (8 miles) ad sets; Campeche removed; Rocio's Reel. Barcco: 1 ad set covering all of Monterrey, 2 Reels (1 advisor, 1 from July).</w:t>
            </w:r>
          </w:p>
        </w:tc>
      </w:tr>
      <w:tr>
        <w:trPr>
          <w:cantSplit/>
        </w:trPr>
        <w:tc>
          <w:tcPr>
            <w:tcW w:type="dxa" w:w="1310"/>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left"/>
            </w:pPr>
            <w:r>
              <w:rPr>
                <w:b/>
                <w:bCs/>
                <w:color w:val="1F3864"/>
                <w:sz w:val="19"/>
                <w:szCs w:val="19"/>
              </w:rPr>
              <w:t xml:space="preserve">29 Sep</w:t>
            </w:r>
          </w:p>
        </w:tc>
        <w:tc>
          <w:tcPr>
            <w:tcW w:type="dxa" w:w="8050"/>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left"/>
            </w:pPr>
            <w:r>
              <w:rPr>
                <w:color w:val="262626"/>
                <w:sz w:val="19"/>
                <w:szCs w:val="19"/>
              </w:rPr>
              <w:t xml:space="preserve">Barcco switched to WhatsApp Business (WABA). PAM: 2 ad sets, Monterrey $150 + Matamoros $50 (Reynosa and Río Bravo removed), advisor Reel only. Nosotros: 1 ad set ($250), one large bubble, CDMX Reel.</w:t>
            </w:r>
          </w:p>
        </w:tc>
      </w:tr>
    </w:tbl>
    <w:p>
      <w:pPr>
        <w:spacing w:after="80"/>
      </w:pPr>
    </w:p>
    <w:p>
      <w:pPr>
        <w:pStyle w:val="Heading3"/>
      </w:pPr>
      <w:r>
        <w:t xml:space="preserve">Problems during the month</w:t>
      </w:r>
    </w:p>
    <w:p>
      <w:pPr>
        <w:pStyle w:val="ListParagraph"/>
        <w:numPr>
          <w:ilvl w:val="0"/>
          <w:numId w:val="2"/>
        </w:numPr>
        <w:spacing w:after="80" w:line="276"/>
      </w:pPr>
      <w:r>
        <w:rPr>
          <w:b/>
          <w:bCs/>
        </w:rPr>
        <w:t xml:space="preserve">GHL account configuration.</w:t>
      </w:r>
      <w:r>
        <w:t xml:space="preserve"> Seven different Meta business portfolios for the same client were being integrated into one sub-account, which became unmanageable. The setup was split into four sub-accounts, one per advisor (each advisor's Facebook account has its own business page).</w:t>
      </w:r>
    </w:p>
    <w:p>
      <w:pPr>
        <w:pStyle w:val="ListParagraph"/>
        <w:numPr>
          <w:ilvl w:val="0"/>
          <w:numId w:val="2"/>
        </w:numPr>
        <w:spacing w:after="80" w:line="276"/>
      </w:pPr>
      <w:r>
        <w:rPr>
          <w:b/>
          <w:bCs/>
        </w:rPr>
        <w:t xml:space="preserve">PAM page in a personal portfolio.</w:t>
      </w:r>
      <w:r>
        <w:t xml:space="preserve"> Advisor Jose Luis had created the PAM page in his personal portfolio rather than a business portfolio, so it could not be connected to his sub-account. Resolved by gaining access to the page, creating a new business portfolio inside Pablo's account and assigning the page to Jose Luis, as requested by Mariano.</w:t>
      </w:r>
    </w:p>
    <w:p>
      <w:pPr>
        <w:pStyle w:val="ListParagraph"/>
        <w:numPr>
          <w:ilvl w:val="0"/>
          <w:numId w:val="2"/>
        </w:numPr>
        <w:spacing w:after="80" w:line="276"/>
      </w:pPr>
      <w:r>
        <w:rPr>
          <w:b/>
          <w:bCs/>
        </w:rPr>
        <w:t xml:space="preserve">Message and lead drop.</w:t>
      </w:r>
      <w:r>
        <w:t xml:space="preserve"> The campaigns were already struggling to generate messages and qualified leads in August. Optimization continued throughout September, with the major reset on 15 Sep.</w:t>
      </w:r>
    </w:p>
    <w:p>
      <w:pPr>
        <w:pStyle w:val="Heading3"/>
      </w:pPr>
      <w:r>
        <w:t xml:space="preserve">Results and comparison with August</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82"/>
        <w:gridCol w:w="2059"/>
        <w:gridCol w:w="2059"/>
        <w:gridCol w:w="2060"/>
      </w:tblGrid>
      <w:tr>
        <w:trPr>
          <w:tblHeader/>
        </w:trPr>
        <w:tc>
          <w:tcPr>
            <w:tcW w:type="dxa" w:w="3182"/>
            <w:tcBorders>
              <w:top w:val="single" w:color="BFC9D9" w:sz="4"/>
              <w:left w:val="single" w:color="BFC9D9" w:sz="4"/>
              <w:bottom w:val="single" w:color="BFC9D9" w:sz="4"/>
              <w:right w:val="single" w:color="BFC9D9" w:sz="4"/>
            </w:tcBorders>
            <w:shd w:fill="1F3864" w:color="auto" w:val="clear"/>
            <w:tcMar>
              <w:top w:type="dxa" w:w="70"/>
              <w:left w:type="dxa" w:w="100"/>
              <w:bottom w:type="dxa" w:w="70"/>
              <w:right w:type="dxa" w:w="100"/>
            </w:tcMar>
            <w:vAlign w:val="center"/>
          </w:tcPr>
          <w:p>
            <w:pPr>
              <w:spacing w:line="260"/>
              <w:jc w:val="left"/>
            </w:pPr>
            <w:r>
              <w:rPr>
                <w:b/>
                <w:bCs/>
                <w:color w:val="FFFFFF"/>
                <w:sz w:val="19"/>
                <w:szCs w:val="19"/>
              </w:rPr>
              <w:t xml:space="preserve">Indicator</w:t>
            </w:r>
          </w:p>
        </w:tc>
        <w:tc>
          <w:tcPr>
            <w:tcW w:type="dxa" w:w="2059"/>
            <w:tcBorders>
              <w:top w:val="single" w:color="BFC9D9" w:sz="4"/>
              <w:left w:val="single" w:color="BFC9D9" w:sz="4"/>
              <w:bottom w:val="single" w:color="BFC9D9" w:sz="4"/>
              <w:right w:val="single" w:color="BFC9D9" w:sz="4"/>
            </w:tcBorders>
            <w:shd w:fill="1F3864" w:color="auto" w:val="clear"/>
            <w:tcMar>
              <w:top w:type="dxa" w:w="70"/>
              <w:left w:type="dxa" w:w="100"/>
              <w:bottom w:type="dxa" w:w="70"/>
              <w:right w:type="dxa" w:w="100"/>
            </w:tcMar>
            <w:vAlign w:val="center"/>
          </w:tcPr>
          <w:p>
            <w:pPr>
              <w:spacing w:line="260"/>
              <w:jc w:val="center"/>
            </w:pPr>
            <w:r>
              <w:rPr>
                <w:b/>
                <w:bCs/>
                <w:color w:val="FFFFFF"/>
                <w:sz w:val="19"/>
                <w:szCs w:val="19"/>
              </w:rPr>
              <w:t xml:space="preserve">August</w:t>
            </w:r>
          </w:p>
        </w:tc>
        <w:tc>
          <w:tcPr>
            <w:tcW w:type="dxa" w:w="2059"/>
            <w:tcBorders>
              <w:top w:val="single" w:color="BFC9D9" w:sz="4"/>
              <w:left w:val="single" w:color="BFC9D9" w:sz="4"/>
              <w:bottom w:val="single" w:color="BFC9D9" w:sz="4"/>
              <w:right w:val="single" w:color="BFC9D9" w:sz="4"/>
            </w:tcBorders>
            <w:shd w:fill="1F3864" w:color="auto" w:val="clear"/>
            <w:tcMar>
              <w:top w:type="dxa" w:w="70"/>
              <w:left w:type="dxa" w:w="100"/>
              <w:bottom w:type="dxa" w:w="70"/>
              <w:right w:type="dxa" w:w="100"/>
            </w:tcMar>
            <w:vAlign w:val="center"/>
          </w:tcPr>
          <w:p>
            <w:pPr>
              <w:spacing w:line="260"/>
              <w:jc w:val="center"/>
            </w:pPr>
            <w:r>
              <w:rPr>
                <w:b/>
                <w:bCs/>
                <w:color w:val="FFFFFF"/>
                <w:sz w:val="19"/>
                <w:szCs w:val="19"/>
              </w:rPr>
              <w:t xml:space="preserve">September</w:t>
            </w:r>
          </w:p>
        </w:tc>
        <w:tc>
          <w:tcPr>
            <w:tcW w:type="dxa" w:w="2060"/>
            <w:tcBorders>
              <w:top w:val="single" w:color="BFC9D9" w:sz="4"/>
              <w:left w:val="single" w:color="BFC9D9" w:sz="4"/>
              <w:bottom w:val="single" w:color="BFC9D9" w:sz="4"/>
              <w:right w:val="single" w:color="BFC9D9" w:sz="4"/>
            </w:tcBorders>
            <w:shd w:fill="1F3864" w:color="auto" w:val="clear"/>
            <w:tcMar>
              <w:top w:type="dxa" w:w="70"/>
              <w:left w:type="dxa" w:w="100"/>
              <w:bottom w:type="dxa" w:w="70"/>
              <w:right w:type="dxa" w:w="100"/>
            </w:tcMar>
            <w:vAlign w:val="center"/>
          </w:tcPr>
          <w:p>
            <w:pPr>
              <w:spacing w:line="260"/>
              <w:jc w:val="center"/>
            </w:pPr>
            <w:r>
              <w:rPr>
                <w:b/>
                <w:bCs/>
                <w:color w:val="FFFFFF"/>
                <w:sz w:val="19"/>
                <w:szCs w:val="19"/>
              </w:rPr>
              <w:t xml:space="preserve">Change</w:t>
            </w:r>
          </w:p>
        </w:tc>
      </w:tr>
      <w:tr>
        <w:trPr>
          <w:cantSplit/>
        </w:trPr>
        <w:tc>
          <w:tcPr>
            <w:tcW w:type="dxa" w:w="3182"/>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left"/>
            </w:pPr>
            <w:r>
              <w:rPr>
                <w:b/>
                <w:bCs/>
                <w:color w:val="1F3864"/>
                <w:sz w:val="19"/>
                <w:szCs w:val="19"/>
              </w:rPr>
              <w:t xml:space="preserve">Paid reach</w:t>
            </w:r>
          </w:p>
        </w:tc>
        <w:tc>
          <w:tcPr>
            <w:tcW w:type="dxa" w:w="2059"/>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center"/>
            </w:pPr>
            <w:r>
              <w:rPr>
                <w:color w:val="262626"/>
                <w:sz w:val="19"/>
                <w:szCs w:val="19"/>
              </w:rPr>
              <w:t xml:space="preserve">358,211</w:t>
            </w:r>
          </w:p>
        </w:tc>
        <w:tc>
          <w:tcPr>
            <w:tcW w:type="dxa" w:w="2059"/>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center"/>
            </w:pPr>
            <w:r>
              <w:rPr>
                <w:color w:val="262626"/>
                <w:sz w:val="19"/>
                <w:szCs w:val="19"/>
              </w:rPr>
              <w:t xml:space="preserve">291,478</w:t>
            </w:r>
          </w:p>
        </w:tc>
        <w:tc>
          <w:tcPr>
            <w:tcW w:type="dxa" w:w="2060"/>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center"/>
            </w:pPr>
            <w:r>
              <w:rPr>
                <w:color w:val="262626"/>
                <w:sz w:val="19"/>
                <w:szCs w:val="19"/>
              </w:rPr>
              <w:t xml:space="preserve">-18.6%</w:t>
            </w:r>
          </w:p>
        </w:tc>
      </w:tr>
      <w:tr>
        <w:trPr>
          <w:cantSplit/>
        </w:trPr>
        <w:tc>
          <w:tcPr>
            <w:tcW w:type="dxa" w:w="3182"/>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left"/>
            </w:pPr>
            <w:r>
              <w:rPr>
                <w:b/>
                <w:bCs/>
                <w:color w:val="1F3864"/>
                <w:sz w:val="19"/>
                <w:szCs w:val="19"/>
              </w:rPr>
              <w:t xml:space="preserve">Paid impressions</w:t>
            </w:r>
          </w:p>
        </w:tc>
        <w:tc>
          <w:tcPr>
            <w:tcW w:type="dxa" w:w="2059"/>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center"/>
            </w:pPr>
            <w:r>
              <w:rPr>
                <w:color w:val="262626"/>
                <w:sz w:val="19"/>
                <w:szCs w:val="19"/>
              </w:rPr>
              <w:t xml:space="preserve">1,027,101</w:t>
            </w:r>
          </w:p>
        </w:tc>
        <w:tc>
          <w:tcPr>
            <w:tcW w:type="dxa" w:w="2059"/>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center"/>
            </w:pPr>
            <w:r>
              <w:rPr>
                <w:color w:val="262626"/>
                <w:sz w:val="19"/>
                <w:szCs w:val="19"/>
              </w:rPr>
              <w:t xml:space="preserve">825,175</w:t>
            </w:r>
          </w:p>
        </w:tc>
        <w:tc>
          <w:tcPr>
            <w:tcW w:type="dxa" w:w="2060"/>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center"/>
            </w:pPr>
            <w:r>
              <w:rPr>
                <w:color w:val="262626"/>
                <w:sz w:val="19"/>
                <w:szCs w:val="19"/>
              </w:rPr>
              <w:t xml:space="preserve">-19.7%</w:t>
            </w:r>
          </w:p>
        </w:tc>
      </w:tr>
      <w:tr>
        <w:trPr>
          <w:cantSplit/>
        </w:trPr>
        <w:tc>
          <w:tcPr>
            <w:tcW w:type="dxa" w:w="3182"/>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left"/>
            </w:pPr>
            <w:r>
              <w:rPr>
                <w:b/>
                <w:bCs/>
                <w:color w:val="1F3864"/>
                <w:sz w:val="19"/>
                <w:szCs w:val="19"/>
              </w:rPr>
              <w:t xml:space="preserve">Messages</w:t>
            </w:r>
          </w:p>
        </w:tc>
        <w:tc>
          <w:tcPr>
            <w:tcW w:type="dxa" w:w="2059"/>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center"/>
            </w:pPr>
            <w:r>
              <w:rPr>
                <w:color w:val="262626"/>
                <w:sz w:val="19"/>
                <w:szCs w:val="19"/>
              </w:rPr>
              <w:t xml:space="preserve">4,489</w:t>
            </w:r>
          </w:p>
        </w:tc>
        <w:tc>
          <w:tcPr>
            <w:tcW w:type="dxa" w:w="2059"/>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center"/>
            </w:pPr>
            <w:r>
              <w:rPr>
                <w:color w:val="262626"/>
                <w:sz w:val="19"/>
                <w:szCs w:val="19"/>
              </w:rPr>
              <w:t xml:space="preserve">3,769</w:t>
            </w:r>
          </w:p>
        </w:tc>
        <w:tc>
          <w:tcPr>
            <w:tcW w:type="dxa" w:w="2060"/>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center"/>
            </w:pPr>
            <w:r>
              <w:rPr>
                <w:color w:val="262626"/>
                <w:sz w:val="19"/>
                <w:szCs w:val="19"/>
              </w:rPr>
              <w:t xml:space="preserve">-16.0%</w:t>
            </w:r>
          </w:p>
        </w:tc>
      </w:tr>
      <w:tr>
        <w:trPr>
          <w:cantSplit/>
        </w:trPr>
        <w:tc>
          <w:tcPr>
            <w:tcW w:type="dxa" w:w="3182"/>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left"/>
            </w:pPr>
            <w:r>
              <w:rPr>
                <w:b/>
                <w:bCs/>
                <w:color w:val="1F3864"/>
                <w:sz w:val="19"/>
                <w:szCs w:val="19"/>
              </w:rPr>
              <w:t xml:space="preserve">Assigned</w:t>
            </w:r>
          </w:p>
        </w:tc>
        <w:tc>
          <w:tcPr>
            <w:tcW w:type="dxa" w:w="2059"/>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center"/>
            </w:pPr>
            <w:r>
              <w:rPr>
                <w:color w:val="262626"/>
                <w:sz w:val="19"/>
                <w:szCs w:val="19"/>
              </w:rPr>
              <w:t xml:space="preserve">40</w:t>
            </w:r>
          </w:p>
        </w:tc>
        <w:tc>
          <w:tcPr>
            <w:tcW w:type="dxa" w:w="2059"/>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center"/>
            </w:pPr>
            <w:r>
              <w:rPr>
                <w:color w:val="262626"/>
                <w:sz w:val="19"/>
                <w:szCs w:val="19"/>
              </w:rPr>
              <w:t xml:space="preserve">22</w:t>
            </w:r>
          </w:p>
        </w:tc>
        <w:tc>
          <w:tcPr>
            <w:tcW w:type="dxa" w:w="2060"/>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center"/>
            </w:pPr>
            <w:r>
              <w:rPr>
                <w:color w:val="262626"/>
                <w:sz w:val="19"/>
                <w:szCs w:val="19"/>
              </w:rPr>
              <w:t xml:space="preserve">-45.0%</w:t>
            </w:r>
          </w:p>
        </w:tc>
      </w:tr>
      <w:tr>
        <w:trPr>
          <w:cantSplit/>
        </w:trPr>
        <w:tc>
          <w:tcPr>
            <w:tcW w:type="dxa" w:w="3182"/>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left"/>
            </w:pPr>
            <w:r>
              <w:rPr>
                <w:b/>
                <w:bCs/>
                <w:color w:val="1F3864"/>
                <w:sz w:val="19"/>
                <w:szCs w:val="19"/>
              </w:rPr>
              <w:t xml:space="preserve">Closures (sales)</w:t>
            </w:r>
          </w:p>
        </w:tc>
        <w:tc>
          <w:tcPr>
            <w:tcW w:type="dxa" w:w="2059"/>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center"/>
            </w:pPr>
            <w:r>
              <w:rPr>
                <w:color w:val="262626"/>
                <w:sz w:val="19"/>
                <w:szCs w:val="19"/>
              </w:rPr>
              <w:t xml:space="preserve">8</w:t>
            </w:r>
          </w:p>
        </w:tc>
        <w:tc>
          <w:tcPr>
            <w:tcW w:type="dxa" w:w="2059"/>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center"/>
            </w:pPr>
            <w:r>
              <w:rPr>
                <w:color w:val="262626"/>
                <w:sz w:val="19"/>
                <w:szCs w:val="19"/>
              </w:rPr>
              <w:t xml:space="preserve">3</w:t>
            </w:r>
          </w:p>
        </w:tc>
        <w:tc>
          <w:tcPr>
            <w:tcW w:type="dxa" w:w="2060"/>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center"/>
            </w:pPr>
            <w:r>
              <w:rPr>
                <w:color w:val="262626"/>
                <w:sz w:val="19"/>
                <w:szCs w:val="19"/>
              </w:rPr>
              <w:t xml:space="preserve">-62.5%</w:t>
            </w:r>
          </w:p>
        </w:tc>
      </w:tr>
      <w:tr>
        <w:trPr>
          <w:cantSplit/>
        </w:trPr>
        <w:tc>
          <w:tcPr>
            <w:tcW w:type="dxa" w:w="3182"/>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left"/>
            </w:pPr>
            <w:r>
              <w:rPr>
                <w:b/>
                <w:bCs/>
                <w:color w:val="1F3864"/>
                <w:sz w:val="19"/>
                <w:szCs w:val="19"/>
              </w:rPr>
              <w:t xml:space="preserve">Spend (calc., all campaigns)</w:t>
            </w:r>
          </w:p>
        </w:tc>
        <w:tc>
          <w:tcPr>
            <w:tcW w:type="dxa" w:w="2059"/>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center"/>
            </w:pPr>
            <w:r>
              <w:rPr>
                <w:color w:val="262626"/>
                <w:sz w:val="19"/>
                <w:szCs w:val="19"/>
              </w:rPr>
              <w:t xml:space="preserve">$49,520</w:t>
            </w:r>
          </w:p>
        </w:tc>
        <w:tc>
          <w:tcPr>
            <w:tcW w:type="dxa" w:w="2059"/>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center"/>
            </w:pPr>
            <w:r>
              <w:rPr>
                <w:color w:val="262626"/>
                <w:sz w:val="19"/>
                <w:szCs w:val="19"/>
              </w:rPr>
              <w:t xml:space="preserve">$43,146.05</w:t>
            </w:r>
          </w:p>
        </w:tc>
        <w:tc>
          <w:tcPr>
            <w:tcW w:type="dxa" w:w="2060"/>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center"/>
            </w:pPr>
            <w:r>
              <w:rPr>
                <w:color w:val="262626"/>
                <w:sz w:val="19"/>
                <w:szCs w:val="19"/>
              </w:rPr>
              <w:t xml:space="preserve">-12.9%</w:t>
            </w:r>
          </w:p>
        </w:tc>
      </w:tr>
    </w:tbl>
    <w:p>
      <w:pPr>
        <w:spacing w:after="80"/>
      </w:pPr>
    </w:p>
    <w:p>
      <w:pPr>
        <w:spacing w:after="140"/>
      </w:pPr>
      <w:r>
        <w:rPr>
          <w:i/>
          <w:iCs/>
          <w:color w:val="595959"/>
          <w:sz w:val="17"/>
          <w:szCs w:val="17"/>
        </w:rPr>
        <w:t xml:space="preserve">Reach, impressions, messages, assigned and closures are the monthly summary figures. Total reach is the sum of each campaign's reach, not unique people. September spend is the sum of the seven campaigns' reported spend.</w:t>
      </w:r>
    </w:p>
    <w:p>
      <w:pPr>
        <w:pStyle w:val="Heading3"/>
      </w:pPr>
      <w:r>
        <w:t xml:space="preserve">Reach and impressions by campaign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78"/>
        <w:gridCol w:w="1264"/>
        <w:gridCol w:w="1264"/>
        <w:gridCol w:w="936"/>
        <w:gridCol w:w="1404"/>
        <w:gridCol w:w="1404"/>
        <w:gridCol w:w="1310"/>
      </w:tblGrid>
      <w:tr>
        <w:trPr>
          <w:tblHeader/>
        </w:trPr>
        <w:tc>
          <w:tcPr>
            <w:tcW w:type="dxa" w:w="1778"/>
            <w:tcBorders>
              <w:top w:val="single" w:color="BFC9D9" w:sz="4"/>
              <w:left w:val="single" w:color="BFC9D9" w:sz="4"/>
              <w:bottom w:val="single" w:color="BFC9D9" w:sz="4"/>
              <w:right w:val="single" w:color="BFC9D9" w:sz="4"/>
            </w:tcBorders>
            <w:shd w:fill="1F3864" w:color="auto" w:val="clear"/>
            <w:tcMar>
              <w:top w:type="dxa" w:w="70"/>
              <w:left w:type="dxa" w:w="100"/>
              <w:bottom w:type="dxa" w:w="70"/>
              <w:right w:type="dxa" w:w="100"/>
            </w:tcMar>
            <w:vAlign w:val="center"/>
          </w:tcPr>
          <w:p>
            <w:pPr>
              <w:spacing w:line="260"/>
              <w:jc w:val="left"/>
            </w:pPr>
            <w:r>
              <w:rPr>
                <w:b/>
                <w:bCs/>
                <w:color w:val="FFFFFF"/>
                <w:sz w:val="19"/>
                <w:szCs w:val="19"/>
              </w:rPr>
              <w:t xml:space="preserve">Campaign</w:t>
            </w:r>
          </w:p>
        </w:tc>
        <w:tc>
          <w:tcPr>
            <w:tcW w:type="dxa" w:w="1264"/>
            <w:tcBorders>
              <w:top w:val="single" w:color="BFC9D9" w:sz="4"/>
              <w:left w:val="single" w:color="BFC9D9" w:sz="4"/>
              <w:bottom w:val="single" w:color="BFC9D9" w:sz="4"/>
              <w:right w:val="single" w:color="BFC9D9" w:sz="4"/>
            </w:tcBorders>
            <w:shd w:fill="1F3864" w:color="auto" w:val="clear"/>
            <w:tcMar>
              <w:top w:type="dxa" w:w="70"/>
              <w:left w:type="dxa" w:w="100"/>
              <w:bottom w:type="dxa" w:w="70"/>
              <w:right w:type="dxa" w:w="100"/>
            </w:tcMar>
            <w:vAlign w:val="center"/>
          </w:tcPr>
          <w:p>
            <w:pPr>
              <w:spacing w:line="260"/>
              <w:jc w:val="center"/>
            </w:pPr>
            <w:r>
              <w:rPr>
                <w:b/>
                <w:bCs/>
                <w:color w:val="FFFFFF"/>
                <w:sz w:val="19"/>
                <w:szCs w:val="19"/>
              </w:rPr>
              <w:t xml:space="preserve">Reach Aug.</w:t>
            </w:r>
          </w:p>
        </w:tc>
        <w:tc>
          <w:tcPr>
            <w:tcW w:type="dxa" w:w="1264"/>
            <w:tcBorders>
              <w:top w:val="single" w:color="BFC9D9" w:sz="4"/>
              <w:left w:val="single" w:color="BFC9D9" w:sz="4"/>
              <w:bottom w:val="single" w:color="BFC9D9" w:sz="4"/>
              <w:right w:val="single" w:color="BFC9D9" w:sz="4"/>
            </w:tcBorders>
            <w:shd w:fill="1F3864" w:color="auto" w:val="clear"/>
            <w:tcMar>
              <w:top w:type="dxa" w:w="70"/>
              <w:left w:type="dxa" w:w="100"/>
              <w:bottom w:type="dxa" w:w="70"/>
              <w:right w:type="dxa" w:w="100"/>
            </w:tcMar>
            <w:vAlign w:val="center"/>
          </w:tcPr>
          <w:p>
            <w:pPr>
              <w:spacing w:line="260"/>
              <w:jc w:val="center"/>
            </w:pPr>
            <w:r>
              <w:rPr>
                <w:b/>
                <w:bCs/>
                <w:color w:val="FFFFFF"/>
                <w:sz w:val="19"/>
                <w:szCs w:val="19"/>
              </w:rPr>
              <w:t xml:space="preserve">Reach Sep.</w:t>
            </w:r>
          </w:p>
        </w:tc>
        <w:tc>
          <w:tcPr>
            <w:tcW w:type="dxa" w:w="936"/>
            <w:tcBorders>
              <w:top w:val="single" w:color="BFC9D9" w:sz="4"/>
              <w:left w:val="single" w:color="BFC9D9" w:sz="4"/>
              <w:bottom w:val="single" w:color="BFC9D9" w:sz="4"/>
              <w:right w:val="single" w:color="BFC9D9" w:sz="4"/>
            </w:tcBorders>
            <w:shd w:fill="1F3864" w:color="auto" w:val="clear"/>
            <w:tcMar>
              <w:top w:type="dxa" w:w="70"/>
              <w:left w:type="dxa" w:w="100"/>
              <w:bottom w:type="dxa" w:w="70"/>
              <w:right w:type="dxa" w:w="100"/>
            </w:tcMar>
            <w:vAlign w:val="center"/>
          </w:tcPr>
          <w:p>
            <w:pPr>
              <w:spacing w:line="260"/>
              <w:jc w:val="center"/>
            </w:pPr>
            <w:r>
              <w:rPr>
                <w:b/>
                <w:bCs/>
                <w:color w:val="FFFFFF"/>
                <w:sz w:val="19"/>
                <w:szCs w:val="19"/>
              </w:rPr>
              <w:t xml:space="preserve">Chg.</w:t>
            </w:r>
          </w:p>
        </w:tc>
        <w:tc>
          <w:tcPr>
            <w:tcW w:type="dxa" w:w="1404"/>
            <w:tcBorders>
              <w:top w:val="single" w:color="BFC9D9" w:sz="4"/>
              <w:left w:val="single" w:color="BFC9D9" w:sz="4"/>
              <w:bottom w:val="single" w:color="BFC9D9" w:sz="4"/>
              <w:right w:val="single" w:color="BFC9D9" w:sz="4"/>
            </w:tcBorders>
            <w:shd w:fill="1F3864" w:color="auto" w:val="clear"/>
            <w:tcMar>
              <w:top w:type="dxa" w:w="70"/>
              <w:left w:type="dxa" w:w="100"/>
              <w:bottom w:type="dxa" w:w="70"/>
              <w:right w:type="dxa" w:w="100"/>
            </w:tcMar>
            <w:vAlign w:val="center"/>
          </w:tcPr>
          <w:p>
            <w:pPr>
              <w:spacing w:line="260"/>
              <w:jc w:val="center"/>
            </w:pPr>
            <w:r>
              <w:rPr>
                <w:b/>
                <w:bCs/>
                <w:color w:val="FFFFFF"/>
                <w:sz w:val="19"/>
                <w:szCs w:val="19"/>
              </w:rPr>
              <w:t xml:space="preserve">Impr. Aug.</w:t>
            </w:r>
          </w:p>
        </w:tc>
        <w:tc>
          <w:tcPr>
            <w:tcW w:type="dxa" w:w="1404"/>
            <w:tcBorders>
              <w:top w:val="single" w:color="BFC9D9" w:sz="4"/>
              <w:left w:val="single" w:color="BFC9D9" w:sz="4"/>
              <w:bottom w:val="single" w:color="BFC9D9" w:sz="4"/>
              <w:right w:val="single" w:color="BFC9D9" w:sz="4"/>
            </w:tcBorders>
            <w:shd w:fill="1F3864" w:color="auto" w:val="clear"/>
            <w:tcMar>
              <w:top w:type="dxa" w:w="70"/>
              <w:left w:type="dxa" w:w="100"/>
              <w:bottom w:type="dxa" w:w="70"/>
              <w:right w:type="dxa" w:w="100"/>
            </w:tcMar>
            <w:vAlign w:val="center"/>
          </w:tcPr>
          <w:p>
            <w:pPr>
              <w:spacing w:line="260"/>
              <w:jc w:val="center"/>
            </w:pPr>
            <w:r>
              <w:rPr>
                <w:b/>
                <w:bCs/>
                <w:color w:val="FFFFFF"/>
                <w:sz w:val="19"/>
                <w:szCs w:val="19"/>
              </w:rPr>
              <w:t xml:space="preserve">Impr. Sep.</w:t>
            </w:r>
          </w:p>
        </w:tc>
        <w:tc>
          <w:tcPr>
            <w:tcW w:type="dxa" w:w="1310"/>
            <w:tcBorders>
              <w:top w:val="single" w:color="BFC9D9" w:sz="4"/>
              <w:left w:val="single" w:color="BFC9D9" w:sz="4"/>
              <w:bottom w:val="single" w:color="BFC9D9" w:sz="4"/>
              <w:right w:val="single" w:color="BFC9D9" w:sz="4"/>
            </w:tcBorders>
            <w:shd w:fill="1F3864" w:color="auto" w:val="clear"/>
            <w:tcMar>
              <w:top w:type="dxa" w:w="70"/>
              <w:left w:type="dxa" w:w="100"/>
              <w:bottom w:type="dxa" w:w="70"/>
              <w:right w:type="dxa" w:w="100"/>
            </w:tcMar>
            <w:vAlign w:val="center"/>
          </w:tcPr>
          <w:p>
            <w:pPr>
              <w:spacing w:line="260"/>
              <w:jc w:val="center"/>
            </w:pPr>
            <w:r>
              <w:rPr>
                <w:b/>
                <w:bCs/>
                <w:color w:val="FFFFFF"/>
                <w:sz w:val="19"/>
                <w:szCs w:val="19"/>
              </w:rPr>
              <w:t xml:space="preserve">Chg.</w:t>
            </w:r>
          </w:p>
        </w:tc>
      </w:tr>
      <w:tr>
        <w:trPr>
          <w:cantSplit/>
        </w:trPr>
        <w:tc>
          <w:tcPr>
            <w:tcW w:type="dxa" w:w="1778"/>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left"/>
            </w:pPr>
            <w:r>
              <w:rPr>
                <w:b/>
                <w:bCs/>
                <w:color w:val="1F3864"/>
                <w:sz w:val="19"/>
                <w:szCs w:val="19"/>
              </w:rPr>
              <w:t xml:space="preserve">Pensión 360</w:t>
            </w:r>
          </w:p>
        </w:tc>
        <w:tc>
          <w:tcPr>
            <w:tcW w:type="dxa" w:w="1264"/>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center"/>
            </w:pPr>
            <w:r>
              <w:rPr>
                <w:color w:val="262626"/>
                <w:sz w:val="19"/>
                <w:szCs w:val="19"/>
              </w:rPr>
              <w:t xml:space="preserve">86,839</w:t>
            </w:r>
          </w:p>
        </w:tc>
        <w:tc>
          <w:tcPr>
            <w:tcW w:type="dxa" w:w="1264"/>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center"/>
            </w:pPr>
            <w:r>
              <w:rPr>
                <w:color w:val="262626"/>
                <w:sz w:val="19"/>
                <w:szCs w:val="19"/>
              </w:rPr>
              <w:t xml:space="preserve">72,687</w:t>
            </w:r>
          </w:p>
        </w:tc>
        <w:tc>
          <w:tcPr>
            <w:tcW w:type="dxa" w:w="936"/>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center"/>
            </w:pPr>
            <w:r>
              <w:rPr>
                <w:color w:val="262626"/>
                <w:sz w:val="19"/>
                <w:szCs w:val="19"/>
              </w:rPr>
              <w:t xml:space="preserve">-16.3%</w:t>
            </w:r>
          </w:p>
        </w:tc>
        <w:tc>
          <w:tcPr>
            <w:tcW w:type="dxa" w:w="1404"/>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center"/>
            </w:pPr>
            <w:r>
              <w:rPr>
                <w:color w:val="262626"/>
                <w:sz w:val="19"/>
                <w:szCs w:val="19"/>
              </w:rPr>
              <w:t xml:space="preserve">205,374</w:t>
            </w:r>
          </w:p>
        </w:tc>
        <w:tc>
          <w:tcPr>
            <w:tcW w:type="dxa" w:w="1404"/>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center"/>
            </w:pPr>
            <w:r>
              <w:rPr>
                <w:color w:val="262626"/>
                <w:sz w:val="19"/>
                <w:szCs w:val="19"/>
              </w:rPr>
              <w:t xml:space="preserve">156,898</w:t>
            </w:r>
          </w:p>
        </w:tc>
        <w:tc>
          <w:tcPr>
            <w:tcW w:type="dxa" w:w="1310"/>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center"/>
            </w:pPr>
            <w:r>
              <w:rPr>
                <w:color w:val="262626"/>
                <w:sz w:val="19"/>
                <w:szCs w:val="19"/>
              </w:rPr>
              <w:t xml:space="preserve">-23.6%</w:t>
            </w:r>
          </w:p>
        </w:tc>
      </w:tr>
      <w:tr>
        <w:trPr>
          <w:cantSplit/>
        </w:trPr>
        <w:tc>
          <w:tcPr>
            <w:tcW w:type="dxa" w:w="1778"/>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left"/>
            </w:pPr>
            <w:r>
              <w:rPr>
                <w:b/>
                <w:bCs/>
                <w:color w:val="1F3864"/>
                <w:sz w:val="19"/>
                <w:szCs w:val="19"/>
              </w:rPr>
              <w:t xml:space="preserve">Pensionate</w:t>
            </w:r>
          </w:p>
        </w:tc>
        <w:tc>
          <w:tcPr>
            <w:tcW w:type="dxa" w:w="1264"/>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center"/>
            </w:pPr>
            <w:r>
              <w:rPr>
                <w:color w:val="262626"/>
                <w:sz w:val="19"/>
                <w:szCs w:val="19"/>
              </w:rPr>
              <w:t xml:space="preserve">46,274</w:t>
            </w:r>
          </w:p>
        </w:tc>
        <w:tc>
          <w:tcPr>
            <w:tcW w:type="dxa" w:w="1264"/>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center"/>
            </w:pPr>
            <w:r>
              <w:rPr>
                <w:color w:val="262626"/>
                <w:sz w:val="19"/>
                <w:szCs w:val="19"/>
              </w:rPr>
              <w:t xml:space="preserve">36,102</w:t>
            </w:r>
          </w:p>
        </w:tc>
        <w:tc>
          <w:tcPr>
            <w:tcW w:type="dxa" w:w="936"/>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center"/>
            </w:pPr>
            <w:r>
              <w:rPr>
                <w:color w:val="262626"/>
                <w:sz w:val="19"/>
                <w:szCs w:val="19"/>
              </w:rPr>
              <w:t xml:space="preserve">-22.0%</w:t>
            </w:r>
          </w:p>
        </w:tc>
        <w:tc>
          <w:tcPr>
            <w:tcW w:type="dxa" w:w="1404"/>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center"/>
            </w:pPr>
            <w:r>
              <w:rPr>
                <w:color w:val="262626"/>
                <w:sz w:val="19"/>
                <w:szCs w:val="19"/>
              </w:rPr>
              <w:t xml:space="preserve">161,203</w:t>
            </w:r>
          </w:p>
        </w:tc>
        <w:tc>
          <w:tcPr>
            <w:tcW w:type="dxa" w:w="1404"/>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center"/>
            </w:pPr>
            <w:r>
              <w:rPr>
                <w:color w:val="262626"/>
                <w:sz w:val="19"/>
                <w:szCs w:val="19"/>
              </w:rPr>
              <w:t xml:space="preserve">140,325</w:t>
            </w:r>
          </w:p>
        </w:tc>
        <w:tc>
          <w:tcPr>
            <w:tcW w:type="dxa" w:w="1310"/>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center"/>
            </w:pPr>
            <w:r>
              <w:rPr>
                <w:color w:val="262626"/>
                <w:sz w:val="19"/>
                <w:szCs w:val="19"/>
              </w:rPr>
              <w:t xml:space="preserve">-13.0%</w:t>
            </w:r>
          </w:p>
        </w:tc>
      </w:tr>
      <w:tr>
        <w:trPr>
          <w:cantSplit/>
        </w:trPr>
        <w:tc>
          <w:tcPr>
            <w:tcW w:type="dxa" w:w="1778"/>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left"/>
            </w:pPr>
            <w:r>
              <w:rPr>
                <w:b/>
                <w:bCs/>
                <w:color w:val="1F3864"/>
                <w:sz w:val="19"/>
                <w:szCs w:val="19"/>
              </w:rPr>
              <w:t xml:space="preserve">Nosotros</w:t>
            </w:r>
          </w:p>
        </w:tc>
        <w:tc>
          <w:tcPr>
            <w:tcW w:type="dxa" w:w="1264"/>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center"/>
            </w:pPr>
            <w:r>
              <w:rPr>
                <w:color w:val="262626"/>
                <w:sz w:val="19"/>
                <w:szCs w:val="19"/>
              </w:rPr>
              <w:t xml:space="preserve">43,438</w:t>
            </w:r>
          </w:p>
        </w:tc>
        <w:tc>
          <w:tcPr>
            <w:tcW w:type="dxa" w:w="1264"/>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center"/>
            </w:pPr>
            <w:r>
              <w:rPr>
                <w:color w:val="262626"/>
                <w:sz w:val="19"/>
                <w:szCs w:val="19"/>
              </w:rPr>
              <w:t xml:space="preserve">37,092</w:t>
            </w:r>
          </w:p>
        </w:tc>
        <w:tc>
          <w:tcPr>
            <w:tcW w:type="dxa" w:w="936"/>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center"/>
            </w:pPr>
            <w:r>
              <w:rPr>
                <w:color w:val="262626"/>
                <w:sz w:val="19"/>
                <w:szCs w:val="19"/>
              </w:rPr>
              <w:t xml:space="preserve">-14.6%</w:t>
            </w:r>
          </w:p>
        </w:tc>
        <w:tc>
          <w:tcPr>
            <w:tcW w:type="dxa" w:w="1404"/>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center"/>
            </w:pPr>
            <w:r>
              <w:rPr>
                <w:color w:val="262626"/>
                <w:sz w:val="19"/>
                <w:szCs w:val="19"/>
              </w:rPr>
              <w:t xml:space="preserve">124,702</w:t>
            </w:r>
          </w:p>
        </w:tc>
        <w:tc>
          <w:tcPr>
            <w:tcW w:type="dxa" w:w="1404"/>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center"/>
            </w:pPr>
            <w:r>
              <w:rPr>
                <w:color w:val="262626"/>
                <w:sz w:val="19"/>
                <w:szCs w:val="19"/>
              </w:rPr>
              <w:t xml:space="preserve">101,761</w:t>
            </w:r>
          </w:p>
        </w:tc>
        <w:tc>
          <w:tcPr>
            <w:tcW w:type="dxa" w:w="1310"/>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center"/>
            </w:pPr>
            <w:r>
              <w:rPr>
                <w:color w:val="262626"/>
                <w:sz w:val="19"/>
                <w:szCs w:val="19"/>
              </w:rPr>
              <w:t xml:space="preserve">-18.4%</w:t>
            </w:r>
          </w:p>
        </w:tc>
      </w:tr>
      <w:tr>
        <w:trPr>
          <w:cantSplit/>
        </w:trPr>
        <w:tc>
          <w:tcPr>
            <w:tcW w:type="dxa" w:w="1778"/>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left"/>
            </w:pPr>
            <w:r>
              <w:rPr>
                <w:b/>
                <w:bCs/>
                <w:color w:val="1F3864"/>
                <w:sz w:val="19"/>
                <w:szCs w:val="19"/>
              </w:rPr>
              <w:t xml:space="preserve">Retiro Vertical</w:t>
            </w:r>
          </w:p>
        </w:tc>
        <w:tc>
          <w:tcPr>
            <w:tcW w:type="dxa" w:w="1264"/>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center"/>
            </w:pPr>
            <w:r>
              <w:rPr>
                <w:color w:val="262626"/>
                <w:sz w:val="19"/>
                <w:szCs w:val="19"/>
              </w:rPr>
              <w:t xml:space="preserve">54,775</w:t>
            </w:r>
          </w:p>
        </w:tc>
        <w:tc>
          <w:tcPr>
            <w:tcW w:type="dxa" w:w="1264"/>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center"/>
            </w:pPr>
            <w:r>
              <w:rPr>
                <w:color w:val="262626"/>
                <w:sz w:val="19"/>
                <w:szCs w:val="19"/>
              </w:rPr>
              <w:t xml:space="preserve">42,979</w:t>
            </w:r>
          </w:p>
        </w:tc>
        <w:tc>
          <w:tcPr>
            <w:tcW w:type="dxa" w:w="936"/>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center"/>
            </w:pPr>
            <w:r>
              <w:rPr>
                <w:color w:val="262626"/>
                <w:sz w:val="19"/>
                <w:szCs w:val="19"/>
              </w:rPr>
              <w:t xml:space="preserve">-21.5%</w:t>
            </w:r>
          </w:p>
        </w:tc>
        <w:tc>
          <w:tcPr>
            <w:tcW w:type="dxa" w:w="1404"/>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center"/>
            </w:pPr>
            <w:r>
              <w:rPr>
                <w:color w:val="262626"/>
                <w:sz w:val="19"/>
                <w:szCs w:val="19"/>
              </w:rPr>
              <w:t xml:space="preserve">147,511</w:t>
            </w:r>
          </w:p>
        </w:tc>
        <w:tc>
          <w:tcPr>
            <w:tcW w:type="dxa" w:w="1404"/>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center"/>
            </w:pPr>
            <w:r>
              <w:rPr>
                <w:color w:val="262626"/>
                <w:sz w:val="19"/>
                <w:szCs w:val="19"/>
              </w:rPr>
              <w:t xml:space="preserve">126,204</w:t>
            </w:r>
          </w:p>
        </w:tc>
        <w:tc>
          <w:tcPr>
            <w:tcW w:type="dxa" w:w="1310"/>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center"/>
            </w:pPr>
            <w:r>
              <w:rPr>
                <w:color w:val="262626"/>
                <w:sz w:val="19"/>
                <w:szCs w:val="19"/>
              </w:rPr>
              <w:t xml:space="preserve">-14.4%</w:t>
            </w:r>
          </w:p>
        </w:tc>
      </w:tr>
      <w:tr>
        <w:trPr>
          <w:cantSplit/>
        </w:trPr>
        <w:tc>
          <w:tcPr>
            <w:tcW w:type="dxa" w:w="1778"/>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left"/>
            </w:pPr>
            <w:r>
              <w:rPr>
                <w:b/>
                <w:bCs/>
                <w:color w:val="1F3864"/>
                <w:sz w:val="19"/>
                <w:szCs w:val="19"/>
              </w:rPr>
              <w:t xml:space="preserve">Barcco</w:t>
            </w:r>
          </w:p>
        </w:tc>
        <w:tc>
          <w:tcPr>
            <w:tcW w:type="dxa" w:w="1264"/>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center"/>
            </w:pPr>
            <w:r>
              <w:rPr>
                <w:color w:val="262626"/>
                <w:sz w:val="19"/>
                <w:szCs w:val="19"/>
              </w:rPr>
              <w:t xml:space="preserve">66,874</w:t>
            </w:r>
          </w:p>
        </w:tc>
        <w:tc>
          <w:tcPr>
            <w:tcW w:type="dxa" w:w="1264"/>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center"/>
            </w:pPr>
            <w:r>
              <w:rPr>
                <w:color w:val="262626"/>
                <w:sz w:val="19"/>
                <w:szCs w:val="19"/>
              </w:rPr>
              <w:t xml:space="preserve">45,628</w:t>
            </w:r>
          </w:p>
        </w:tc>
        <w:tc>
          <w:tcPr>
            <w:tcW w:type="dxa" w:w="936"/>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center"/>
            </w:pPr>
            <w:r>
              <w:rPr>
                <w:color w:val="262626"/>
                <w:sz w:val="19"/>
                <w:szCs w:val="19"/>
              </w:rPr>
              <w:t xml:space="preserve">-31.8%</w:t>
            </w:r>
          </w:p>
        </w:tc>
        <w:tc>
          <w:tcPr>
            <w:tcW w:type="dxa" w:w="1404"/>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center"/>
            </w:pPr>
            <w:r>
              <w:rPr>
                <w:color w:val="262626"/>
                <w:sz w:val="19"/>
                <w:szCs w:val="19"/>
              </w:rPr>
              <w:t xml:space="preserve">189,405</w:t>
            </w:r>
          </w:p>
        </w:tc>
        <w:tc>
          <w:tcPr>
            <w:tcW w:type="dxa" w:w="1404"/>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center"/>
            </w:pPr>
            <w:r>
              <w:rPr>
                <w:color w:val="262626"/>
                <w:sz w:val="19"/>
                <w:szCs w:val="19"/>
              </w:rPr>
              <w:t xml:space="preserve">133,888</w:t>
            </w:r>
          </w:p>
        </w:tc>
        <w:tc>
          <w:tcPr>
            <w:tcW w:type="dxa" w:w="1310"/>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center"/>
            </w:pPr>
            <w:r>
              <w:rPr>
                <w:color w:val="262626"/>
                <w:sz w:val="19"/>
                <w:szCs w:val="19"/>
              </w:rPr>
              <w:t xml:space="preserve">-29.3%</w:t>
            </w:r>
          </w:p>
        </w:tc>
      </w:tr>
      <w:tr>
        <w:trPr>
          <w:cantSplit/>
        </w:trPr>
        <w:tc>
          <w:tcPr>
            <w:tcW w:type="dxa" w:w="1778"/>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left"/>
            </w:pPr>
            <w:r>
              <w:rPr>
                <w:b/>
                <w:bCs/>
                <w:color w:val="1F3864"/>
                <w:sz w:val="19"/>
                <w:szCs w:val="19"/>
              </w:rPr>
              <w:t xml:space="preserve">PAM</w:t>
            </w:r>
          </w:p>
        </w:tc>
        <w:tc>
          <w:tcPr>
            <w:tcW w:type="dxa" w:w="1264"/>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center"/>
            </w:pPr>
            <w:r>
              <w:rPr>
                <w:color w:val="262626"/>
                <w:sz w:val="19"/>
                <w:szCs w:val="19"/>
              </w:rPr>
              <w:t xml:space="preserve">60,011</w:t>
            </w:r>
          </w:p>
        </w:tc>
        <w:tc>
          <w:tcPr>
            <w:tcW w:type="dxa" w:w="1264"/>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center"/>
            </w:pPr>
            <w:r>
              <w:rPr>
                <w:color w:val="262626"/>
                <w:sz w:val="19"/>
                <w:szCs w:val="19"/>
              </w:rPr>
              <w:t xml:space="preserve">56,990</w:t>
            </w:r>
          </w:p>
        </w:tc>
        <w:tc>
          <w:tcPr>
            <w:tcW w:type="dxa" w:w="936"/>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center"/>
            </w:pPr>
            <w:r>
              <w:rPr>
                <w:color w:val="262626"/>
                <w:sz w:val="19"/>
                <w:szCs w:val="19"/>
              </w:rPr>
              <w:t xml:space="preserve">-5.0%</w:t>
            </w:r>
          </w:p>
        </w:tc>
        <w:tc>
          <w:tcPr>
            <w:tcW w:type="dxa" w:w="1404"/>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center"/>
            </w:pPr>
            <w:r>
              <w:rPr>
                <w:color w:val="262626"/>
                <w:sz w:val="19"/>
                <w:szCs w:val="19"/>
              </w:rPr>
              <w:t xml:space="preserve">198,906</w:t>
            </w:r>
          </w:p>
        </w:tc>
        <w:tc>
          <w:tcPr>
            <w:tcW w:type="dxa" w:w="1404"/>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center"/>
            </w:pPr>
            <w:r>
              <w:rPr>
                <w:color w:val="262626"/>
                <w:sz w:val="19"/>
                <w:szCs w:val="19"/>
              </w:rPr>
              <w:t xml:space="preserve">169,107</w:t>
            </w:r>
          </w:p>
        </w:tc>
        <w:tc>
          <w:tcPr>
            <w:tcW w:type="dxa" w:w="1310"/>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center"/>
            </w:pPr>
            <w:r>
              <w:rPr>
                <w:color w:val="262626"/>
                <w:sz w:val="19"/>
                <w:szCs w:val="19"/>
              </w:rPr>
              <w:t xml:space="preserve">-15.0%</w:t>
            </w:r>
          </w:p>
        </w:tc>
      </w:tr>
      <w:tr>
        <w:trPr>
          <w:cantSplit/>
        </w:trPr>
        <w:tc>
          <w:tcPr>
            <w:tcW w:type="dxa" w:w="1778"/>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left"/>
            </w:pPr>
            <w:r>
              <w:rPr>
                <w:b/>
                <w:bCs/>
                <w:color w:val="1F3864"/>
                <w:sz w:val="19"/>
                <w:szCs w:val="19"/>
              </w:rPr>
              <w:t xml:space="preserve">Prosperar (new, from 21 Sep)</w:t>
            </w:r>
          </w:p>
        </w:tc>
        <w:tc>
          <w:tcPr>
            <w:tcW w:type="dxa" w:w="1264"/>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center"/>
            </w:pPr>
            <w:r>
              <w:rPr>
                <w:color w:val="262626"/>
                <w:sz w:val="19"/>
                <w:szCs w:val="19"/>
              </w:rPr>
              <w:t xml:space="preserve">—</w:t>
            </w:r>
          </w:p>
        </w:tc>
        <w:tc>
          <w:tcPr>
            <w:tcW w:type="dxa" w:w="1264"/>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center"/>
            </w:pPr>
            <w:r>
              <w:rPr>
                <w:color w:val="262626"/>
                <w:sz w:val="19"/>
                <w:szCs w:val="19"/>
              </w:rPr>
              <w:t xml:space="preserve">4,266*</w:t>
            </w:r>
          </w:p>
        </w:tc>
        <w:tc>
          <w:tcPr>
            <w:tcW w:type="dxa" w:w="936"/>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center"/>
            </w:pPr>
            <w:r>
              <w:rPr>
                <w:color w:val="262626"/>
                <w:sz w:val="19"/>
                <w:szCs w:val="19"/>
              </w:rPr>
              <w:t xml:space="preserve">—</w:t>
            </w:r>
          </w:p>
        </w:tc>
        <w:tc>
          <w:tcPr>
            <w:tcW w:type="dxa" w:w="1404"/>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center"/>
            </w:pPr>
            <w:r>
              <w:rPr>
                <w:color w:val="262626"/>
                <w:sz w:val="19"/>
                <w:szCs w:val="19"/>
              </w:rPr>
              <w:t xml:space="preserve">—</w:t>
            </w:r>
          </w:p>
        </w:tc>
        <w:tc>
          <w:tcPr>
            <w:tcW w:type="dxa" w:w="1404"/>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center"/>
            </w:pPr>
            <w:r>
              <w:rPr>
                <w:color w:val="262626"/>
                <w:sz w:val="19"/>
                <w:szCs w:val="19"/>
              </w:rPr>
              <w:t xml:space="preserve">8,502*</w:t>
            </w:r>
          </w:p>
        </w:tc>
        <w:tc>
          <w:tcPr>
            <w:tcW w:type="dxa" w:w="1310"/>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center"/>
            </w:pPr>
            <w:r>
              <w:rPr>
                <w:color w:val="262626"/>
                <w:sz w:val="19"/>
                <w:szCs w:val="19"/>
              </w:rPr>
              <w:t xml:space="preserve">—</w:t>
            </w:r>
          </w:p>
        </w:tc>
      </w:tr>
    </w:tbl>
    <w:p>
      <w:pPr>
        <w:spacing w:after="80"/>
      </w:pPr>
    </w:p>
    <w:p>
      <w:pPr>
        <w:spacing w:after="140"/>
      </w:pPr>
      <w:r>
        <w:rPr>
          <w:i/>
          <w:iCs/>
          <w:color w:val="595959"/>
          <w:sz w:val="17"/>
          <w:szCs w:val="17"/>
        </w:rPr>
        <w:t xml:space="preserve">PAM combines its two ad accounts from 15 Sep (reach 31,742 + 25,248; impressions 80,553 + 88,554; calc.). *Prosperar was reported as reach 8,502 and impressions 4,266; since reach cannot exceed impressions, the two values are shown swapped and should be confirmed.</w:t>
      </w:r>
    </w:p>
    <w:p>
      <w:pPr>
        <w:keepNext/>
        <w:spacing w:after="40" w:before="80"/>
        <w:jc w:val="center"/>
      </w:pPr>
      <w:r>
        <w:drawing>
          <wp:inline distT="0" distB="0" distL="0" distR="0">
            <wp:extent cx="5943600" cy="2314575"/>
            <wp:effectExtent t="0" r="0" b="0" l="0"/>
            <wp:docPr id="1" name="chart1" descr="chart1" title="char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43600" cy="2314575"/>
                    </a:xfrm>
                    <a:prstGeom prst="rect">
                      <a:avLst/>
                    </a:prstGeom>
                  </pic:spPr>
                </pic:pic>
              </a:graphicData>
            </a:graphic>
          </wp:inline>
        </w:drawing>
      </w:r>
    </w:p>
    <w:p>
      <w:pPr>
        <w:spacing w:after="200"/>
        <w:jc w:val="center"/>
      </w:pPr>
      <w:r>
        <w:rPr>
          <w:i/>
          <w:iCs/>
          <w:color w:val="595959"/>
          <w:sz w:val="17"/>
          <w:szCs w:val="17"/>
        </w:rPr>
        <w:t xml:space="preserve">Chart 1. Paid reach by campaign: August vs. September 2026 (continuing campaigns).</w:t>
      </w:r>
    </w:p>
    <w:p>
      <w:pPr>
        <w:pStyle w:val="Heading3"/>
      </w:pPr>
      <w:r>
        <w:t xml:space="preserve">Spend by campaign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46"/>
        <w:gridCol w:w="1778"/>
        <w:gridCol w:w="1778"/>
        <w:gridCol w:w="1778"/>
        <w:gridCol w:w="1780"/>
      </w:tblGrid>
      <w:tr>
        <w:trPr>
          <w:tblHeader/>
        </w:trPr>
        <w:tc>
          <w:tcPr>
            <w:tcW w:type="dxa" w:w="2246"/>
            <w:tcBorders>
              <w:top w:val="single" w:color="BFC9D9" w:sz="4"/>
              <w:left w:val="single" w:color="BFC9D9" w:sz="4"/>
              <w:bottom w:val="single" w:color="BFC9D9" w:sz="4"/>
              <w:right w:val="single" w:color="BFC9D9" w:sz="4"/>
            </w:tcBorders>
            <w:shd w:fill="1F3864" w:color="auto" w:val="clear"/>
            <w:tcMar>
              <w:top w:type="dxa" w:w="70"/>
              <w:left w:type="dxa" w:w="100"/>
              <w:bottom w:type="dxa" w:w="70"/>
              <w:right w:type="dxa" w:w="100"/>
            </w:tcMar>
            <w:vAlign w:val="center"/>
          </w:tcPr>
          <w:p>
            <w:pPr>
              <w:spacing w:line="260"/>
              <w:jc w:val="left"/>
            </w:pPr>
            <w:r>
              <w:rPr>
                <w:b/>
                <w:bCs/>
                <w:color w:val="FFFFFF"/>
                <w:sz w:val="19"/>
                <w:szCs w:val="19"/>
              </w:rPr>
              <w:t xml:space="preserve">Campaign</w:t>
            </w:r>
          </w:p>
        </w:tc>
        <w:tc>
          <w:tcPr>
            <w:tcW w:type="dxa" w:w="1778"/>
            <w:tcBorders>
              <w:top w:val="single" w:color="BFC9D9" w:sz="4"/>
              <w:left w:val="single" w:color="BFC9D9" w:sz="4"/>
              <w:bottom w:val="single" w:color="BFC9D9" w:sz="4"/>
              <w:right w:val="single" w:color="BFC9D9" w:sz="4"/>
            </w:tcBorders>
            <w:shd w:fill="1F3864" w:color="auto" w:val="clear"/>
            <w:tcMar>
              <w:top w:type="dxa" w:w="70"/>
              <w:left w:type="dxa" w:w="100"/>
              <w:bottom w:type="dxa" w:w="70"/>
              <w:right w:type="dxa" w:w="100"/>
            </w:tcMar>
            <w:vAlign w:val="center"/>
          </w:tcPr>
          <w:p>
            <w:pPr>
              <w:spacing w:line="260"/>
              <w:jc w:val="center"/>
            </w:pPr>
            <w:r>
              <w:rPr>
                <w:b/>
                <w:bCs/>
                <w:color w:val="FFFFFF"/>
                <w:sz w:val="19"/>
                <w:szCs w:val="19"/>
              </w:rPr>
              <w:t xml:space="preserve">Daily budget (Sep.)</w:t>
            </w:r>
          </w:p>
        </w:tc>
        <w:tc>
          <w:tcPr>
            <w:tcW w:type="dxa" w:w="1778"/>
            <w:tcBorders>
              <w:top w:val="single" w:color="BFC9D9" w:sz="4"/>
              <w:left w:val="single" w:color="BFC9D9" w:sz="4"/>
              <w:bottom w:val="single" w:color="BFC9D9" w:sz="4"/>
              <w:right w:val="single" w:color="BFC9D9" w:sz="4"/>
            </w:tcBorders>
            <w:shd w:fill="1F3864" w:color="auto" w:val="clear"/>
            <w:tcMar>
              <w:top w:type="dxa" w:w="70"/>
              <w:left w:type="dxa" w:w="100"/>
              <w:bottom w:type="dxa" w:w="70"/>
              <w:right w:type="dxa" w:w="100"/>
            </w:tcMar>
            <w:vAlign w:val="center"/>
          </w:tcPr>
          <w:p>
            <w:pPr>
              <w:spacing w:line="260"/>
              <w:jc w:val="center"/>
            </w:pPr>
            <w:r>
              <w:rPr>
                <w:b/>
                <w:bCs/>
                <w:color w:val="FFFFFF"/>
                <w:sz w:val="19"/>
                <w:szCs w:val="19"/>
              </w:rPr>
              <w:t xml:space="preserve">August</w:t>
            </w:r>
          </w:p>
        </w:tc>
        <w:tc>
          <w:tcPr>
            <w:tcW w:type="dxa" w:w="1778"/>
            <w:tcBorders>
              <w:top w:val="single" w:color="BFC9D9" w:sz="4"/>
              <w:left w:val="single" w:color="BFC9D9" w:sz="4"/>
              <w:bottom w:val="single" w:color="BFC9D9" w:sz="4"/>
              <w:right w:val="single" w:color="BFC9D9" w:sz="4"/>
            </w:tcBorders>
            <w:shd w:fill="1F3864" w:color="auto" w:val="clear"/>
            <w:tcMar>
              <w:top w:type="dxa" w:w="70"/>
              <w:left w:type="dxa" w:w="100"/>
              <w:bottom w:type="dxa" w:w="70"/>
              <w:right w:type="dxa" w:w="100"/>
            </w:tcMar>
            <w:vAlign w:val="center"/>
          </w:tcPr>
          <w:p>
            <w:pPr>
              <w:spacing w:line="260"/>
              <w:jc w:val="center"/>
            </w:pPr>
            <w:r>
              <w:rPr>
                <w:b/>
                <w:bCs/>
                <w:color w:val="FFFFFF"/>
                <w:sz w:val="19"/>
                <w:szCs w:val="19"/>
              </w:rPr>
              <w:t xml:space="preserve">September</w:t>
            </w:r>
          </w:p>
        </w:tc>
        <w:tc>
          <w:tcPr>
            <w:tcW w:type="dxa" w:w="1780"/>
            <w:tcBorders>
              <w:top w:val="single" w:color="BFC9D9" w:sz="4"/>
              <w:left w:val="single" w:color="BFC9D9" w:sz="4"/>
              <w:bottom w:val="single" w:color="BFC9D9" w:sz="4"/>
              <w:right w:val="single" w:color="BFC9D9" w:sz="4"/>
            </w:tcBorders>
            <w:shd w:fill="1F3864" w:color="auto" w:val="clear"/>
            <w:tcMar>
              <w:top w:type="dxa" w:w="70"/>
              <w:left w:type="dxa" w:w="100"/>
              <w:bottom w:type="dxa" w:w="70"/>
              <w:right w:type="dxa" w:w="100"/>
            </w:tcMar>
            <w:vAlign w:val="center"/>
          </w:tcPr>
          <w:p>
            <w:pPr>
              <w:spacing w:line="260"/>
              <w:jc w:val="center"/>
            </w:pPr>
            <w:r>
              <w:rPr>
                <w:b/>
                <w:bCs/>
                <w:color w:val="FFFFFF"/>
                <w:sz w:val="19"/>
                <w:szCs w:val="19"/>
              </w:rPr>
              <w:t xml:space="preserve">Change</w:t>
            </w:r>
          </w:p>
        </w:tc>
      </w:tr>
      <w:tr>
        <w:trPr>
          <w:cantSplit/>
        </w:trPr>
        <w:tc>
          <w:tcPr>
            <w:tcW w:type="dxa" w:w="2246"/>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left"/>
            </w:pPr>
            <w:r>
              <w:rPr>
                <w:b/>
                <w:bCs/>
                <w:color w:val="1F3864"/>
                <w:sz w:val="19"/>
                <w:szCs w:val="19"/>
              </w:rPr>
              <w:t xml:space="preserve">Pensión 360</w:t>
            </w:r>
          </w:p>
        </w:tc>
        <w:tc>
          <w:tcPr>
            <w:tcW w:type="dxa" w:w="1778"/>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center"/>
            </w:pPr>
            <w:r>
              <w:rPr>
                <w:color w:val="262626"/>
                <w:sz w:val="19"/>
                <w:szCs w:val="19"/>
              </w:rPr>
              <w:t xml:space="preserve">$300</w:t>
            </w:r>
          </w:p>
        </w:tc>
        <w:tc>
          <w:tcPr>
            <w:tcW w:type="dxa" w:w="1778"/>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center"/>
            </w:pPr>
            <w:r>
              <w:rPr>
                <w:color w:val="262626"/>
                <w:sz w:val="19"/>
                <w:szCs w:val="19"/>
              </w:rPr>
              <w:t xml:space="preserve">$9,068</w:t>
            </w:r>
          </w:p>
        </w:tc>
        <w:tc>
          <w:tcPr>
            <w:tcW w:type="dxa" w:w="1778"/>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center"/>
            </w:pPr>
            <w:r>
              <w:rPr>
                <w:color w:val="262626"/>
                <w:sz w:val="19"/>
                <w:szCs w:val="19"/>
              </w:rPr>
              <w:t xml:space="preserve">$7,979.41</w:t>
            </w:r>
          </w:p>
        </w:tc>
        <w:tc>
          <w:tcPr>
            <w:tcW w:type="dxa" w:w="1780"/>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center"/>
            </w:pPr>
            <w:r>
              <w:rPr>
                <w:color w:val="262626"/>
                <w:sz w:val="19"/>
                <w:szCs w:val="19"/>
              </w:rPr>
              <w:t xml:space="preserve">-12.0%</w:t>
            </w:r>
          </w:p>
        </w:tc>
      </w:tr>
      <w:tr>
        <w:trPr>
          <w:cantSplit/>
        </w:trPr>
        <w:tc>
          <w:tcPr>
            <w:tcW w:type="dxa" w:w="2246"/>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left"/>
            </w:pPr>
            <w:r>
              <w:rPr>
                <w:b/>
                <w:bCs/>
                <w:color w:val="1F3864"/>
                <w:sz w:val="19"/>
                <w:szCs w:val="19"/>
              </w:rPr>
              <w:t xml:space="preserve">Pensionate</w:t>
            </w:r>
          </w:p>
        </w:tc>
        <w:tc>
          <w:tcPr>
            <w:tcW w:type="dxa" w:w="1778"/>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center"/>
            </w:pPr>
            <w:r>
              <w:rPr>
                <w:color w:val="262626"/>
                <w:sz w:val="19"/>
                <w:szCs w:val="19"/>
              </w:rPr>
              <w:t xml:space="preserve">$200</w:t>
            </w:r>
          </w:p>
        </w:tc>
        <w:tc>
          <w:tcPr>
            <w:tcW w:type="dxa" w:w="1778"/>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center"/>
            </w:pPr>
            <w:r>
              <w:rPr>
                <w:color w:val="262626"/>
                <w:sz w:val="19"/>
                <w:szCs w:val="19"/>
              </w:rPr>
              <w:t xml:space="preserve">$6,973</w:t>
            </w:r>
          </w:p>
        </w:tc>
        <w:tc>
          <w:tcPr>
            <w:tcW w:type="dxa" w:w="1778"/>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center"/>
            </w:pPr>
            <w:r>
              <w:rPr>
                <w:color w:val="262626"/>
                <w:sz w:val="19"/>
                <w:szCs w:val="19"/>
              </w:rPr>
              <w:t xml:space="preserve">$6,067.73</w:t>
            </w:r>
          </w:p>
        </w:tc>
        <w:tc>
          <w:tcPr>
            <w:tcW w:type="dxa" w:w="1780"/>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center"/>
            </w:pPr>
            <w:r>
              <w:rPr>
                <w:color w:val="262626"/>
                <w:sz w:val="19"/>
                <w:szCs w:val="19"/>
              </w:rPr>
              <w:t xml:space="preserve">-13.0%</w:t>
            </w:r>
          </w:p>
        </w:tc>
      </w:tr>
      <w:tr>
        <w:trPr>
          <w:cantSplit/>
        </w:trPr>
        <w:tc>
          <w:tcPr>
            <w:tcW w:type="dxa" w:w="2246"/>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left"/>
            </w:pPr>
            <w:r>
              <w:rPr>
                <w:b/>
                <w:bCs/>
                <w:color w:val="1F3864"/>
                <w:sz w:val="19"/>
                <w:szCs w:val="19"/>
              </w:rPr>
              <w:t xml:space="preserve">Nosotros</w:t>
            </w:r>
          </w:p>
        </w:tc>
        <w:tc>
          <w:tcPr>
            <w:tcW w:type="dxa" w:w="1778"/>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center"/>
            </w:pPr>
            <w:r>
              <w:rPr>
                <w:color w:val="262626"/>
                <w:sz w:val="19"/>
                <w:szCs w:val="19"/>
              </w:rPr>
              <w:t xml:space="preserve">$250</w:t>
            </w:r>
          </w:p>
        </w:tc>
        <w:tc>
          <w:tcPr>
            <w:tcW w:type="dxa" w:w="1778"/>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center"/>
            </w:pPr>
            <w:r>
              <w:rPr>
                <w:color w:val="262626"/>
                <w:sz w:val="19"/>
                <w:szCs w:val="19"/>
              </w:rPr>
              <w:t xml:space="preserve">$7,782</w:t>
            </w:r>
          </w:p>
        </w:tc>
        <w:tc>
          <w:tcPr>
            <w:tcW w:type="dxa" w:w="1778"/>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center"/>
            </w:pPr>
            <w:r>
              <w:rPr>
                <w:color w:val="262626"/>
                <w:sz w:val="19"/>
                <w:szCs w:val="19"/>
              </w:rPr>
              <w:t xml:space="preserve">$7,553.59</w:t>
            </w:r>
          </w:p>
        </w:tc>
        <w:tc>
          <w:tcPr>
            <w:tcW w:type="dxa" w:w="1780"/>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center"/>
            </w:pPr>
            <w:r>
              <w:rPr>
                <w:color w:val="262626"/>
                <w:sz w:val="19"/>
                <w:szCs w:val="19"/>
              </w:rPr>
              <w:t xml:space="preserve">-2.9%</w:t>
            </w:r>
          </w:p>
        </w:tc>
      </w:tr>
      <w:tr>
        <w:trPr>
          <w:cantSplit/>
        </w:trPr>
        <w:tc>
          <w:tcPr>
            <w:tcW w:type="dxa" w:w="2246"/>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left"/>
            </w:pPr>
            <w:r>
              <w:rPr>
                <w:b/>
                <w:bCs/>
                <w:color w:val="1F3864"/>
                <w:sz w:val="19"/>
                <w:szCs w:val="19"/>
              </w:rPr>
              <w:t xml:space="preserve">Retiro Vertical</w:t>
            </w:r>
          </w:p>
        </w:tc>
        <w:tc>
          <w:tcPr>
            <w:tcW w:type="dxa" w:w="1778"/>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center"/>
            </w:pPr>
            <w:r>
              <w:rPr>
                <w:color w:val="262626"/>
                <w:sz w:val="19"/>
                <w:szCs w:val="19"/>
              </w:rPr>
              <w:t xml:space="preserve">$250</w:t>
            </w:r>
          </w:p>
        </w:tc>
        <w:tc>
          <w:tcPr>
            <w:tcW w:type="dxa" w:w="1778"/>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center"/>
            </w:pPr>
            <w:r>
              <w:rPr>
                <w:color w:val="262626"/>
                <w:sz w:val="19"/>
                <w:szCs w:val="19"/>
              </w:rPr>
              <w:t xml:space="preserve">$7,448</w:t>
            </w:r>
          </w:p>
        </w:tc>
        <w:tc>
          <w:tcPr>
            <w:tcW w:type="dxa" w:w="1778"/>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center"/>
            </w:pPr>
            <w:r>
              <w:rPr>
                <w:color w:val="262626"/>
                <w:sz w:val="19"/>
                <w:szCs w:val="19"/>
              </w:rPr>
              <w:t xml:space="preserve">$7,181.41</w:t>
            </w:r>
          </w:p>
        </w:tc>
        <w:tc>
          <w:tcPr>
            <w:tcW w:type="dxa" w:w="1780"/>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center"/>
            </w:pPr>
            <w:r>
              <w:rPr>
                <w:color w:val="262626"/>
                <w:sz w:val="19"/>
                <w:szCs w:val="19"/>
              </w:rPr>
              <w:t xml:space="preserve">-3.6%</w:t>
            </w:r>
          </w:p>
        </w:tc>
      </w:tr>
      <w:tr>
        <w:trPr>
          <w:cantSplit/>
        </w:trPr>
        <w:tc>
          <w:tcPr>
            <w:tcW w:type="dxa" w:w="2246"/>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left"/>
            </w:pPr>
            <w:r>
              <w:rPr>
                <w:b/>
                <w:bCs/>
                <w:color w:val="1F3864"/>
                <w:sz w:val="19"/>
                <w:szCs w:val="19"/>
              </w:rPr>
              <w:t xml:space="preserve">Barcco</w:t>
            </w:r>
          </w:p>
        </w:tc>
        <w:tc>
          <w:tcPr>
            <w:tcW w:type="dxa" w:w="1778"/>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center"/>
            </w:pPr>
            <w:r>
              <w:rPr>
                <w:color w:val="262626"/>
                <w:sz w:val="19"/>
                <w:szCs w:val="19"/>
              </w:rPr>
              <w:t xml:space="preserve">$250</w:t>
            </w:r>
          </w:p>
        </w:tc>
        <w:tc>
          <w:tcPr>
            <w:tcW w:type="dxa" w:w="1778"/>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center"/>
            </w:pPr>
            <w:r>
              <w:rPr>
                <w:color w:val="262626"/>
                <w:sz w:val="19"/>
                <w:szCs w:val="19"/>
              </w:rPr>
              <w:t xml:space="preserve">$8,980</w:t>
            </w:r>
          </w:p>
        </w:tc>
        <w:tc>
          <w:tcPr>
            <w:tcW w:type="dxa" w:w="1778"/>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center"/>
            </w:pPr>
            <w:r>
              <w:rPr>
                <w:color w:val="262626"/>
                <w:sz w:val="19"/>
                <w:szCs w:val="19"/>
              </w:rPr>
              <w:t xml:space="preserve">$7,323.59</w:t>
            </w:r>
          </w:p>
        </w:tc>
        <w:tc>
          <w:tcPr>
            <w:tcW w:type="dxa" w:w="1780"/>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center"/>
            </w:pPr>
            <w:r>
              <w:rPr>
                <w:color w:val="262626"/>
                <w:sz w:val="19"/>
                <w:szCs w:val="19"/>
              </w:rPr>
              <w:t xml:space="preserve">-18.4%</w:t>
            </w:r>
          </w:p>
        </w:tc>
      </w:tr>
      <w:tr>
        <w:trPr>
          <w:cantSplit/>
        </w:trPr>
        <w:tc>
          <w:tcPr>
            <w:tcW w:type="dxa" w:w="2246"/>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left"/>
            </w:pPr>
            <w:r>
              <w:rPr>
                <w:b/>
                <w:bCs/>
                <w:color w:val="1F3864"/>
                <w:sz w:val="19"/>
                <w:szCs w:val="19"/>
              </w:rPr>
              <w:t xml:space="preserve">PAM</w:t>
            </w:r>
          </w:p>
        </w:tc>
        <w:tc>
          <w:tcPr>
            <w:tcW w:type="dxa" w:w="1778"/>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center"/>
            </w:pPr>
            <w:r>
              <w:rPr>
                <w:color w:val="262626"/>
                <w:sz w:val="19"/>
                <w:szCs w:val="19"/>
              </w:rPr>
              <w:t xml:space="preserve">$200</w:t>
            </w:r>
          </w:p>
        </w:tc>
        <w:tc>
          <w:tcPr>
            <w:tcW w:type="dxa" w:w="1778"/>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center"/>
            </w:pPr>
            <w:r>
              <w:rPr>
                <w:color w:val="262626"/>
                <w:sz w:val="19"/>
                <w:szCs w:val="19"/>
              </w:rPr>
              <w:t xml:space="preserve">$9,269</w:t>
            </w:r>
          </w:p>
        </w:tc>
        <w:tc>
          <w:tcPr>
            <w:tcW w:type="dxa" w:w="1778"/>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center"/>
            </w:pPr>
            <w:r>
              <w:rPr>
                <w:color w:val="262626"/>
                <w:sz w:val="19"/>
                <w:szCs w:val="19"/>
              </w:rPr>
              <w:t xml:space="preserve">$6,000</w:t>
            </w:r>
          </w:p>
        </w:tc>
        <w:tc>
          <w:tcPr>
            <w:tcW w:type="dxa" w:w="1780"/>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center"/>
            </w:pPr>
            <w:r>
              <w:rPr>
                <w:color w:val="262626"/>
                <w:sz w:val="19"/>
                <w:szCs w:val="19"/>
              </w:rPr>
              <w:t xml:space="preserve">-35.3%</w:t>
            </w:r>
          </w:p>
        </w:tc>
      </w:tr>
      <w:tr>
        <w:trPr>
          <w:cantSplit/>
        </w:trPr>
        <w:tc>
          <w:tcPr>
            <w:tcW w:type="dxa" w:w="2246"/>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left"/>
            </w:pPr>
            <w:r>
              <w:rPr>
                <w:b/>
                <w:bCs/>
                <w:color w:val="1F3864"/>
                <w:sz w:val="19"/>
                <w:szCs w:val="19"/>
              </w:rPr>
              <w:t xml:space="preserve">Prosperar (new, from 21 Sep)</w:t>
            </w:r>
          </w:p>
        </w:tc>
        <w:tc>
          <w:tcPr>
            <w:tcW w:type="dxa" w:w="1778"/>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center"/>
            </w:pPr>
            <w:r>
              <w:rPr>
                <w:color w:val="262626"/>
                <w:sz w:val="19"/>
                <w:szCs w:val="19"/>
              </w:rPr>
              <w:t xml:space="preserve">$100</w:t>
            </w:r>
          </w:p>
        </w:tc>
        <w:tc>
          <w:tcPr>
            <w:tcW w:type="dxa" w:w="1778"/>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center"/>
            </w:pPr>
            <w:r>
              <w:rPr>
                <w:color w:val="262626"/>
                <w:sz w:val="19"/>
                <w:szCs w:val="19"/>
              </w:rPr>
              <w:t xml:space="preserve">—</w:t>
            </w:r>
          </w:p>
        </w:tc>
        <w:tc>
          <w:tcPr>
            <w:tcW w:type="dxa" w:w="1778"/>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center"/>
            </w:pPr>
            <w:r>
              <w:rPr>
                <w:color w:val="262626"/>
                <w:sz w:val="19"/>
                <w:szCs w:val="19"/>
              </w:rPr>
              <w:t xml:space="preserve">$1,040.32</w:t>
            </w:r>
          </w:p>
        </w:tc>
        <w:tc>
          <w:tcPr>
            <w:tcW w:type="dxa" w:w="1780"/>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center"/>
            </w:pPr>
            <w:r>
              <w:rPr>
                <w:color w:val="262626"/>
                <w:sz w:val="19"/>
                <w:szCs w:val="19"/>
              </w:rPr>
              <w:t xml:space="preserve">—</w:t>
            </w:r>
          </w:p>
        </w:tc>
      </w:tr>
      <w:tr>
        <w:trPr>
          <w:cantSplit/>
        </w:trPr>
        <w:tc>
          <w:tcPr>
            <w:tcW w:type="dxa" w:w="2246"/>
            <w:tcBorders>
              <w:top w:val="single" w:color="BFC9D9" w:sz="4"/>
              <w:left w:val="single" w:color="BFC9D9" w:sz="4"/>
              <w:bottom w:val="single" w:color="BFC9D9" w:sz="4"/>
              <w:right w:val="single" w:color="BFC9D9" w:sz="4"/>
            </w:tcBorders>
            <w:shd w:fill="DCE3F0" w:color="auto" w:val="clear"/>
            <w:tcMar>
              <w:top w:type="dxa" w:w="70"/>
              <w:left w:type="dxa" w:w="100"/>
              <w:bottom w:type="dxa" w:w="70"/>
              <w:right w:type="dxa" w:w="100"/>
            </w:tcMar>
            <w:vAlign w:val="center"/>
          </w:tcPr>
          <w:p>
            <w:pPr>
              <w:spacing w:line="260"/>
              <w:jc w:val="left"/>
            </w:pPr>
            <w:r>
              <w:rPr>
                <w:b/>
                <w:bCs/>
                <w:color w:val="1F3864"/>
                <w:sz w:val="19"/>
                <w:szCs w:val="19"/>
              </w:rPr>
              <w:t xml:space="preserve">TOTAL</w:t>
            </w:r>
          </w:p>
        </w:tc>
        <w:tc>
          <w:tcPr>
            <w:tcW w:type="dxa" w:w="1778"/>
            <w:tcBorders>
              <w:top w:val="single" w:color="BFC9D9" w:sz="4"/>
              <w:left w:val="single" w:color="BFC9D9" w:sz="4"/>
              <w:bottom w:val="single" w:color="BFC9D9" w:sz="4"/>
              <w:right w:val="single" w:color="BFC9D9" w:sz="4"/>
            </w:tcBorders>
            <w:shd w:fill="DCE3F0" w:color="auto" w:val="clear"/>
            <w:tcMar>
              <w:top w:type="dxa" w:w="70"/>
              <w:left w:type="dxa" w:w="100"/>
              <w:bottom w:type="dxa" w:w="70"/>
              <w:right w:type="dxa" w:w="100"/>
            </w:tcMar>
            <w:vAlign w:val="center"/>
          </w:tcPr>
          <w:p>
            <w:pPr>
              <w:spacing w:line="260"/>
              <w:jc w:val="center"/>
            </w:pPr>
            <w:r>
              <w:rPr>
                <w:b/>
                <w:bCs/>
                <w:color w:val="262626"/>
                <w:sz w:val="19"/>
                <w:szCs w:val="19"/>
              </w:rPr>
              <w:t xml:space="preserve">$1,550/day</w:t>
            </w:r>
          </w:p>
        </w:tc>
        <w:tc>
          <w:tcPr>
            <w:tcW w:type="dxa" w:w="1778"/>
            <w:tcBorders>
              <w:top w:val="single" w:color="BFC9D9" w:sz="4"/>
              <w:left w:val="single" w:color="BFC9D9" w:sz="4"/>
              <w:bottom w:val="single" w:color="BFC9D9" w:sz="4"/>
              <w:right w:val="single" w:color="BFC9D9" w:sz="4"/>
            </w:tcBorders>
            <w:shd w:fill="DCE3F0" w:color="auto" w:val="clear"/>
            <w:tcMar>
              <w:top w:type="dxa" w:w="70"/>
              <w:left w:type="dxa" w:w="100"/>
              <w:bottom w:type="dxa" w:w="70"/>
              <w:right w:type="dxa" w:w="100"/>
            </w:tcMar>
            <w:vAlign w:val="center"/>
          </w:tcPr>
          <w:p>
            <w:pPr>
              <w:spacing w:line="260"/>
              <w:jc w:val="center"/>
            </w:pPr>
            <w:r>
              <w:rPr>
                <w:b/>
                <w:bCs/>
                <w:color w:val="262626"/>
                <w:sz w:val="19"/>
                <w:szCs w:val="19"/>
              </w:rPr>
              <w:t xml:space="preserve">$49,520</w:t>
            </w:r>
          </w:p>
        </w:tc>
        <w:tc>
          <w:tcPr>
            <w:tcW w:type="dxa" w:w="1778"/>
            <w:tcBorders>
              <w:top w:val="single" w:color="BFC9D9" w:sz="4"/>
              <w:left w:val="single" w:color="BFC9D9" w:sz="4"/>
              <w:bottom w:val="single" w:color="BFC9D9" w:sz="4"/>
              <w:right w:val="single" w:color="BFC9D9" w:sz="4"/>
            </w:tcBorders>
            <w:shd w:fill="DCE3F0" w:color="auto" w:val="clear"/>
            <w:tcMar>
              <w:top w:type="dxa" w:w="70"/>
              <w:left w:type="dxa" w:w="100"/>
              <w:bottom w:type="dxa" w:w="70"/>
              <w:right w:type="dxa" w:w="100"/>
            </w:tcMar>
            <w:vAlign w:val="center"/>
          </w:tcPr>
          <w:p>
            <w:pPr>
              <w:spacing w:line="260"/>
              <w:jc w:val="center"/>
            </w:pPr>
            <w:r>
              <w:rPr>
                <w:b/>
                <w:bCs/>
                <w:color w:val="262626"/>
                <w:sz w:val="19"/>
                <w:szCs w:val="19"/>
              </w:rPr>
              <w:t xml:space="preserve">$43,146.05</w:t>
            </w:r>
          </w:p>
        </w:tc>
        <w:tc>
          <w:tcPr>
            <w:tcW w:type="dxa" w:w="1780"/>
            <w:tcBorders>
              <w:top w:val="single" w:color="BFC9D9" w:sz="4"/>
              <w:left w:val="single" w:color="BFC9D9" w:sz="4"/>
              <w:bottom w:val="single" w:color="BFC9D9" w:sz="4"/>
              <w:right w:val="single" w:color="BFC9D9" w:sz="4"/>
            </w:tcBorders>
            <w:shd w:fill="DCE3F0" w:color="auto" w:val="clear"/>
            <w:tcMar>
              <w:top w:type="dxa" w:w="70"/>
              <w:left w:type="dxa" w:w="100"/>
              <w:bottom w:type="dxa" w:w="70"/>
              <w:right w:type="dxa" w:w="100"/>
            </w:tcMar>
            <w:vAlign w:val="center"/>
          </w:tcPr>
          <w:p>
            <w:pPr>
              <w:spacing w:line="260"/>
              <w:jc w:val="center"/>
            </w:pPr>
            <w:r>
              <w:rPr>
                <w:b/>
                <w:bCs/>
                <w:color w:val="262626"/>
                <w:sz w:val="19"/>
                <w:szCs w:val="19"/>
              </w:rPr>
              <w:t xml:space="preserve">-12.9%</w:t>
            </w:r>
          </w:p>
        </w:tc>
      </w:tr>
    </w:tbl>
    <w:p>
      <w:pPr>
        <w:spacing w:after="80"/>
      </w:pPr>
    </w:p>
    <w:p>
      <w:pPr>
        <w:spacing w:after="140"/>
      </w:pPr>
      <w:r>
        <w:rPr>
          <w:i/>
          <w:iCs/>
          <w:color w:val="595959"/>
          <w:sz w:val="17"/>
          <w:szCs w:val="17"/>
        </w:rPr>
        <w:t xml:space="preserve">Daily budgets as reported. Some budgets changed during the month (e.g. Barcco from $300 to $250/day on 15 Sep), so a monthly budget and budget utilization are not calculated.</w:t>
      </w:r>
    </w:p>
    <w:p>
      <w:pPr>
        <w:pStyle w:val="Heading3"/>
      </w:pPr>
      <w:r>
        <w:t xml:space="preserve">Messages and cost per message by campaign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72"/>
        <w:gridCol w:w="1123"/>
        <w:gridCol w:w="1123"/>
        <w:gridCol w:w="1123"/>
        <w:gridCol w:w="1123"/>
        <w:gridCol w:w="1498"/>
        <w:gridCol w:w="1498"/>
      </w:tblGrid>
      <w:tr>
        <w:trPr>
          <w:tblHeader/>
        </w:trPr>
        <w:tc>
          <w:tcPr>
            <w:tcW w:type="dxa" w:w="1872"/>
            <w:tcBorders>
              <w:top w:val="single" w:color="BFC9D9" w:sz="4"/>
              <w:left w:val="single" w:color="BFC9D9" w:sz="4"/>
              <w:bottom w:val="single" w:color="BFC9D9" w:sz="4"/>
              <w:right w:val="single" w:color="BFC9D9" w:sz="4"/>
            </w:tcBorders>
            <w:shd w:fill="1F3864" w:color="auto" w:val="clear"/>
            <w:tcMar>
              <w:top w:type="dxa" w:w="70"/>
              <w:left w:type="dxa" w:w="100"/>
              <w:bottom w:type="dxa" w:w="70"/>
              <w:right w:type="dxa" w:w="100"/>
            </w:tcMar>
            <w:vAlign w:val="center"/>
          </w:tcPr>
          <w:p>
            <w:pPr>
              <w:spacing w:line="260"/>
              <w:jc w:val="left"/>
            </w:pPr>
            <w:r>
              <w:rPr>
                <w:b/>
                <w:bCs/>
                <w:color w:val="FFFFFF"/>
                <w:sz w:val="19"/>
                <w:szCs w:val="19"/>
              </w:rPr>
              <w:t xml:space="preserve">Campaign</w:t>
            </w:r>
          </w:p>
        </w:tc>
        <w:tc>
          <w:tcPr>
            <w:tcW w:type="dxa" w:w="1123"/>
            <w:tcBorders>
              <w:top w:val="single" w:color="BFC9D9" w:sz="4"/>
              <w:left w:val="single" w:color="BFC9D9" w:sz="4"/>
              <w:bottom w:val="single" w:color="BFC9D9" w:sz="4"/>
              <w:right w:val="single" w:color="BFC9D9" w:sz="4"/>
            </w:tcBorders>
            <w:shd w:fill="1F3864" w:color="auto" w:val="clear"/>
            <w:tcMar>
              <w:top w:type="dxa" w:w="70"/>
              <w:left w:type="dxa" w:w="100"/>
              <w:bottom w:type="dxa" w:w="70"/>
              <w:right w:type="dxa" w:w="100"/>
            </w:tcMar>
            <w:vAlign w:val="center"/>
          </w:tcPr>
          <w:p>
            <w:pPr>
              <w:spacing w:line="260"/>
              <w:jc w:val="center"/>
            </w:pPr>
            <w:r>
              <w:rPr>
                <w:b/>
                <w:bCs/>
                <w:color w:val="FFFFFF"/>
                <w:sz w:val="19"/>
                <w:szCs w:val="19"/>
              </w:rPr>
              <w:t xml:space="preserve">Msgs Aug.</w:t>
            </w:r>
          </w:p>
        </w:tc>
        <w:tc>
          <w:tcPr>
            <w:tcW w:type="dxa" w:w="1123"/>
            <w:tcBorders>
              <w:top w:val="single" w:color="BFC9D9" w:sz="4"/>
              <w:left w:val="single" w:color="BFC9D9" w:sz="4"/>
              <w:bottom w:val="single" w:color="BFC9D9" w:sz="4"/>
              <w:right w:val="single" w:color="BFC9D9" w:sz="4"/>
            </w:tcBorders>
            <w:shd w:fill="1F3864" w:color="auto" w:val="clear"/>
            <w:tcMar>
              <w:top w:type="dxa" w:w="70"/>
              <w:left w:type="dxa" w:w="100"/>
              <w:bottom w:type="dxa" w:w="70"/>
              <w:right w:type="dxa" w:w="100"/>
            </w:tcMar>
            <w:vAlign w:val="center"/>
          </w:tcPr>
          <w:p>
            <w:pPr>
              <w:spacing w:line="260"/>
              <w:jc w:val="center"/>
            </w:pPr>
            <w:r>
              <w:rPr>
                <w:b/>
                <w:bCs/>
                <w:color w:val="FFFFFF"/>
                <w:sz w:val="19"/>
                <w:szCs w:val="19"/>
              </w:rPr>
              <w:t xml:space="preserve">Msgs Sep.</w:t>
            </w:r>
          </w:p>
        </w:tc>
        <w:tc>
          <w:tcPr>
            <w:tcW w:type="dxa" w:w="1123"/>
            <w:tcBorders>
              <w:top w:val="single" w:color="BFC9D9" w:sz="4"/>
              <w:left w:val="single" w:color="BFC9D9" w:sz="4"/>
              <w:bottom w:val="single" w:color="BFC9D9" w:sz="4"/>
              <w:right w:val="single" w:color="BFC9D9" w:sz="4"/>
            </w:tcBorders>
            <w:shd w:fill="1F3864" w:color="auto" w:val="clear"/>
            <w:tcMar>
              <w:top w:type="dxa" w:w="70"/>
              <w:left w:type="dxa" w:w="100"/>
              <w:bottom w:type="dxa" w:w="70"/>
              <w:right w:type="dxa" w:w="100"/>
            </w:tcMar>
            <w:vAlign w:val="center"/>
          </w:tcPr>
          <w:p>
            <w:pPr>
              <w:spacing w:line="260"/>
              <w:jc w:val="center"/>
            </w:pPr>
            <w:r>
              <w:rPr>
                <w:b/>
                <w:bCs/>
                <w:color w:val="FFFFFF"/>
                <w:sz w:val="19"/>
                <w:szCs w:val="19"/>
              </w:rPr>
              <w:t xml:space="preserve">Change</w:t>
            </w:r>
          </w:p>
        </w:tc>
        <w:tc>
          <w:tcPr>
            <w:tcW w:type="dxa" w:w="1123"/>
            <w:tcBorders>
              <w:top w:val="single" w:color="BFC9D9" w:sz="4"/>
              <w:left w:val="single" w:color="BFC9D9" w:sz="4"/>
              <w:bottom w:val="single" w:color="BFC9D9" w:sz="4"/>
              <w:right w:val="single" w:color="BFC9D9" w:sz="4"/>
            </w:tcBorders>
            <w:shd w:fill="1F3864" w:color="auto" w:val="clear"/>
            <w:tcMar>
              <w:top w:type="dxa" w:w="70"/>
              <w:left w:type="dxa" w:w="100"/>
              <w:bottom w:type="dxa" w:w="70"/>
              <w:right w:type="dxa" w:w="100"/>
            </w:tcMar>
            <w:vAlign w:val="center"/>
          </w:tcPr>
          <w:p>
            <w:pPr>
              <w:spacing w:line="260"/>
              <w:jc w:val="center"/>
            </w:pPr>
            <w:r>
              <w:rPr>
                <w:b/>
                <w:bCs/>
                <w:color w:val="FFFFFF"/>
                <w:sz w:val="19"/>
                <w:szCs w:val="19"/>
              </w:rPr>
              <w:t xml:space="preserve">% of Sep.</w:t>
            </w:r>
          </w:p>
        </w:tc>
        <w:tc>
          <w:tcPr>
            <w:tcW w:type="dxa" w:w="1498"/>
            <w:tcBorders>
              <w:top w:val="single" w:color="BFC9D9" w:sz="4"/>
              <w:left w:val="single" w:color="BFC9D9" w:sz="4"/>
              <w:bottom w:val="single" w:color="BFC9D9" w:sz="4"/>
              <w:right w:val="single" w:color="BFC9D9" w:sz="4"/>
            </w:tcBorders>
            <w:shd w:fill="1F3864" w:color="auto" w:val="clear"/>
            <w:tcMar>
              <w:top w:type="dxa" w:w="70"/>
              <w:left w:type="dxa" w:w="100"/>
              <w:bottom w:type="dxa" w:w="70"/>
              <w:right w:type="dxa" w:w="100"/>
            </w:tcMar>
            <w:vAlign w:val="center"/>
          </w:tcPr>
          <w:p>
            <w:pPr>
              <w:spacing w:line="260"/>
              <w:jc w:val="center"/>
            </w:pPr>
            <w:r>
              <w:rPr>
                <w:b/>
                <w:bCs/>
                <w:color w:val="FFFFFF"/>
                <w:sz w:val="19"/>
                <w:szCs w:val="19"/>
              </w:rPr>
              <w:t xml:space="preserve">Cost/msg Aug.</w:t>
            </w:r>
          </w:p>
        </w:tc>
        <w:tc>
          <w:tcPr>
            <w:tcW w:type="dxa" w:w="1498"/>
            <w:tcBorders>
              <w:top w:val="single" w:color="BFC9D9" w:sz="4"/>
              <w:left w:val="single" w:color="BFC9D9" w:sz="4"/>
              <w:bottom w:val="single" w:color="BFC9D9" w:sz="4"/>
              <w:right w:val="single" w:color="BFC9D9" w:sz="4"/>
            </w:tcBorders>
            <w:shd w:fill="1F3864" w:color="auto" w:val="clear"/>
            <w:tcMar>
              <w:top w:type="dxa" w:w="70"/>
              <w:left w:type="dxa" w:w="100"/>
              <w:bottom w:type="dxa" w:w="70"/>
              <w:right w:type="dxa" w:w="100"/>
            </w:tcMar>
            <w:vAlign w:val="center"/>
          </w:tcPr>
          <w:p>
            <w:pPr>
              <w:spacing w:line="260"/>
              <w:jc w:val="center"/>
            </w:pPr>
            <w:r>
              <w:rPr>
                <w:b/>
                <w:bCs/>
                <w:color w:val="FFFFFF"/>
                <w:sz w:val="19"/>
                <w:szCs w:val="19"/>
              </w:rPr>
              <w:t xml:space="preserve">Cost/msg Sep.</w:t>
            </w:r>
          </w:p>
        </w:tc>
      </w:tr>
      <w:tr>
        <w:trPr>
          <w:cantSplit/>
        </w:trPr>
        <w:tc>
          <w:tcPr>
            <w:tcW w:type="dxa" w:w="1872"/>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left"/>
            </w:pPr>
            <w:r>
              <w:rPr>
                <w:b/>
                <w:bCs/>
                <w:color w:val="1F3864"/>
                <w:sz w:val="19"/>
                <w:szCs w:val="19"/>
              </w:rPr>
              <w:t xml:space="preserve">Pensión 360</w:t>
            </w:r>
          </w:p>
        </w:tc>
        <w:tc>
          <w:tcPr>
            <w:tcW w:type="dxa" w:w="1123"/>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center"/>
            </w:pPr>
            <w:r>
              <w:rPr>
                <w:color w:val="262626"/>
                <w:sz w:val="19"/>
                <w:szCs w:val="19"/>
              </w:rPr>
              <w:t xml:space="preserve">1,178</w:t>
            </w:r>
          </w:p>
        </w:tc>
        <w:tc>
          <w:tcPr>
            <w:tcW w:type="dxa" w:w="1123"/>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center"/>
            </w:pPr>
            <w:r>
              <w:rPr>
                <w:color w:val="262626"/>
                <w:sz w:val="19"/>
                <w:szCs w:val="19"/>
              </w:rPr>
              <w:t xml:space="preserve">1,025</w:t>
            </w:r>
          </w:p>
        </w:tc>
        <w:tc>
          <w:tcPr>
            <w:tcW w:type="dxa" w:w="1123"/>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center"/>
            </w:pPr>
            <w:r>
              <w:rPr>
                <w:color w:val="262626"/>
                <w:sz w:val="19"/>
                <w:szCs w:val="19"/>
              </w:rPr>
              <w:t xml:space="preserve">-13.0%</w:t>
            </w:r>
          </w:p>
        </w:tc>
        <w:tc>
          <w:tcPr>
            <w:tcW w:type="dxa" w:w="1123"/>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center"/>
            </w:pPr>
            <w:r>
              <w:rPr>
                <w:color w:val="262626"/>
                <w:sz w:val="19"/>
                <w:szCs w:val="19"/>
              </w:rPr>
              <w:t xml:space="preserve">26.2%</w:t>
            </w:r>
          </w:p>
        </w:tc>
        <w:tc>
          <w:tcPr>
            <w:tcW w:type="dxa" w:w="1498"/>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center"/>
            </w:pPr>
            <w:r>
              <w:rPr>
                <w:color w:val="262626"/>
                <w:sz w:val="19"/>
                <w:szCs w:val="19"/>
              </w:rPr>
              <w:t xml:space="preserve">$7.70</w:t>
            </w:r>
          </w:p>
        </w:tc>
        <w:tc>
          <w:tcPr>
            <w:tcW w:type="dxa" w:w="1498"/>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center"/>
            </w:pPr>
            <w:r>
              <w:rPr>
                <w:color w:val="262626"/>
                <w:sz w:val="19"/>
                <w:szCs w:val="19"/>
              </w:rPr>
              <w:t xml:space="preserve">$7.78</w:t>
            </w:r>
          </w:p>
        </w:tc>
      </w:tr>
      <w:tr>
        <w:trPr>
          <w:cantSplit/>
        </w:trPr>
        <w:tc>
          <w:tcPr>
            <w:tcW w:type="dxa" w:w="1872"/>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left"/>
            </w:pPr>
            <w:r>
              <w:rPr>
                <w:b/>
                <w:bCs/>
                <w:color w:val="1F3864"/>
                <w:sz w:val="19"/>
                <w:szCs w:val="19"/>
              </w:rPr>
              <w:t xml:space="preserve">PAM</w:t>
            </w:r>
          </w:p>
        </w:tc>
        <w:tc>
          <w:tcPr>
            <w:tcW w:type="dxa" w:w="1123"/>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center"/>
            </w:pPr>
            <w:r>
              <w:rPr>
                <w:color w:val="262626"/>
                <w:sz w:val="19"/>
                <w:szCs w:val="19"/>
              </w:rPr>
              <w:t xml:space="preserve">735</w:t>
            </w:r>
          </w:p>
        </w:tc>
        <w:tc>
          <w:tcPr>
            <w:tcW w:type="dxa" w:w="1123"/>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center"/>
            </w:pPr>
            <w:r>
              <w:rPr>
                <w:color w:val="262626"/>
                <w:sz w:val="19"/>
                <w:szCs w:val="19"/>
              </w:rPr>
              <w:t xml:space="preserve">757</w:t>
            </w:r>
          </w:p>
        </w:tc>
        <w:tc>
          <w:tcPr>
            <w:tcW w:type="dxa" w:w="1123"/>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center"/>
            </w:pPr>
            <w:r>
              <w:rPr>
                <w:color w:val="262626"/>
                <w:sz w:val="19"/>
                <w:szCs w:val="19"/>
              </w:rPr>
              <w:t xml:space="preserve">+3.0%</w:t>
            </w:r>
          </w:p>
        </w:tc>
        <w:tc>
          <w:tcPr>
            <w:tcW w:type="dxa" w:w="1123"/>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center"/>
            </w:pPr>
            <w:r>
              <w:rPr>
                <w:color w:val="262626"/>
                <w:sz w:val="19"/>
                <w:szCs w:val="19"/>
              </w:rPr>
              <w:t xml:space="preserve">19.4%</w:t>
            </w:r>
          </w:p>
        </w:tc>
        <w:tc>
          <w:tcPr>
            <w:tcW w:type="dxa" w:w="1498"/>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center"/>
            </w:pPr>
            <w:r>
              <w:rPr>
                <w:color w:val="262626"/>
                <w:sz w:val="19"/>
                <w:szCs w:val="19"/>
              </w:rPr>
              <w:t xml:space="preserve">$12.61</w:t>
            </w:r>
          </w:p>
        </w:tc>
        <w:tc>
          <w:tcPr>
            <w:tcW w:type="dxa" w:w="1498"/>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center"/>
            </w:pPr>
            <w:r>
              <w:rPr>
                <w:color w:val="262626"/>
                <w:sz w:val="19"/>
                <w:szCs w:val="19"/>
              </w:rPr>
              <w:t xml:space="preserve">$7.93</w:t>
            </w:r>
          </w:p>
        </w:tc>
      </w:tr>
      <w:tr>
        <w:trPr>
          <w:cantSplit/>
        </w:trPr>
        <w:tc>
          <w:tcPr>
            <w:tcW w:type="dxa" w:w="1872"/>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left"/>
            </w:pPr>
            <w:r>
              <w:rPr>
                <w:b/>
                <w:bCs/>
                <w:color w:val="1F3864"/>
                <w:sz w:val="19"/>
                <w:szCs w:val="19"/>
              </w:rPr>
              <w:t xml:space="preserve">Pensionate</w:t>
            </w:r>
          </w:p>
        </w:tc>
        <w:tc>
          <w:tcPr>
            <w:tcW w:type="dxa" w:w="1123"/>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center"/>
            </w:pPr>
            <w:r>
              <w:rPr>
                <w:color w:val="262626"/>
                <w:sz w:val="19"/>
                <w:szCs w:val="19"/>
              </w:rPr>
              <w:t xml:space="preserve">522</w:t>
            </w:r>
          </w:p>
        </w:tc>
        <w:tc>
          <w:tcPr>
            <w:tcW w:type="dxa" w:w="1123"/>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center"/>
            </w:pPr>
            <w:r>
              <w:rPr>
                <w:color w:val="262626"/>
                <w:sz w:val="19"/>
                <w:szCs w:val="19"/>
              </w:rPr>
              <w:t xml:space="preserve">575</w:t>
            </w:r>
          </w:p>
        </w:tc>
        <w:tc>
          <w:tcPr>
            <w:tcW w:type="dxa" w:w="1123"/>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center"/>
            </w:pPr>
            <w:r>
              <w:rPr>
                <w:color w:val="262626"/>
                <w:sz w:val="19"/>
                <w:szCs w:val="19"/>
              </w:rPr>
              <w:t xml:space="preserve">+10.2%</w:t>
            </w:r>
          </w:p>
        </w:tc>
        <w:tc>
          <w:tcPr>
            <w:tcW w:type="dxa" w:w="1123"/>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center"/>
            </w:pPr>
            <w:r>
              <w:rPr>
                <w:color w:val="262626"/>
                <w:sz w:val="19"/>
                <w:szCs w:val="19"/>
              </w:rPr>
              <w:t xml:space="preserve">14.7%</w:t>
            </w:r>
          </w:p>
        </w:tc>
        <w:tc>
          <w:tcPr>
            <w:tcW w:type="dxa" w:w="1498"/>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center"/>
            </w:pPr>
            <w:r>
              <w:rPr>
                <w:color w:val="262626"/>
                <w:sz w:val="19"/>
                <w:szCs w:val="19"/>
              </w:rPr>
              <w:t xml:space="preserve">$13.36</w:t>
            </w:r>
          </w:p>
        </w:tc>
        <w:tc>
          <w:tcPr>
            <w:tcW w:type="dxa" w:w="1498"/>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center"/>
            </w:pPr>
            <w:r>
              <w:rPr>
                <w:color w:val="262626"/>
                <w:sz w:val="19"/>
                <w:szCs w:val="19"/>
              </w:rPr>
              <w:t xml:space="preserve">$10.55</w:t>
            </w:r>
          </w:p>
        </w:tc>
      </w:tr>
      <w:tr>
        <w:trPr>
          <w:cantSplit/>
        </w:trPr>
        <w:tc>
          <w:tcPr>
            <w:tcW w:type="dxa" w:w="1872"/>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left"/>
            </w:pPr>
            <w:r>
              <w:rPr>
                <w:b/>
                <w:bCs/>
                <w:color w:val="1F3864"/>
                <w:sz w:val="19"/>
                <w:szCs w:val="19"/>
              </w:rPr>
              <w:t xml:space="preserve">Barcco</w:t>
            </w:r>
          </w:p>
        </w:tc>
        <w:tc>
          <w:tcPr>
            <w:tcW w:type="dxa" w:w="1123"/>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center"/>
            </w:pPr>
            <w:r>
              <w:rPr>
                <w:color w:val="262626"/>
                <w:sz w:val="19"/>
                <w:szCs w:val="19"/>
              </w:rPr>
              <w:t xml:space="preserve">811</w:t>
            </w:r>
          </w:p>
        </w:tc>
        <w:tc>
          <w:tcPr>
            <w:tcW w:type="dxa" w:w="1123"/>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center"/>
            </w:pPr>
            <w:r>
              <w:rPr>
                <w:color w:val="262626"/>
                <w:sz w:val="19"/>
                <w:szCs w:val="19"/>
              </w:rPr>
              <w:t xml:space="preserve">560</w:t>
            </w:r>
          </w:p>
        </w:tc>
        <w:tc>
          <w:tcPr>
            <w:tcW w:type="dxa" w:w="1123"/>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center"/>
            </w:pPr>
            <w:r>
              <w:rPr>
                <w:color w:val="262626"/>
                <w:sz w:val="19"/>
                <w:szCs w:val="19"/>
              </w:rPr>
              <w:t xml:space="preserve">-30.9%</w:t>
            </w:r>
          </w:p>
        </w:tc>
        <w:tc>
          <w:tcPr>
            <w:tcW w:type="dxa" w:w="1123"/>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center"/>
            </w:pPr>
            <w:r>
              <w:rPr>
                <w:color w:val="262626"/>
                <w:sz w:val="19"/>
                <w:szCs w:val="19"/>
              </w:rPr>
              <w:t xml:space="preserve">14.3%</w:t>
            </w:r>
          </w:p>
        </w:tc>
        <w:tc>
          <w:tcPr>
            <w:tcW w:type="dxa" w:w="1498"/>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center"/>
            </w:pPr>
            <w:r>
              <w:rPr>
                <w:color w:val="262626"/>
                <w:sz w:val="19"/>
                <w:szCs w:val="19"/>
              </w:rPr>
              <w:t xml:space="preserve">$11.07</w:t>
            </w:r>
          </w:p>
        </w:tc>
        <w:tc>
          <w:tcPr>
            <w:tcW w:type="dxa" w:w="1498"/>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center"/>
            </w:pPr>
            <w:r>
              <w:rPr>
                <w:color w:val="262626"/>
                <w:sz w:val="19"/>
                <w:szCs w:val="19"/>
              </w:rPr>
              <w:t xml:space="preserve">$13.08</w:t>
            </w:r>
          </w:p>
        </w:tc>
      </w:tr>
      <w:tr>
        <w:trPr>
          <w:cantSplit/>
        </w:trPr>
        <w:tc>
          <w:tcPr>
            <w:tcW w:type="dxa" w:w="1872"/>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left"/>
            </w:pPr>
            <w:r>
              <w:rPr>
                <w:b/>
                <w:bCs/>
                <w:color w:val="1F3864"/>
                <w:sz w:val="19"/>
                <w:szCs w:val="19"/>
              </w:rPr>
              <w:t xml:space="preserve">Nosotros</w:t>
            </w:r>
          </w:p>
        </w:tc>
        <w:tc>
          <w:tcPr>
            <w:tcW w:type="dxa" w:w="1123"/>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center"/>
            </w:pPr>
            <w:r>
              <w:rPr>
                <w:color w:val="262626"/>
                <w:sz w:val="19"/>
                <w:szCs w:val="19"/>
              </w:rPr>
              <w:t xml:space="preserve">611</w:t>
            </w:r>
          </w:p>
        </w:tc>
        <w:tc>
          <w:tcPr>
            <w:tcW w:type="dxa" w:w="1123"/>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center"/>
            </w:pPr>
            <w:r>
              <w:rPr>
                <w:color w:val="262626"/>
                <w:sz w:val="19"/>
                <w:szCs w:val="19"/>
              </w:rPr>
              <w:t xml:space="preserve">492</w:t>
            </w:r>
          </w:p>
        </w:tc>
        <w:tc>
          <w:tcPr>
            <w:tcW w:type="dxa" w:w="1123"/>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center"/>
            </w:pPr>
            <w:r>
              <w:rPr>
                <w:color w:val="262626"/>
                <w:sz w:val="19"/>
                <w:szCs w:val="19"/>
              </w:rPr>
              <w:t xml:space="preserve">-19.5%</w:t>
            </w:r>
          </w:p>
        </w:tc>
        <w:tc>
          <w:tcPr>
            <w:tcW w:type="dxa" w:w="1123"/>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center"/>
            </w:pPr>
            <w:r>
              <w:rPr>
                <w:color w:val="262626"/>
                <w:sz w:val="19"/>
                <w:szCs w:val="19"/>
              </w:rPr>
              <w:t xml:space="preserve">12.6%</w:t>
            </w:r>
          </w:p>
        </w:tc>
        <w:tc>
          <w:tcPr>
            <w:tcW w:type="dxa" w:w="1498"/>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center"/>
            </w:pPr>
            <w:r>
              <w:rPr>
                <w:color w:val="262626"/>
                <w:sz w:val="19"/>
                <w:szCs w:val="19"/>
              </w:rPr>
              <w:t xml:space="preserve">$12.74</w:t>
            </w:r>
          </w:p>
        </w:tc>
        <w:tc>
          <w:tcPr>
            <w:tcW w:type="dxa" w:w="1498"/>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center"/>
            </w:pPr>
            <w:r>
              <w:rPr>
                <w:color w:val="262626"/>
                <w:sz w:val="19"/>
                <w:szCs w:val="19"/>
              </w:rPr>
              <w:t xml:space="preserve">$15.35</w:t>
            </w:r>
          </w:p>
        </w:tc>
      </w:tr>
      <w:tr>
        <w:trPr>
          <w:cantSplit/>
        </w:trPr>
        <w:tc>
          <w:tcPr>
            <w:tcW w:type="dxa" w:w="1872"/>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left"/>
            </w:pPr>
            <w:r>
              <w:rPr>
                <w:b/>
                <w:bCs/>
                <w:color w:val="1F3864"/>
                <w:sz w:val="19"/>
                <w:szCs w:val="19"/>
              </w:rPr>
              <w:t xml:space="preserve">Retiro Vertical</w:t>
            </w:r>
          </w:p>
        </w:tc>
        <w:tc>
          <w:tcPr>
            <w:tcW w:type="dxa" w:w="1123"/>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center"/>
            </w:pPr>
            <w:r>
              <w:rPr>
                <w:color w:val="262626"/>
                <w:sz w:val="19"/>
                <w:szCs w:val="19"/>
              </w:rPr>
              <w:t xml:space="preserve">632</w:t>
            </w:r>
          </w:p>
        </w:tc>
        <w:tc>
          <w:tcPr>
            <w:tcW w:type="dxa" w:w="1123"/>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center"/>
            </w:pPr>
            <w:r>
              <w:rPr>
                <w:color w:val="262626"/>
                <w:sz w:val="19"/>
                <w:szCs w:val="19"/>
              </w:rPr>
              <w:t xml:space="preserve">441</w:t>
            </w:r>
          </w:p>
        </w:tc>
        <w:tc>
          <w:tcPr>
            <w:tcW w:type="dxa" w:w="1123"/>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center"/>
            </w:pPr>
            <w:r>
              <w:rPr>
                <w:color w:val="262626"/>
                <w:sz w:val="19"/>
                <w:szCs w:val="19"/>
              </w:rPr>
              <w:t xml:space="preserve">-30.2%</w:t>
            </w:r>
          </w:p>
        </w:tc>
        <w:tc>
          <w:tcPr>
            <w:tcW w:type="dxa" w:w="1123"/>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center"/>
            </w:pPr>
            <w:r>
              <w:rPr>
                <w:color w:val="262626"/>
                <w:sz w:val="19"/>
                <w:szCs w:val="19"/>
              </w:rPr>
              <w:t xml:space="preserve">11.3%</w:t>
            </w:r>
          </w:p>
        </w:tc>
        <w:tc>
          <w:tcPr>
            <w:tcW w:type="dxa" w:w="1498"/>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center"/>
            </w:pPr>
            <w:r>
              <w:rPr>
                <w:color w:val="262626"/>
                <w:sz w:val="19"/>
                <w:szCs w:val="19"/>
              </w:rPr>
              <w:t xml:space="preserve">$11.78</w:t>
            </w:r>
          </w:p>
        </w:tc>
        <w:tc>
          <w:tcPr>
            <w:tcW w:type="dxa" w:w="1498"/>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center"/>
            </w:pPr>
            <w:r>
              <w:rPr>
                <w:color w:val="262626"/>
                <w:sz w:val="19"/>
                <w:szCs w:val="19"/>
              </w:rPr>
              <w:t xml:space="preserve">$16.28</w:t>
            </w:r>
          </w:p>
        </w:tc>
      </w:tr>
      <w:tr>
        <w:trPr>
          <w:cantSplit/>
        </w:trPr>
        <w:tc>
          <w:tcPr>
            <w:tcW w:type="dxa" w:w="1872"/>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left"/>
            </w:pPr>
            <w:r>
              <w:rPr>
                <w:b/>
                <w:bCs/>
                <w:color w:val="1F3864"/>
                <w:sz w:val="19"/>
                <w:szCs w:val="19"/>
              </w:rPr>
              <w:t xml:space="preserve">Prosperar (new)</w:t>
            </w:r>
          </w:p>
        </w:tc>
        <w:tc>
          <w:tcPr>
            <w:tcW w:type="dxa" w:w="1123"/>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center"/>
            </w:pPr>
            <w:r>
              <w:rPr>
                <w:color w:val="262626"/>
                <w:sz w:val="19"/>
                <w:szCs w:val="19"/>
              </w:rPr>
              <w:t xml:space="preserve">—</w:t>
            </w:r>
          </w:p>
        </w:tc>
        <w:tc>
          <w:tcPr>
            <w:tcW w:type="dxa" w:w="1123"/>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center"/>
            </w:pPr>
            <w:r>
              <w:rPr>
                <w:color w:val="262626"/>
                <w:sz w:val="19"/>
                <w:szCs w:val="19"/>
              </w:rPr>
              <w:t xml:space="preserve">62</w:t>
            </w:r>
          </w:p>
        </w:tc>
        <w:tc>
          <w:tcPr>
            <w:tcW w:type="dxa" w:w="1123"/>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center"/>
            </w:pPr>
            <w:r>
              <w:rPr>
                <w:color w:val="262626"/>
                <w:sz w:val="19"/>
                <w:szCs w:val="19"/>
              </w:rPr>
              <w:t xml:space="preserve">—</w:t>
            </w:r>
          </w:p>
        </w:tc>
        <w:tc>
          <w:tcPr>
            <w:tcW w:type="dxa" w:w="1123"/>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center"/>
            </w:pPr>
            <w:r>
              <w:rPr>
                <w:color w:val="262626"/>
                <w:sz w:val="19"/>
                <w:szCs w:val="19"/>
              </w:rPr>
              <w:t xml:space="preserve">1.6%</w:t>
            </w:r>
          </w:p>
        </w:tc>
        <w:tc>
          <w:tcPr>
            <w:tcW w:type="dxa" w:w="1498"/>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center"/>
            </w:pPr>
            <w:r>
              <w:rPr>
                <w:color w:val="262626"/>
                <w:sz w:val="19"/>
                <w:szCs w:val="19"/>
              </w:rPr>
              <w:t xml:space="preserve">—</w:t>
            </w:r>
          </w:p>
        </w:tc>
        <w:tc>
          <w:tcPr>
            <w:tcW w:type="dxa" w:w="1498"/>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center"/>
            </w:pPr>
            <w:r>
              <w:rPr>
                <w:color w:val="262626"/>
                <w:sz w:val="19"/>
                <w:szCs w:val="19"/>
              </w:rPr>
              <w:t xml:space="preserve">$16.78</w:t>
            </w:r>
          </w:p>
        </w:tc>
      </w:tr>
      <w:tr>
        <w:trPr>
          <w:cantSplit/>
        </w:trPr>
        <w:tc>
          <w:tcPr>
            <w:tcW w:type="dxa" w:w="1872"/>
            <w:tcBorders>
              <w:top w:val="single" w:color="BFC9D9" w:sz="4"/>
              <w:left w:val="single" w:color="BFC9D9" w:sz="4"/>
              <w:bottom w:val="single" w:color="BFC9D9" w:sz="4"/>
              <w:right w:val="single" w:color="BFC9D9" w:sz="4"/>
            </w:tcBorders>
            <w:shd w:fill="DCE3F0" w:color="auto" w:val="clear"/>
            <w:tcMar>
              <w:top w:type="dxa" w:w="70"/>
              <w:left w:type="dxa" w:w="100"/>
              <w:bottom w:type="dxa" w:w="70"/>
              <w:right w:type="dxa" w:w="100"/>
            </w:tcMar>
            <w:vAlign w:val="center"/>
          </w:tcPr>
          <w:p>
            <w:pPr>
              <w:spacing w:line="260"/>
              <w:jc w:val="left"/>
            </w:pPr>
            <w:r>
              <w:rPr>
                <w:b/>
                <w:bCs/>
                <w:color w:val="1F3864"/>
                <w:sz w:val="19"/>
                <w:szCs w:val="19"/>
              </w:rPr>
              <w:t xml:space="preserve">TOTAL (campaign data)</w:t>
            </w:r>
          </w:p>
        </w:tc>
        <w:tc>
          <w:tcPr>
            <w:tcW w:type="dxa" w:w="1123"/>
            <w:tcBorders>
              <w:top w:val="single" w:color="BFC9D9" w:sz="4"/>
              <w:left w:val="single" w:color="BFC9D9" w:sz="4"/>
              <w:bottom w:val="single" w:color="BFC9D9" w:sz="4"/>
              <w:right w:val="single" w:color="BFC9D9" w:sz="4"/>
            </w:tcBorders>
            <w:shd w:fill="DCE3F0" w:color="auto" w:val="clear"/>
            <w:tcMar>
              <w:top w:type="dxa" w:w="70"/>
              <w:left w:type="dxa" w:w="100"/>
              <w:bottom w:type="dxa" w:w="70"/>
              <w:right w:type="dxa" w:w="100"/>
            </w:tcMar>
            <w:vAlign w:val="center"/>
          </w:tcPr>
          <w:p>
            <w:pPr>
              <w:spacing w:line="260"/>
              <w:jc w:val="center"/>
            </w:pPr>
            <w:r>
              <w:rPr>
                <w:b/>
                <w:bCs/>
                <w:color w:val="262626"/>
                <w:sz w:val="19"/>
                <w:szCs w:val="19"/>
              </w:rPr>
              <w:t xml:space="preserve">4,489</w:t>
            </w:r>
          </w:p>
        </w:tc>
        <w:tc>
          <w:tcPr>
            <w:tcW w:type="dxa" w:w="1123"/>
            <w:tcBorders>
              <w:top w:val="single" w:color="BFC9D9" w:sz="4"/>
              <w:left w:val="single" w:color="BFC9D9" w:sz="4"/>
              <w:bottom w:val="single" w:color="BFC9D9" w:sz="4"/>
              <w:right w:val="single" w:color="BFC9D9" w:sz="4"/>
            </w:tcBorders>
            <w:shd w:fill="DCE3F0" w:color="auto" w:val="clear"/>
            <w:tcMar>
              <w:top w:type="dxa" w:w="70"/>
              <w:left w:type="dxa" w:w="100"/>
              <w:bottom w:type="dxa" w:w="70"/>
              <w:right w:type="dxa" w:w="100"/>
            </w:tcMar>
            <w:vAlign w:val="center"/>
          </w:tcPr>
          <w:p>
            <w:pPr>
              <w:spacing w:line="260"/>
              <w:jc w:val="center"/>
            </w:pPr>
            <w:r>
              <w:rPr>
                <w:b/>
                <w:bCs/>
                <w:color w:val="262626"/>
                <w:sz w:val="19"/>
                <w:szCs w:val="19"/>
              </w:rPr>
              <w:t xml:space="preserve">3,912</w:t>
            </w:r>
          </w:p>
        </w:tc>
        <w:tc>
          <w:tcPr>
            <w:tcW w:type="dxa" w:w="1123"/>
            <w:tcBorders>
              <w:top w:val="single" w:color="BFC9D9" w:sz="4"/>
              <w:left w:val="single" w:color="BFC9D9" w:sz="4"/>
              <w:bottom w:val="single" w:color="BFC9D9" w:sz="4"/>
              <w:right w:val="single" w:color="BFC9D9" w:sz="4"/>
            </w:tcBorders>
            <w:shd w:fill="DCE3F0" w:color="auto" w:val="clear"/>
            <w:tcMar>
              <w:top w:type="dxa" w:w="70"/>
              <w:left w:type="dxa" w:w="100"/>
              <w:bottom w:type="dxa" w:w="70"/>
              <w:right w:type="dxa" w:w="100"/>
            </w:tcMar>
            <w:vAlign w:val="center"/>
          </w:tcPr>
          <w:p>
            <w:pPr>
              <w:spacing w:line="260"/>
              <w:jc w:val="center"/>
            </w:pPr>
            <w:r>
              <w:rPr>
                <w:b/>
                <w:bCs/>
                <w:color w:val="262626"/>
                <w:sz w:val="19"/>
                <w:szCs w:val="19"/>
              </w:rPr>
              <w:t xml:space="preserve">-12.9%</w:t>
            </w:r>
          </w:p>
        </w:tc>
        <w:tc>
          <w:tcPr>
            <w:tcW w:type="dxa" w:w="1123"/>
            <w:tcBorders>
              <w:top w:val="single" w:color="BFC9D9" w:sz="4"/>
              <w:left w:val="single" w:color="BFC9D9" w:sz="4"/>
              <w:bottom w:val="single" w:color="BFC9D9" w:sz="4"/>
              <w:right w:val="single" w:color="BFC9D9" w:sz="4"/>
            </w:tcBorders>
            <w:shd w:fill="DCE3F0" w:color="auto" w:val="clear"/>
            <w:tcMar>
              <w:top w:type="dxa" w:w="70"/>
              <w:left w:type="dxa" w:w="100"/>
              <w:bottom w:type="dxa" w:w="70"/>
              <w:right w:type="dxa" w:w="100"/>
            </w:tcMar>
            <w:vAlign w:val="center"/>
          </w:tcPr>
          <w:p>
            <w:pPr>
              <w:spacing w:line="260"/>
              <w:jc w:val="center"/>
            </w:pPr>
            <w:r>
              <w:rPr>
                <w:b/>
                <w:bCs/>
                <w:color w:val="262626"/>
                <w:sz w:val="19"/>
                <w:szCs w:val="19"/>
              </w:rPr>
              <w:t xml:space="preserve">100.0%</w:t>
            </w:r>
          </w:p>
        </w:tc>
        <w:tc>
          <w:tcPr>
            <w:tcW w:type="dxa" w:w="1498"/>
            <w:tcBorders>
              <w:top w:val="single" w:color="BFC9D9" w:sz="4"/>
              <w:left w:val="single" w:color="BFC9D9" w:sz="4"/>
              <w:bottom w:val="single" w:color="BFC9D9" w:sz="4"/>
              <w:right w:val="single" w:color="BFC9D9" w:sz="4"/>
            </w:tcBorders>
            <w:shd w:fill="DCE3F0" w:color="auto" w:val="clear"/>
            <w:tcMar>
              <w:top w:type="dxa" w:w="70"/>
              <w:left w:type="dxa" w:w="100"/>
              <w:bottom w:type="dxa" w:w="70"/>
              <w:right w:type="dxa" w:w="100"/>
            </w:tcMar>
            <w:vAlign w:val="center"/>
          </w:tcPr>
          <w:p>
            <w:pPr>
              <w:spacing w:line="260"/>
              <w:jc w:val="center"/>
            </w:pPr>
            <w:r>
              <w:rPr>
                <w:b/>
                <w:bCs/>
                <w:color w:val="262626"/>
                <w:sz w:val="19"/>
                <w:szCs w:val="19"/>
              </w:rPr>
              <w:t xml:space="preserve">$11.03</w:t>
            </w:r>
          </w:p>
        </w:tc>
        <w:tc>
          <w:tcPr>
            <w:tcW w:type="dxa" w:w="1498"/>
            <w:tcBorders>
              <w:top w:val="single" w:color="BFC9D9" w:sz="4"/>
              <w:left w:val="single" w:color="BFC9D9" w:sz="4"/>
              <w:bottom w:val="single" w:color="BFC9D9" w:sz="4"/>
              <w:right w:val="single" w:color="BFC9D9" w:sz="4"/>
            </w:tcBorders>
            <w:shd w:fill="DCE3F0" w:color="auto" w:val="clear"/>
            <w:tcMar>
              <w:top w:type="dxa" w:w="70"/>
              <w:left w:type="dxa" w:w="100"/>
              <w:bottom w:type="dxa" w:w="70"/>
              <w:right w:type="dxa" w:w="100"/>
            </w:tcMar>
            <w:vAlign w:val="center"/>
          </w:tcPr>
          <w:p>
            <w:pPr>
              <w:spacing w:line="260"/>
              <w:jc w:val="center"/>
            </w:pPr>
            <w:r>
              <w:rPr>
                <w:b/>
                <w:bCs/>
                <w:color w:val="262626"/>
                <w:sz w:val="19"/>
                <w:szCs w:val="19"/>
              </w:rPr>
              <w:t xml:space="preserve">$11.03</w:t>
            </w:r>
          </w:p>
        </w:tc>
      </w:tr>
    </w:tbl>
    <w:p>
      <w:pPr>
        <w:spacing w:after="80"/>
      </w:pPr>
    </w:p>
    <w:p>
      <w:pPr>
        <w:spacing w:after="140"/>
      </w:pPr>
      <w:r>
        <w:rPr>
          <w:i/>
          <w:iCs/>
          <w:color w:val="595959"/>
          <w:sz w:val="17"/>
          <w:szCs w:val="17"/>
        </w:rPr>
        <w:t xml:space="preserve">Cost per message and shares are calc. The campaign-level messages add up to 3,912 (3,850 without Prosperar), versus 3,769 in the monthly summary; the summary figure is used for the headline results and conversion rates.</w:t>
      </w:r>
    </w:p>
    <w:p>
      <w:pPr>
        <w:keepNext/>
        <w:spacing w:after="40" w:before="80"/>
        <w:jc w:val="center"/>
      </w:pPr>
      <w:r>
        <w:drawing>
          <wp:inline distT="0" distB="0" distL="0" distR="0">
            <wp:extent cx="5943600" cy="2009775"/>
            <wp:effectExtent t="0" r="0" b="0" l="0"/>
            <wp:docPr id="2" name="chart4" descr="chart4" title="chart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2009775"/>
                    </a:xfrm>
                    <a:prstGeom prst="rect">
                      <a:avLst/>
                    </a:prstGeom>
                  </pic:spPr>
                </pic:pic>
              </a:graphicData>
            </a:graphic>
          </wp:inline>
        </w:drawing>
      </w:r>
    </w:p>
    <w:p>
      <w:pPr>
        <w:spacing w:after="200"/>
        <w:jc w:val="center"/>
      </w:pPr>
      <w:r>
        <w:rPr>
          <w:i/>
          <w:iCs/>
          <w:color w:val="595959"/>
          <w:sz w:val="17"/>
          <w:szCs w:val="17"/>
        </w:rPr>
        <w:t xml:space="preserve">Chart 2. Messages and cost per message by campaign: August vs. September 2026.</w:t>
      </w:r>
    </w:p>
    <w:p>
      <w:pPr>
        <w:pStyle w:val="Heading3"/>
      </w:pPr>
      <w:r>
        <w:t xml:space="preserve">Efficiency indicators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44"/>
        <w:gridCol w:w="1872"/>
        <w:gridCol w:w="1872"/>
        <w:gridCol w:w="1872"/>
      </w:tblGrid>
      <w:tr>
        <w:trPr>
          <w:tblHeader/>
        </w:trPr>
        <w:tc>
          <w:tcPr>
            <w:tcW w:type="dxa" w:w="3744"/>
            <w:tcBorders>
              <w:top w:val="single" w:color="BFC9D9" w:sz="4"/>
              <w:left w:val="single" w:color="BFC9D9" w:sz="4"/>
              <w:bottom w:val="single" w:color="BFC9D9" w:sz="4"/>
              <w:right w:val="single" w:color="BFC9D9" w:sz="4"/>
            </w:tcBorders>
            <w:shd w:fill="1F3864" w:color="auto" w:val="clear"/>
            <w:tcMar>
              <w:top w:type="dxa" w:w="70"/>
              <w:left w:type="dxa" w:w="100"/>
              <w:bottom w:type="dxa" w:w="70"/>
              <w:right w:type="dxa" w:w="100"/>
            </w:tcMar>
            <w:vAlign w:val="center"/>
          </w:tcPr>
          <w:p>
            <w:pPr>
              <w:spacing w:line="260"/>
              <w:jc w:val="left"/>
            </w:pPr>
            <w:r>
              <w:rPr>
                <w:b/>
                <w:bCs/>
                <w:color w:val="FFFFFF"/>
                <w:sz w:val="19"/>
                <w:szCs w:val="19"/>
              </w:rPr>
              <w:t xml:space="preserve">Indicator</w:t>
            </w:r>
          </w:p>
        </w:tc>
        <w:tc>
          <w:tcPr>
            <w:tcW w:type="dxa" w:w="1872"/>
            <w:tcBorders>
              <w:top w:val="single" w:color="BFC9D9" w:sz="4"/>
              <w:left w:val="single" w:color="BFC9D9" w:sz="4"/>
              <w:bottom w:val="single" w:color="BFC9D9" w:sz="4"/>
              <w:right w:val="single" w:color="BFC9D9" w:sz="4"/>
            </w:tcBorders>
            <w:shd w:fill="1F3864" w:color="auto" w:val="clear"/>
            <w:tcMar>
              <w:top w:type="dxa" w:w="70"/>
              <w:left w:type="dxa" w:w="100"/>
              <w:bottom w:type="dxa" w:w="70"/>
              <w:right w:type="dxa" w:w="100"/>
            </w:tcMar>
            <w:vAlign w:val="center"/>
          </w:tcPr>
          <w:p>
            <w:pPr>
              <w:spacing w:line="260"/>
              <w:jc w:val="center"/>
            </w:pPr>
            <w:r>
              <w:rPr>
                <w:b/>
                <w:bCs/>
                <w:color w:val="FFFFFF"/>
                <w:sz w:val="19"/>
                <w:szCs w:val="19"/>
              </w:rPr>
              <w:t xml:space="preserve">August</w:t>
            </w:r>
          </w:p>
        </w:tc>
        <w:tc>
          <w:tcPr>
            <w:tcW w:type="dxa" w:w="1872"/>
            <w:tcBorders>
              <w:top w:val="single" w:color="BFC9D9" w:sz="4"/>
              <w:left w:val="single" w:color="BFC9D9" w:sz="4"/>
              <w:bottom w:val="single" w:color="BFC9D9" w:sz="4"/>
              <w:right w:val="single" w:color="BFC9D9" w:sz="4"/>
            </w:tcBorders>
            <w:shd w:fill="1F3864" w:color="auto" w:val="clear"/>
            <w:tcMar>
              <w:top w:type="dxa" w:w="70"/>
              <w:left w:type="dxa" w:w="100"/>
              <w:bottom w:type="dxa" w:w="70"/>
              <w:right w:type="dxa" w:w="100"/>
            </w:tcMar>
            <w:vAlign w:val="center"/>
          </w:tcPr>
          <w:p>
            <w:pPr>
              <w:spacing w:line="260"/>
              <w:jc w:val="center"/>
            </w:pPr>
            <w:r>
              <w:rPr>
                <w:b/>
                <w:bCs/>
                <w:color w:val="FFFFFF"/>
                <w:sz w:val="19"/>
                <w:szCs w:val="19"/>
              </w:rPr>
              <w:t xml:space="preserve">September</w:t>
            </w:r>
          </w:p>
        </w:tc>
        <w:tc>
          <w:tcPr>
            <w:tcW w:type="dxa" w:w="1872"/>
            <w:tcBorders>
              <w:top w:val="single" w:color="BFC9D9" w:sz="4"/>
              <w:left w:val="single" w:color="BFC9D9" w:sz="4"/>
              <w:bottom w:val="single" w:color="BFC9D9" w:sz="4"/>
              <w:right w:val="single" w:color="BFC9D9" w:sz="4"/>
            </w:tcBorders>
            <w:shd w:fill="1F3864" w:color="auto" w:val="clear"/>
            <w:tcMar>
              <w:top w:type="dxa" w:w="70"/>
              <w:left w:type="dxa" w:w="100"/>
              <w:bottom w:type="dxa" w:w="70"/>
              <w:right w:type="dxa" w:w="100"/>
            </w:tcMar>
            <w:vAlign w:val="center"/>
          </w:tcPr>
          <w:p>
            <w:pPr>
              <w:spacing w:line="260"/>
              <w:jc w:val="center"/>
            </w:pPr>
            <w:r>
              <w:rPr>
                <w:b/>
                <w:bCs/>
                <w:color w:val="FFFFFF"/>
                <w:sz w:val="19"/>
                <w:szCs w:val="19"/>
              </w:rPr>
              <w:t xml:space="preserve">Change</w:t>
            </w:r>
          </w:p>
        </w:tc>
      </w:tr>
      <w:tr>
        <w:trPr>
          <w:cantSplit/>
        </w:trPr>
        <w:tc>
          <w:tcPr>
            <w:tcW w:type="dxa" w:w="3744"/>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left"/>
            </w:pPr>
            <w:r>
              <w:rPr>
                <w:b/>
                <w:bCs/>
                <w:color w:val="1F3864"/>
                <w:sz w:val="19"/>
                <w:szCs w:val="19"/>
              </w:rPr>
              <w:t xml:space="preserve">Cost per message</w:t>
            </w:r>
          </w:p>
        </w:tc>
        <w:tc>
          <w:tcPr>
            <w:tcW w:type="dxa" w:w="1872"/>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center"/>
            </w:pPr>
            <w:r>
              <w:rPr>
                <w:color w:val="262626"/>
                <w:sz w:val="19"/>
                <w:szCs w:val="19"/>
              </w:rPr>
              <w:t xml:space="preserve">$11.03</w:t>
            </w:r>
          </w:p>
        </w:tc>
        <w:tc>
          <w:tcPr>
            <w:tcW w:type="dxa" w:w="1872"/>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center"/>
            </w:pPr>
            <w:r>
              <w:rPr>
                <w:color w:val="262626"/>
                <w:sz w:val="19"/>
                <w:szCs w:val="19"/>
              </w:rPr>
              <w:t xml:space="preserve">$11.45</w:t>
            </w:r>
          </w:p>
        </w:tc>
        <w:tc>
          <w:tcPr>
            <w:tcW w:type="dxa" w:w="1872"/>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center"/>
            </w:pPr>
            <w:r>
              <w:rPr>
                <w:color w:val="262626"/>
                <w:sz w:val="19"/>
                <w:szCs w:val="19"/>
              </w:rPr>
              <w:t xml:space="preserve">+3.8%</w:t>
            </w:r>
          </w:p>
        </w:tc>
      </w:tr>
      <w:tr>
        <w:trPr>
          <w:cantSplit/>
        </w:trPr>
        <w:tc>
          <w:tcPr>
            <w:tcW w:type="dxa" w:w="3744"/>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left"/>
            </w:pPr>
            <w:r>
              <w:rPr>
                <w:b/>
                <w:bCs/>
                <w:color w:val="1F3864"/>
                <w:sz w:val="19"/>
                <w:szCs w:val="19"/>
              </w:rPr>
              <w:t xml:space="preserve">Cost per assigned</w:t>
            </w:r>
          </w:p>
        </w:tc>
        <w:tc>
          <w:tcPr>
            <w:tcW w:type="dxa" w:w="1872"/>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center"/>
            </w:pPr>
            <w:r>
              <w:rPr>
                <w:color w:val="262626"/>
                <w:sz w:val="19"/>
                <w:szCs w:val="19"/>
              </w:rPr>
              <w:t xml:space="preserve">$1,238.00</w:t>
            </w:r>
          </w:p>
        </w:tc>
        <w:tc>
          <w:tcPr>
            <w:tcW w:type="dxa" w:w="1872"/>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center"/>
            </w:pPr>
            <w:r>
              <w:rPr>
                <w:color w:val="262626"/>
                <w:sz w:val="19"/>
                <w:szCs w:val="19"/>
              </w:rPr>
              <w:t xml:space="preserve">$1,961.18</w:t>
            </w:r>
          </w:p>
        </w:tc>
        <w:tc>
          <w:tcPr>
            <w:tcW w:type="dxa" w:w="1872"/>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center"/>
            </w:pPr>
            <w:r>
              <w:rPr>
                <w:color w:val="262626"/>
                <w:sz w:val="19"/>
                <w:szCs w:val="19"/>
              </w:rPr>
              <w:t xml:space="preserve">+58.4%</w:t>
            </w:r>
          </w:p>
        </w:tc>
      </w:tr>
      <w:tr>
        <w:trPr>
          <w:cantSplit/>
        </w:trPr>
        <w:tc>
          <w:tcPr>
            <w:tcW w:type="dxa" w:w="3744"/>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left"/>
            </w:pPr>
            <w:r>
              <w:rPr>
                <w:b/>
                <w:bCs/>
                <w:color w:val="1F3864"/>
                <w:sz w:val="19"/>
                <w:szCs w:val="19"/>
              </w:rPr>
              <w:t xml:space="preserve">Cost per closure</w:t>
            </w:r>
          </w:p>
        </w:tc>
        <w:tc>
          <w:tcPr>
            <w:tcW w:type="dxa" w:w="1872"/>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center"/>
            </w:pPr>
            <w:r>
              <w:rPr>
                <w:color w:val="262626"/>
                <w:sz w:val="19"/>
                <w:szCs w:val="19"/>
              </w:rPr>
              <w:t xml:space="preserve">$6,190.00</w:t>
            </w:r>
          </w:p>
        </w:tc>
        <w:tc>
          <w:tcPr>
            <w:tcW w:type="dxa" w:w="1872"/>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center"/>
            </w:pPr>
            <w:r>
              <w:rPr>
                <w:color w:val="262626"/>
                <w:sz w:val="19"/>
                <w:szCs w:val="19"/>
              </w:rPr>
              <w:t xml:space="preserve">$14,382.02</w:t>
            </w:r>
          </w:p>
        </w:tc>
        <w:tc>
          <w:tcPr>
            <w:tcW w:type="dxa" w:w="1872"/>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center"/>
            </w:pPr>
            <w:r>
              <w:rPr>
                <w:color w:val="262626"/>
                <w:sz w:val="19"/>
                <w:szCs w:val="19"/>
              </w:rPr>
              <w:t xml:space="preserve">+132.3%</w:t>
            </w:r>
          </w:p>
        </w:tc>
      </w:tr>
      <w:tr>
        <w:trPr>
          <w:cantSplit/>
        </w:trPr>
        <w:tc>
          <w:tcPr>
            <w:tcW w:type="dxa" w:w="3744"/>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left"/>
            </w:pPr>
            <w:r>
              <w:rPr>
                <w:b/>
                <w:bCs/>
                <w:color w:val="1F3864"/>
                <w:sz w:val="19"/>
                <w:szCs w:val="19"/>
              </w:rPr>
              <w:t xml:space="preserve">Cost per 1,000 impressions</w:t>
            </w:r>
          </w:p>
        </w:tc>
        <w:tc>
          <w:tcPr>
            <w:tcW w:type="dxa" w:w="1872"/>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center"/>
            </w:pPr>
            <w:r>
              <w:rPr>
                <w:color w:val="262626"/>
                <w:sz w:val="19"/>
                <w:szCs w:val="19"/>
              </w:rPr>
              <w:t xml:space="preserve">$48.21</w:t>
            </w:r>
          </w:p>
        </w:tc>
        <w:tc>
          <w:tcPr>
            <w:tcW w:type="dxa" w:w="1872"/>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center"/>
            </w:pPr>
            <w:r>
              <w:rPr>
                <w:color w:val="262626"/>
                <w:sz w:val="19"/>
                <w:szCs w:val="19"/>
              </w:rPr>
              <w:t xml:space="preserve">$52.29</w:t>
            </w:r>
          </w:p>
        </w:tc>
        <w:tc>
          <w:tcPr>
            <w:tcW w:type="dxa" w:w="1872"/>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center"/>
            </w:pPr>
            <w:r>
              <w:rPr>
                <w:color w:val="262626"/>
                <w:sz w:val="19"/>
                <w:szCs w:val="19"/>
              </w:rPr>
              <w:t xml:space="preserve">+8.5%</w:t>
            </w:r>
          </w:p>
        </w:tc>
      </w:tr>
      <w:tr>
        <w:trPr>
          <w:cantSplit/>
        </w:trPr>
        <w:tc>
          <w:tcPr>
            <w:tcW w:type="dxa" w:w="3744"/>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left"/>
            </w:pPr>
            <w:r>
              <w:rPr>
                <w:b/>
                <w:bCs/>
                <w:color w:val="1F3864"/>
                <w:sz w:val="19"/>
                <w:szCs w:val="19"/>
              </w:rPr>
              <w:t xml:space="preserve">Messages per 1,000 impressions</w:t>
            </w:r>
          </w:p>
        </w:tc>
        <w:tc>
          <w:tcPr>
            <w:tcW w:type="dxa" w:w="1872"/>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center"/>
            </w:pPr>
            <w:r>
              <w:rPr>
                <w:color w:val="262626"/>
                <w:sz w:val="19"/>
                <w:szCs w:val="19"/>
              </w:rPr>
              <w:t xml:space="preserve">4.37</w:t>
            </w:r>
          </w:p>
        </w:tc>
        <w:tc>
          <w:tcPr>
            <w:tcW w:type="dxa" w:w="1872"/>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center"/>
            </w:pPr>
            <w:r>
              <w:rPr>
                <w:color w:val="262626"/>
                <w:sz w:val="19"/>
                <w:szCs w:val="19"/>
              </w:rPr>
              <w:t xml:space="preserve">4.57</w:t>
            </w:r>
          </w:p>
        </w:tc>
        <w:tc>
          <w:tcPr>
            <w:tcW w:type="dxa" w:w="1872"/>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center"/>
            </w:pPr>
            <w:r>
              <w:rPr>
                <w:color w:val="262626"/>
                <w:sz w:val="19"/>
                <w:szCs w:val="19"/>
              </w:rPr>
              <w:t xml:space="preserve">+4.5%</w:t>
            </w:r>
          </w:p>
        </w:tc>
      </w:tr>
      <w:tr>
        <w:trPr>
          <w:cantSplit/>
        </w:trPr>
        <w:tc>
          <w:tcPr>
            <w:tcW w:type="dxa" w:w="3744"/>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left"/>
            </w:pPr>
            <w:r>
              <w:rPr>
                <w:b/>
                <w:bCs/>
                <w:color w:val="1F3864"/>
                <w:sz w:val="19"/>
                <w:szCs w:val="19"/>
              </w:rPr>
              <w:t xml:space="preserve">Message → assigned conversion</w:t>
            </w:r>
          </w:p>
        </w:tc>
        <w:tc>
          <w:tcPr>
            <w:tcW w:type="dxa" w:w="1872"/>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center"/>
            </w:pPr>
            <w:r>
              <w:rPr>
                <w:color w:val="262626"/>
                <w:sz w:val="19"/>
                <w:szCs w:val="19"/>
              </w:rPr>
              <w:t xml:space="preserve">0.89%</w:t>
            </w:r>
          </w:p>
        </w:tc>
        <w:tc>
          <w:tcPr>
            <w:tcW w:type="dxa" w:w="1872"/>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center"/>
            </w:pPr>
            <w:r>
              <w:rPr>
                <w:color w:val="262626"/>
                <w:sz w:val="19"/>
                <w:szCs w:val="19"/>
              </w:rPr>
              <w:t xml:space="preserve">0.58%</w:t>
            </w:r>
          </w:p>
        </w:tc>
        <w:tc>
          <w:tcPr>
            <w:tcW w:type="dxa" w:w="1872"/>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center"/>
            </w:pPr>
            <w:r>
              <w:rPr>
                <w:color w:val="262626"/>
                <w:sz w:val="19"/>
                <w:szCs w:val="19"/>
              </w:rPr>
              <w:t xml:space="preserve">-0.31 pp</w:t>
            </w:r>
          </w:p>
        </w:tc>
      </w:tr>
      <w:tr>
        <w:trPr>
          <w:cantSplit/>
        </w:trPr>
        <w:tc>
          <w:tcPr>
            <w:tcW w:type="dxa" w:w="3744"/>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left"/>
            </w:pPr>
            <w:r>
              <w:rPr>
                <w:b/>
                <w:bCs/>
                <w:color w:val="1F3864"/>
                <w:sz w:val="19"/>
                <w:szCs w:val="19"/>
              </w:rPr>
              <w:t xml:space="preserve">Assigned → closure conversion</w:t>
            </w:r>
          </w:p>
        </w:tc>
        <w:tc>
          <w:tcPr>
            <w:tcW w:type="dxa" w:w="1872"/>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center"/>
            </w:pPr>
            <w:r>
              <w:rPr>
                <w:color w:val="262626"/>
                <w:sz w:val="19"/>
                <w:szCs w:val="19"/>
              </w:rPr>
              <w:t xml:space="preserve">20.0%</w:t>
            </w:r>
          </w:p>
        </w:tc>
        <w:tc>
          <w:tcPr>
            <w:tcW w:type="dxa" w:w="1872"/>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center"/>
            </w:pPr>
            <w:r>
              <w:rPr>
                <w:color w:val="262626"/>
                <w:sz w:val="19"/>
                <w:szCs w:val="19"/>
              </w:rPr>
              <w:t xml:space="preserve">13.6%</w:t>
            </w:r>
          </w:p>
        </w:tc>
        <w:tc>
          <w:tcPr>
            <w:tcW w:type="dxa" w:w="1872"/>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center"/>
            </w:pPr>
            <w:r>
              <w:rPr>
                <w:color w:val="262626"/>
                <w:sz w:val="19"/>
                <w:szCs w:val="19"/>
              </w:rPr>
              <w:t xml:space="preserve">-6.4 pp</w:t>
            </w:r>
          </w:p>
        </w:tc>
      </w:tr>
    </w:tbl>
    <w:p>
      <w:pPr>
        <w:spacing w:after="80"/>
      </w:pPr>
    </w:p>
    <w:p>
      <w:pPr>
        <w:spacing w:after="140"/>
      </w:pPr>
      <w:r>
        <w:rPr>
          <w:i/>
          <w:iCs/>
          <w:color w:val="595959"/>
          <w:sz w:val="17"/>
          <w:szCs w:val="17"/>
        </w:rPr>
        <w:t xml:space="preserve">Calc. from total spend ($43,146.05) and the monthly summary figures. Spend includes Prosperar; if the summary totals exclude Prosperar, cost indicators are slightly overstated (cost per message on campaign-level data: $11.03).</w:t>
      </w:r>
    </w:p>
    <w:p>
      <w:pPr>
        <w:pStyle w:val="Heading3"/>
      </w:pPr>
      <w:r>
        <w:t xml:space="preserve">Analysis and observations</w:t>
      </w:r>
    </w:p>
    <w:p>
      <w:pPr>
        <w:spacing w:after="120" w:line="276"/>
      </w:pPr>
      <w:r>
        <w:rPr>
          <w:b/>
          <w:bCs/>
        </w:rPr>
        <w:t xml:space="preserve">Lower spend and higher delivery cost reduced the audience.</w:t>
      </w:r>
      <w:r>
        <w:t xml:space="preserve"> Spend fell 12.9% while impressions fell 19.7%: each 1,000 impressions cost 8.5% more ($48.21 → $52.29). Messages fell less than impressions (-16.0%), so response per impression held up slightly (4.37 → 4.57 messages per 1,000 impressions).</w:t>
      </w:r>
    </w:p>
    <w:p>
      <w:pPr>
        <w:spacing w:after="120" w:line="276"/>
      </w:pPr>
      <w:r>
        <w:rPr>
          <w:b/>
          <w:bCs/>
        </w:rPr>
        <w:t xml:space="preserve">The main loss is after the message.</w:t>
      </w:r>
      <w:r>
        <w:t xml:space="preserve"> Cost per message barely moved (+3.8%), but only 22 of 3,769 messages became assigned (0.58%) and 3 became closures (13.6% of assigned). Cost per closure more than doubled to $14,382. Unlike August, the closing stage also weakened. With 22 assigned and 3 closures, these rates rest on small numbers and can move sharply month to month.</w:t>
      </w:r>
    </w:p>
    <w:p>
      <w:pPr>
        <w:spacing w:after="120" w:line="276"/>
      </w:pPr>
      <w:r>
        <w:rPr>
          <w:b/>
          <w:bCs/>
        </w:rPr>
        <w:t xml:space="preserve">Two campaigns improved, three deteriorated.</w:t>
      </w:r>
      <w:r>
        <w:t xml:space="preserve"> PAM grew messages with 35.3% less spend, cutting its cost per message from $12.61 to $7.93; Pensionate grew messages 10.2% with 13.0% less spend ($13.36 → $10.55). Both were rebuilt on their July structure on 15 Sep, which is consistent with the team's observation that the July configuration performed better, though September's frequent changes do not allow this to be attributed with certainty. Retiro Vertical (+38.2% cost per message), Nosotros (+20.5%) and Barcco (+18.1%) became more expensive. Pensión 360 stayed the most efficient campaign ($7.78) and the largest by volume (26.2% of messages).</w:t>
      </w:r>
    </w:p>
    <w:p>
      <w:pPr>
        <w:spacing w:after="120" w:line="276"/>
      </w:pPr>
      <w:r>
        <w:rPr>
          <w:b/>
          <w:bCs/>
        </w:rPr>
        <w:t xml:space="preserve">Prosperar</w:t>
      </w:r>
      <w:r>
        <w:t xml:space="preserve"> generated 62 messages at $16.78 each in its first 10 days, the highest cost per message of the month. It is too early to judge.</w:t>
      </w:r>
    </w:p>
    <w:p>
      <w:pPr>
        <w:pStyle w:val="Heading2"/>
      </w:pPr>
      <w:r>
        <w:t xml:space="preserve">B. MÉVIAL</w:t>
      </w:r>
    </w:p>
    <w:p>
      <w:pPr>
        <w:pStyle w:val="Heading3"/>
      </w:pPr>
      <w:r>
        <w:t xml:space="preserve">What did we do during September?</w:t>
      </w:r>
    </w:p>
    <w:p>
      <w:pPr>
        <w:pStyle w:val="ListParagraph"/>
        <w:numPr>
          <w:ilvl w:val="0"/>
          <w:numId w:val="2"/>
        </w:numPr>
        <w:spacing w:after="80" w:line="276"/>
      </w:pPr>
      <w:r>
        <w:t xml:space="preserve">The Phase 1 campaign stayed active all month without changes, as the team was occupied with Pensiones México.</w:t>
      </w:r>
    </w:p>
    <w:p>
      <w:pPr>
        <w:pStyle w:val="ListParagraph"/>
        <w:numPr>
          <w:ilvl w:val="0"/>
          <w:numId w:val="2"/>
        </w:numPr>
        <w:spacing w:after="80" w:line="276"/>
      </w:pPr>
      <w:r>
        <w:t xml:space="preserve">Two promotional videos were prepared.</w:t>
      </w:r>
    </w:p>
    <w:p>
      <w:pPr>
        <w:pStyle w:val="ListParagraph"/>
        <w:numPr>
          <w:ilvl w:val="0"/>
          <w:numId w:val="2"/>
        </w:numPr>
        <w:spacing w:after="80" w:line="276"/>
      </w:pPr>
      <w:r>
        <w:rPr>
          <w:b/>
          <w:bCs/>
        </w:rPr>
        <w:t xml:space="preserve">Planned change: switch the campaign CTA to WhatsApp.</w:t>
      </w:r>
      <w:r>
        <w:t xml:space="preserve"> This is blocked: the ad account must first be verified (personal or business verification) before the campaign can be optimized or changed.</w:t>
      </w:r>
    </w:p>
    <w:p>
      <w:pPr>
        <w:pStyle w:val="ListParagraph"/>
        <w:numPr>
          <w:ilvl w:val="0"/>
          <w:numId w:val="2"/>
        </w:numPr>
        <w:spacing w:after="80" w:line="276"/>
      </w:pPr>
      <w:r>
        <w:rPr>
          <w:b/>
          <w:bCs/>
        </w:rPr>
        <w:t xml:space="preserve">Landing page optimization in progress:</w:t>
      </w:r>
      <w:r>
        <w:t xml:space="preserve"> a more mobile- and user-friendly design that shows less information at once and gives users the option to take the diagnostic or talk to an advisor first.</w:t>
      </w:r>
    </w:p>
    <w:p>
      <w:pPr>
        <w:pStyle w:val="Heading3"/>
      </w:pPr>
      <w:r>
        <w:t xml:space="preserve">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025"/>
        <w:gridCol w:w="1778"/>
        <w:gridCol w:w="1778"/>
        <w:gridCol w:w="1779"/>
      </w:tblGrid>
      <w:tr>
        <w:trPr>
          <w:tblHeader/>
        </w:trPr>
        <w:tc>
          <w:tcPr>
            <w:tcW w:type="dxa" w:w="4025"/>
            <w:tcBorders>
              <w:top w:val="single" w:color="BFC9D9" w:sz="4"/>
              <w:left w:val="single" w:color="BFC9D9" w:sz="4"/>
              <w:bottom w:val="single" w:color="BFC9D9" w:sz="4"/>
              <w:right w:val="single" w:color="BFC9D9" w:sz="4"/>
            </w:tcBorders>
            <w:shd w:fill="1F3864" w:color="auto" w:val="clear"/>
            <w:tcMar>
              <w:top w:type="dxa" w:w="70"/>
              <w:left w:type="dxa" w:w="100"/>
              <w:bottom w:type="dxa" w:w="70"/>
              <w:right w:type="dxa" w:w="100"/>
            </w:tcMar>
            <w:vAlign w:val="center"/>
          </w:tcPr>
          <w:p>
            <w:pPr>
              <w:spacing w:line="260"/>
              <w:jc w:val="left"/>
            </w:pPr>
            <w:r>
              <w:rPr>
                <w:b/>
                <w:bCs/>
                <w:color w:val="FFFFFF"/>
                <w:sz w:val="19"/>
                <w:szCs w:val="19"/>
              </w:rPr>
              <w:t xml:space="preserve">Indicator</w:t>
            </w:r>
          </w:p>
        </w:tc>
        <w:tc>
          <w:tcPr>
            <w:tcW w:type="dxa" w:w="1778"/>
            <w:tcBorders>
              <w:top w:val="single" w:color="BFC9D9" w:sz="4"/>
              <w:left w:val="single" w:color="BFC9D9" w:sz="4"/>
              <w:bottom w:val="single" w:color="BFC9D9" w:sz="4"/>
              <w:right w:val="single" w:color="BFC9D9" w:sz="4"/>
            </w:tcBorders>
            <w:shd w:fill="1F3864" w:color="auto" w:val="clear"/>
            <w:tcMar>
              <w:top w:type="dxa" w:w="70"/>
              <w:left w:type="dxa" w:w="100"/>
              <w:bottom w:type="dxa" w:w="70"/>
              <w:right w:type="dxa" w:w="100"/>
            </w:tcMar>
            <w:vAlign w:val="center"/>
          </w:tcPr>
          <w:p>
            <w:pPr>
              <w:spacing w:line="260"/>
              <w:jc w:val="center"/>
            </w:pPr>
            <w:r>
              <w:rPr>
                <w:b/>
                <w:bCs/>
                <w:color w:val="FFFFFF"/>
                <w:sz w:val="19"/>
                <w:szCs w:val="19"/>
              </w:rPr>
              <w:t xml:space="preserve">August</w:t>
            </w:r>
          </w:p>
        </w:tc>
        <w:tc>
          <w:tcPr>
            <w:tcW w:type="dxa" w:w="1778"/>
            <w:tcBorders>
              <w:top w:val="single" w:color="BFC9D9" w:sz="4"/>
              <w:left w:val="single" w:color="BFC9D9" w:sz="4"/>
              <w:bottom w:val="single" w:color="BFC9D9" w:sz="4"/>
              <w:right w:val="single" w:color="BFC9D9" w:sz="4"/>
            </w:tcBorders>
            <w:shd w:fill="1F3864" w:color="auto" w:val="clear"/>
            <w:tcMar>
              <w:top w:type="dxa" w:w="70"/>
              <w:left w:type="dxa" w:w="100"/>
              <w:bottom w:type="dxa" w:w="70"/>
              <w:right w:type="dxa" w:w="100"/>
            </w:tcMar>
            <w:vAlign w:val="center"/>
          </w:tcPr>
          <w:p>
            <w:pPr>
              <w:spacing w:line="260"/>
              <w:jc w:val="center"/>
            </w:pPr>
            <w:r>
              <w:rPr>
                <w:b/>
                <w:bCs/>
                <w:color w:val="FFFFFF"/>
                <w:sz w:val="19"/>
                <w:szCs w:val="19"/>
              </w:rPr>
              <w:t xml:space="preserve">September</w:t>
            </w:r>
          </w:p>
        </w:tc>
        <w:tc>
          <w:tcPr>
            <w:tcW w:type="dxa" w:w="1779"/>
            <w:tcBorders>
              <w:top w:val="single" w:color="BFC9D9" w:sz="4"/>
              <w:left w:val="single" w:color="BFC9D9" w:sz="4"/>
              <w:bottom w:val="single" w:color="BFC9D9" w:sz="4"/>
              <w:right w:val="single" w:color="BFC9D9" w:sz="4"/>
            </w:tcBorders>
            <w:shd w:fill="1F3864" w:color="auto" w:val="clear"/>
            <w:tcMar>
              <w:top w:type="dxa" w:w="70"/>
              <w:left w:type="dxa" w:w="100"/>
              <w:bottom w:type="dxa" w:w="70"/>
              <w:right w:type="dxa" w:w="100"/>
            </w:tcMar>
            <w:vAlign w:val="center"/>
          </w:tcPr>
          <w:p>
            <w:pPr>
              <w:spacing w:line="260"/>
              <w:jc w:val="center"/>
            </w:pPr>
            <w:r>
              <w:rPr>
                <w:b/>
                <w:bCs/>
                <w:color w:val="FFFFFF"/>
                <w:sz w:val="19"/>
                <w:szCs w:val="19"/>
              </w:rPr>
              <w:t xml:space="preserve">Change</w:t>
            </w:r>
          </w:p>
        </w:tc>
      </w:tr>
      <w:tr>
        <w:trPr>
          <w:cantSplit/>
        </w:trPr>
        <w:tc>
          <w:tcPr>
            <w:tcW w:type="dxa" w:w="4025"/>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left"/>
            </w:pPr>
            <w:r>
              <w:rPr>
                <w:b/>
                <w:bCs/>
                <w:color w:val="1F3864"/>
                <w:sz w:val="19"/>
                <w:szCs w:val="19"/>
              </w:rPr>
              <w:t xml:space="preserve">Campaign status</w:t>
            </w:r>
          </w:p>
        </w:tc>
        <w:tc>
          <w:tcPr>
            <w:tcW w:type="dxa" w:w="1778"/>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center"/>
            </w:pPr>
            <w:r>
              <w:rPr>
                <w:color w:val="262626"/>
                <w:sz w:val="19"/>
                <w:szCs w:val="19"/>
              </w:rPr>
              <w:t xml:space="preserve">Active from 7 Aug</w:t>
            </w:r>
          </w:p>
        </w:tc>
        <w:tc>
          <w:tcPr>
            <w:tcW w:type="dxa" w:w="1778"/>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center"/>
            </w:pPr>
            <w:r>
              <w:rPr>
                <w:color w:val="262626"/>
                <w:sz w:val="19"/>
                <w:szCs w:val="19"/>
              </w:rPr>
              <w:t xml:space="preserve">Active all month</w:t>
            </w:r>
          </w:p>
        </w:tc>
        <w:tc>
          <w:tcPr>
            <w:tcW w:type="dxa" w:w="1779"/>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center"/>
            </w:pPr>
            <w:r>
              <w:rPr>
                <w:color w:val="262626"/>
                <w:sz w:val="19"/>
                <w:szCs w:val="19"/>
              </w:rPr>
              <w:t xml:space="preserve">—</w:t>
            </w:r>
          </w:p>
        </w:tc>
      </w:tr>
      <w:tr>
        <w:trPr>
          <w:cantSplit/>
        </w:trPr>
        <w:tc>
          <w:tcPr>
            <w:tcW w:type="dxa" w:w="4025"/>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left"/>
            </w:pPr>
            <w:r>
              <w:rPr>
                <w:b/>
                <w:bCs/>
                <w:color w:val="1F3864"/>
                <w:sz w:val="19"/>
                <w:szCs w:val="19"/>
              </w:rPr>
              <w:t xml:space="preserve">Landing page views (Meta)</w:t>
            </w:r>
          </w:p>
        </w:tc>
        <w:tc>
          <w:tcPr>
            <w:tcW w:type="dxa" w:w="1778"/>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center"/>
            </w:pPr>
            <w:r>
              <w:rPr>
                <w:color w:val="262626"/>
                <w:sz w:val="19"/>
                <w:szCs w:val="19"/>
              </w:rPr>
              <w:t xml:space="preserve">3,577</w:t>
            </w:r>
          </w:p>
        </w:tc>
        <w:tc>
          <w:tcPr>
            <w:tcW w:type="dxa" w:w="1778"/>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center"/>
            </w:pPr>
            <w:r>
              <w:rPr>
                <w:color w:val="262626"/>
                <w:sz w:val="19"/>
                <w:szCs w:val="19"/>
              </w:rPr>
              <w:t xml:space="preserve">2,922</w:t>
            </w:r>
          </w:p>
        </w:tc>
        <w:tc>
          <w:tcPr>
            <w:tcW w:type="dxa" w:w="1779"/>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center"/>
            </w:pPr>
            <w:r>
              <w:rPr>
                <w:color w:val="262626"/>
                <w:sz w:val="19"/>
                <w:szCs w:val="19"/>
              </w:rPr>
              <w:t xml:space="preserve">-18.3%</w:t>
            </w:r>
          </w:p>
        </w:tc>
      </w:tr>
      <w:tr>
        <w:trPr>
          <w:cantSplit/>
        </w:trPr>
        <w:tc>
          <w:tcPr>
            <w:tcW w:type="dxa" w:w="4025"/>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left"/>
            </w:pPr>
            <w:r>
              <w:rPr>
                <w:b/>
                <w:bCs/>
                <w:color w:val="1F3864"/>
                <w:sz w:val="19"/>
                <w:szCs w:val="19"/>
              </w:rPr>
              <w:t xml:space="preserve">Investment</w:t>
            </w:r>
          </w:p>
        </w:tc>
        <w:tc>
          <w:tcPr>
            <w:tcW w:type="dxa" w:w="1778"/>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center"/>
            </w:pPr>
            <w:r>
              <w:rPr>
                <w:color w:val="262626"/>
                <w:sz w:val="19"/>
                <w:szCs w:val="19"/>
              </w:rPr>
              <w:t xml:space="preserve">€251.56</w:t>
            </w:r>
          </w:p>
        </w:tc>
        <w:tc>
          <w:tcPr>
            <w:tcW w:type="dxa" w:w="1778"/>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center"/>
            </w:pPr>
            <w:r>
              <w:rPr>
                <w:color w:val="262626"/>
                <w:sz w:val="19"/>
                <w:szCs w:val="19"/>
              </w:rPr>
              <w:t xml:space="preserve">€300.04</w:t>
            </w:r>
          </w:p>
        </w:tc>
        <w:tc>
          <w:tcPr>
            <w:tcW w:type="dxa" w:w="1779"/>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center"/>
            </w:pPr>
            <w:r>
              <w:rPr>
                <w:color w:val="262626"/>
                <w:sz w:val="19"/>
                <w:szCs w:val="19"/>
              </w:rPr>
              <w:t xml:space="preserve">+19.3%</w:t>
            </w:r>
          </w:p>
        </w:tc>
      </w:tr>
      <w:tr>
        <w:trPr>
          <w:cantSplit/>
        </w:trPr>
        <w:tc>
          <w:tcPr>
            <w:tcW w:type="dxa" w:w="4025"/>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left"/>
            </w:pPr>
            <w:r>
              <w:rPr>
                <w:b/>
                <w:bCs/>
                <w:color w:val="1F3864"/>
                <w:sz w:val="19"/>
                <w:szCs w:val="19"/>
              </w:rPr>
              <w:t xml:space="preserve">Cost per landing page view</w:t>
            </w:r>
          </w:p>
        </w:tc>
        <w:tc>
          <w:tcPr>
            <w:tcW w:type="dxa" w:w="1778"/>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center"/>
            </w:pPr>
            <w:r>
              <w:rPr>
                <w:color w:val="262626"/>
                <w:sz w:val="19"/>
                <w:szCs w:val="19"/>
              </w:rPr>
              <w:t xml:space="preserve">€0.070</w:t>
            </w:r>
          </w:p>
        </w:tc>
        <w:tc>
          <w:tcPr>
            <w:tcW w:type="dxa" w:w="1778"/>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center"/>
            </w:pPr>
            <w:r>
              <w:rPr>
                <w:color w:val="262626"/>
                <w:sz w:val="19"/>
                <w:szCs w:val="19"/>
              </w:rPr>
              <w:t xml:space="preserve">€0.103</w:t>
            </w:r>
          </w:p>
        </w:tc>
        <w:tc>
          <w:tcPr>
            <w:tcW w:type="dxa" w:w="1779"/>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center"/>
            </w:pPr>
            <w:r>
              <w:rPr>
                <w:color w:val="262626"/>
                <w:sz w:val="19"/>
                <w:szCs w:val="19"/>
              </w:rPr>
              <w:t xml:space="preserve">+46.0%</w:t>
            </w:r>
          </w:p>
        </w:tc>
      </w:tr>
      <w:tr>
        <w:trPr>
          <w:cantSplit/>
        </w:trPr>
        <w:tc>
          <w:tcPr>
            <w:tcW w:type="dxa" w:w="4025"/>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left"/>
            </w:pPr>
            <w:r>
              <w:rPr>
                <w:b/>
                <w:bCs/>
                <w:color w:val="1F3864"/>
                <w:sz w:val="19"/>
                <w:szCs w:val="19"/>
              </w:rPr>
              <w:t xml:space="preserve">Impressions / reach (Meta)</w:t>
            </w:r>
          </w:p>
        </w:tc>
        <w:tc>
          <w:tcPr>
            <w:tcW w:type="dxa" w:w="1778"/>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center"/>
            </w:pPr>
            <w:r>
              <w:rPr>
                <w:color w:val="262626"/>
                <w:sz w:val="19"/>
                <w:szCs w:val="19"/>
              </w:rPr>
              <w:t xml:space="preserve">—</w:t>
            </w:r>
          </w:p>
        </w:tc>
        <w:tc>
          <w:tcPr>
            <w:tcW w:type="dxa" w:w="1778"/>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center"/>
            </w:pPr>
            <w:r>
              <w:rPr>
                <w:color w:val="262626"/>
                <w:sz w:val="19"/>
                <w:szCs w:val="19"/>
              </w:rPr>
              <w:t xml:space="preserve">104,557 / 54,151</w:t>
            </w:r>
          </w:p>
        </w:tc>
        <w:tc>
          <w:tcPr>
            <w:tcW w:type="dxa" w:w="1779"/>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center"/>
            </w:pPr>
            <w:r>
              <w:rPr>
                <w:color w:val="262626"/>
                <w:sz w:val="19"/>
                <w:szCs w:val="19"/>
              </w:rPr>
              <w:t xml:space="preserve">—</w:t>
            </w:r>
          </w:p>
        </w:tc>
      </w:tr>
      <w:tr>
        <w:trPr>
          <w:cantSplit/>
        </w:trPr>
        <w:tc>
          <w:tcPr>
            <w:tcW w:type="dxa" w:w="4025"/>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left"/>
            </w:pPr>
            <w:r>
              <w:rPr>
                <w:b/>
                <w:bCs/>
                <w:color w:val="1F3864"/>
                <w:sz w:val="19"/>
                <w:szCs w:val="19"/>
              </w:rPr>
              <w:t xml:space="preserve">Users who started the diagnostic (GA4)</w:t>
            </w:r>
          </w:p>
        </w:tc>
        <w:tc>
          <w:tcPr>
            <w:tcW w:type="dxa" w:w="1778"/>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center"/>
            </w:pPr>
            <w:r>
              <w:rPr>
                <w:color w:val="262626"/>
                <w:sz w:val="19"/>
                <w:szCs w:val="19"/>
              </w:rPr>
              <w:t xml:space="preserve">approx. 1,677</w:t>
            </w:r>
          </w:p>
        </w:tc>
        <w:tc>
          <w:tcPr>
            <w:tcW w:type="dxa" w:w="1778"/>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center"/>
            </w:pPr>
            <w:r>
              <w:rPr>
                <w:color w:val="262626"/>
                <w:sz w:val="19"/>
                <w:szCs w:val="19"/>
              </w:rPr>
              <w:t xml:space="preserve">2,096</w:t>
            </w:r>
          </w:p>
        </w:tc>
        <w:tc>
          <w:tcPr>
            <w:tcW w:type="dxa" w:w="1779"/>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center"/>
            </w:pPr>
            <w:r>
              <w:rPr>
                <w:color w:val="262626"/>
                <w:sz w:val="19"/>
                <w:szCs w:val="19"/>
              </w:rPr>
              <w:t xml:space="preserve">+25.0%</w:t>
            </w:r>
          </w:p>
        </w:tc>
      </w:tr>
      <w:tr>
        <w:trPr>
          <w:cantSplit/>
        </w:trPr>
        <w:tc>
          <w:tcPr>
            <w:tcW w:type="dxa" w:w="4025"/>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left"/>
            </w:pPr>
            <w:r>
              <w:rPr>
                <w:b/>
                <w:bCs/>
                <w:color w:val="1F3864"/>
                <w:sz w:val="19"/>
                <w:szCs w:val="19"/>
              </w:rPr>
              <w:t xml:space="preserve">Users who reached step 2 (GA4)</w:t>
            </w:r>
          </w:p>
        </w:tc>
        <w:tc>
          <w:tcPr>
            <w:tcW w:type="dxa" w:w="1778"/>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center"/>
            </w:pPr>
            <w:r>
              <w:rPr>
                <w:color w:val="262626"/>
                <w:sz w:val="19"/>
                <w:szCs w:val="19"/>
              </w:rPr>
              <w:t xml:space="preserve">8</w:t>
            </w:r>
          </w:p>
        </w:tc>
        <w:tc>
          <w:tcPr>
            <w:tcW w:type="dxa" w:w="1778"/>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center"/>
            </w:pPr>
            <w:r>
              <w:rPr>
                <w:color w:val="262626"/>
                <w:sz w:val="19"/>
                <w:szCs w:val="19"/>
              </w:rPr>
              <w:t xml:space="preserve">2</w:t>
            </w:r>
          </w:p>
        </w:tc>
        <w:tc>
          <w:tcPr>
            <w:tcW w:type="dxa" w:w="1779"/>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center"/>
            </w:pPr>
            <w:r>
              <w:rPr>
                <w:color w:val="262626"/>
                <w:sz w:val="19"/>
                <w:szCs w:val="19"/>
              </w:rPr>
              <w:t xml:space="preserve">-6</w:t>
            </w:r>
          </w:p>
        </w:tc>
      </w:tr>
      <w:tr>
        <w:trPr>
          <w:cantSplit/>
        </w:trPr>
        <w:tc>
          <w:tcPr>
            <w:tcW w:type="dxa" w:w="4025"/>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left"/>
            </w:pPr>
            <w:r>
              <w:rPr>
                <w:b/>
                <w:bCs/>
                <w:color w:val="1F3864"/>
                <w:sz w:val="19"/>
                <w:szCs w:val="19"/>
              </w:rPr>
              <w:t xml:space="preserve">Step 1 → step 2 rate</w:t>
            </w:r>
          </w:p>
        </w:tc>
        <w:tc>
          <w:tcPr>
            <w:tcW w:type="dxa" w:w="1778"/>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center"/>
            </w:pPr>
            <w:r>
              <w:rPr>
                <w:color w:val="262626"/>
                <w:sz w:val="19"/>
                <w:szCs w:val="19"/>
              </w:rPr>
              <w:t xml:space="preserve">0.48%</w:t>
            </w:r>
          </w:p>
        </w:tc>
        <w:tc>
          <w:tcPr>
            <w:tcW w:type="dxa" w:w="1778"/>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center"/>
            </w:pPr>
            <w:r>
              <w:rPr>
                <w:color w:val="262626"/>
                <w:sz w:val="19"/>
                <w:szCs w:val="19"/>
              </w:rPr>
              <w:t xml:space="preserve">0.10%</w:t>
            </w:r>
          </w:p>
        </w:tc>
        <w:tc>
          <w:tcPr>
            <w:tcW w:type="dxa" w:w="1779"/>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center"/>
            </w:pPr>
            <w:r>
              <w:rPr>
                <w:color w:val="262626"/>
                <w:sz w:val="19"/>
                <w:szCs w:val="19"/>
              </w:rPr>
              <w:t xml:space="preserve">-0.38 pp</w:t>
            </w:r>
          </w:p>
        </w:tc>
      </w:tr>
      <w:tr>
        <w:trPr>
          <w:cantSplit/>
        </w:trPr>
        <w:tc>
          <w:tcPr>
            <w:tcW w:type="dxa" w:w="4025"/>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left"/>
            </w:pPr>
            <w:r>
              <w:rPr>
                <w:b/>
                <w:bCs/>
                <w:color w:val="1F3864"/>
                <w:sz w:val="19"/>
                <w:szCs w:val="19"/>
              </w:rPr>
              <w:t xml:space="preserve">Diagnoses completed (GA4)</w:t>
            </w:r>
          </w:p>
        </w:tc>
        <w:tc>
          <w:tcPr>
            <w:tcW w:type="dxa" w:w="1778"/>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center"/>
            </w:pPr>
            <w:r>
              <w:rPr>
                <w:color w:val="262626"/>
                <w:sz w:val="19"/>
                <w:szCs w:val="19"/>
              </w:rPr>
              <w:t xml:space="preserve">—</w:t>
            </w:r>
          </w:p>
        </w:tc>
        <w:tc>
          <w:tcPr>
            <w:tcW w:type="dxa" w:w="1778"/>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center"/>
            </w:pPr>
            <w:r>
              <w:rPr>
                <w:color w:val="262626"/>
                <w:sz w:val="19"/>
                <w:szCs w:val="19"/>
              </w:rPr>
              <w:t xml:space="preserve">0</w:t>
            </w:r>
          </w:p>
        </w:tc>
        <w:tc>
          <w:tcPr>
            <w:tcW w:type="dxa" w:w="1779"/>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center"/>
            </w:pPr>
            <w:r>
              <w:rPr>
                <w:color w:val="262626"/>
                <w:sz w:val="19"/>
                <w:szCs w:val="19"/>
              </w:rPr>
              <w:t xml:space="preserve">—</w:t>
            </w:r>
          </w:p>
        </w:tc>
      </w:tr>
    </w:tbl>
    <w:p>
      <w:pPr>
        <w:spacing w:after="80"/>
      </w:pPr>
    </w:p>
    <w:p>
      <w:pPr>
        <w:spacing w:after="140"/>
      </w:pPr>
      <w:r>
        <w:rPr>
          <w:i/>
          <w:iCs/>
          <w:color w:val="595959"/>
          <w:sz w:val="17"/>
          <w:szCs w:val="17"/>
        </w:rPr>
        <w:t xml:space="preserve">Changes and rates are calc. August covers 7–31 Aug (25 days); September covers 30 days. Meta landing page views and GA4 diagnostic users are measured differently and are not directly comparable.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21"/>
        <w:gridCol w:w="1685"/>
        <w:gridCol w:w="1310"/>
        <w:gridCol w:w="1872"/>
        <w:gridCol w:w="1872"/>
      </w:tblGrid>
      <w:tr>
        <w:trPr>
          <w:tblHeader/>
        </w:trPr>
        <w:tc>
          <w:tcPr>
            <w:tcW w:type="dxa" w:w="2621"/>
            <w:tcBorders>
              <w:top w:val="single" w:color="BFC9D9" w:sz="4"/>
              <w:left w:val="single" w:color="BFC9D9" w:sz="4"/>
              <w:bottom w:val="single" w:color="BFC9D9" w:sz="4"/>
              <w:right w:val="single" w:color="BFC9D9" w:sz="4"/>
            </w:tcBorders>
            <w:shd w:fill="1F3864" w:color="auto" w:val="clear"/>
            <w:tcMar>
              <w:top w:type="dxa" w:w="70"/>
              <w:left w:type="dxa" w:w="100"/>
              <w:bottom w:type="dxa" w:w="70"/>
              <w:right w:type="dxa" w:w="100"/>
            </w:tcMar>
            <w:vAlign w:val="center"/>
          </w:tcPr>
          <w:p>
            <w:pPr>
              <w:spacing w:line="260"/>
              <w:jc w:val="left"/>
            </w:pPr>
            <w:r>
              <w:rPr>
                <w:b/>
                <w:bCs/>
                <w:color w:val="FFFFFF"/>
                <w:sz w:val="19"/>
                <w:szCs w:val="19"/>
              </w:rPr>
              <w:t xml:space="preserve">Ad (September)</w:t>
            </w:r>
          </w:p>
        </w:tc>
        <w:tc>
          <w:tcPr>
            <w:tcW w:type="dxa" w:w="1685"/>
            <w:tcBorders>
              <w:top w:val="single" w:color="BFC9D9" w:sz="4"/>
              <w:left w:val="single" w:color="BFC9D9" w:sz="4"/>
              <w:bottom w:val="single" w:color="BFC9D9" w:sz="4"/>
              <w:right w:val="single" w:color="BFC9D9" w:sz="4"/>
            </w:tcBorders>
            <w:shd w:fill="1F3864" w:color="auto" w:val="clear"/>
            <w:tcMar>
              <w:top w:type="dxa" w:w="70"/>
              <w:left w:type="dxa" w:w="100"/>
              <w:bottom w:type="dxa" w:w="70"/>
              <w:right w:type="dxa" w:w="100"/>
            </w:tcMar>
            <w:vAlign w:val="center"/>
          </w:tcPr>
          <w:p>
            <w:pPr>
              <w:spacing w:line="260"/>
              <w:jc w:val="center"/>
            </w:pPr>
            <w:r>
              <w:rPr>
                <w:b/>
                <w:bCs/>
                <w:color w:val="FFFFFF"/>
                <w:sz w:val="19"/>
                <w:szCs w:val="19"/>
              </w:rPr>
              <w:t xml:space="preserve">Landing page views</w:t>
            </w:r>
          </w:p>
        </w:tc>
        <w:tc>
          <w:tcPr>
            <w:tcW w:type="dxa" w:w="1310"/>
            <w:tcBorders>
              <w:top w:val="single" w:color="BFC9D9" w:sz="4"/>
              <w:left w:val="single" w:color="BFC9D9" w:sz="4"/>
              <w:bottom w:val="single" w:color="BFC9D9" w:sz="4"/>
              <w:right w:val="single" w:color="BFC9D9" w:sz="4"/>
            </w:tcBorders>
            <w:shd w:fill="1F3864" w:color="auto" w:val="clear"/>
            <w:tcMar>
              <w:top w:type="dxa" w:w="70"/>
              <w:left w:type="dxa" w:w="100"/>
              <w:bottom w:type="dxa" w:w="70"/>
              <w:right w:type="dxa" w:w="100"/>
            </w:tcMar>
            <w:vAlign w:val="center"/>
          </w:tcPr>
          <w:p>
            <w:pPr>
              <w:spacing w:line="260"/>
              <w:jc w:val="center"/>
            </w:pPr>
            <w:r>
              <w:rPr>
                <w:b/>
                <w:bCs/>
                <w:color w:val="FFFFFF"/>
                <w:sz w:val="19"/>
                <w:szCs w:val="19"/>
              </w:rPr>
              <w:t xml:space="preserve">Share</w:t>
            </w:r>
          </w:p>
        </w:tc>
        <w:tc>
          <w:tcPr>
            <w:tcW w:type="dxa" w:w="1872"/>
            <w:tcBorders>
              <w:top w:val="single" w:color="BFC9D9" w:sz="4"/>
              <w:left w:val="single" w:color="BFC9D9" w:sz="4"/>
              <w:bottom w:val="single" w:color="BFC9D9" w:sz="4"/>
              <w:right w:val="single" w:color="BFC9D9" w:sz="4"/>
            </w:tcBorders>
            <w:shd w:fill="1F3864" w:color="auto" w:val="clear"/>
            <w:tcMar>
              <w:top w:type="dxa" w:w="70"/>
              <w:left w:type="dxa" w:w="100"/>
              <w:bottom w:type="dxa" w:w="70"/>
              <w:right w:type="dxa" w:w="100"/>
            </w:tcMar>
            <w:vAlign w:val="center"/>
          </w:tcPr>
          <w:p>
            <w:pPr>
              <w:spacing w:line="260"/>
              <w:jc w:val="center"/>
            </w:pPr>
            <w:r>
              <w:rPr>
                <w:b/>
                <w:bCs/>
                <w:color w:val="FFFFFF"/>
                <w:sz w:val="19"/>
                <w:szCs w:val="19"/>
              </w:rPr>
              <w:t xml:space="preserve">Spend</w:t>
            </w:r>
          </w:p>
        </w:tc>
        <w:tc>
          <w:tcPr>
            <w:tcW w:type="dxa" w:w="1872"/>
            <w:tcBorders>
              <w:top w:val="single" w:color="BFC9D9" w:sz="4"/>
              <w:left w:val="single" w:color="BFC9D9" w:sz="4"/>
              <w:bottom w:val="single" w:color="BFC9D9" w:sz="4"/>
              <w:right w:val="single" w:color="BFC9D9" w:sz="4"/>
            </w:tcBorders>
            <w:shd w:fill="1F3864" w:color="auto" w:val="clear"/>
            <w:tcMar>
              <w:top w:type="dxa" w:w="70"/>
              <w:left w:type="dxa" w:w="100"/>
              <w:bottom w:type="dxa" w:w="70"/>
              <w:right w:type="dxa" w:w="100"/>
            </w:tcMar>
            <w:vAlign w:val="center"/>
          </w:tcPr>
          <w:p>
            <w:pPr>
              <w:spacing w:line="260"/>
              <w:jc w:val="center"/>
            </w:pPr>
            <w:r>
              <w:rPr>
                <w:b/>
                <w:bCs/>
                <w:color w:val="FFFFFF"/>
                <w:sz w:val="19"/>
                <w:szCs w:val="19"/>
              </w:rPr>
              <w:t xml:space="preserve">Cost per view</w:t>
            </w:r>
          </w:p>
        </w:tc>
      </w:tr>
      <w:tr>
        <w:trPr>
          <w:cantSplit/>
        </w:trPr>
        <w:tc>
          <w:tcPr>
            <w:tcW w:type="dxa" w:w="2621"/>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left"/>
            </w:pPr>
            <w:r>
              <w:rPr>
                <w:b/>
                <w:bCs/>
                <w:color w:val="1F3864"/>
                <w:sz w:val="19"/>
                <w:szCs w:val="19"/>
              </w:rPr>
              <w:t xml:space="preserve">Reel 72</w:t>
            </w:r>
          </w:p>
        </w:tc>
        <w:tc>
          <w:tcPr>
            <w:tcW w:type="dxa" w:w="1685"/>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center"/>
            </w:pPr>
            <w:r>
              <w:rPr>
                <w:color w:val="262626"/>
                <w:sz w:val="19"/>
                <w:szCs w:val="19"/>
              </w:rPr>
              <w:t xml:space="preserve">2,800</w:t>
            </w:r>
          </w:p>
        </w:tc>
        <w:tc>
          <w:tcPr>
            <w:tcW w:type="dxa" w:w="1310"/>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center"/>
            </w:pPr>
            <w:r>
              <w:rPr>
                <w:color w:val="262626"/>
                <w:sz w:val="19"/>
                <w:szCs w:val="19"/>
              </w:rPr>
              <w:t xml:space="preserve">95.8%</w:t>
            </w:r>
          </w:p>
        </w:tc>
        <w:tc>
          <w:tcPr>
            <w:tcW w:type="dxa" w:w="1872"/>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center"/>
            </w:pPr>
            <w:r>
              <w:rPr>
                <w:color w:val="262626"/>
                <w:sz w:val="19"/>
                <w:szCs w:val="19"/>
              </w:rPr>
              <w:t xml:space="preserve">€284.62</w:t>
            </w:r>
          </w:p>
        </w:tc>
        <w:tc>
          <w:tcPr>
            <w:tcW w:type="dxa" w:w="1872"/>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center"/>
            </w:pPr>
            <w:r>
              <w:rPr>
                <w:color w:val="262626"/>
                <w:sz w:val="19"/>
                <w:szCs w:val="19"/>
              </w:rPr>
              <w:t xml:space="preserve">€0.102</w:t>
            </w:r>
          </w:p>
        </w:tc>
      </w:tr>
      <w:tr>
        <w:trPr>
          <w:cantSplit/>
        </w:trPr>
        <w:tc>
          <w:tcPr>
            <w:tcW w:type="dxa" w:w="2621"/>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left"/>
            </w:pPr>
            <w:r>
              <w:rPr>
                <w:b/>
                <w:bCs/>
                <w:color w:val="1F3864"/>
                <w:sz w:val="19"/>
                <w:szCs w:val="19"/>
              </w:rPr>
              <w:t xml:space="preserve">Reel Eze</w:t>
            </w:r>
          </w:p>
        </w:tc>
        <w:tc>
          <w:tcPr>
            <w:tcW w:type="dxa" w:w="1685"/>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center"/>
            </w:pPr>
            <w:r>
              <w:rPr>
                <w:color w:val="262626"/>
                <w:sz w:val="19"/>
                <w:szCs w:val="19"/>
              </w:rPr>
              <w:t xml:space="preserve">63</w:t>
            </w:r>
          </w:p>
        </w:tc>
        <w:tc>
          <w:tcPr>
            <w:tcW w:type="dxa" w:w="1310"/>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center"/>
            </w:pPr>
            <w:r>
              <w:rPr>
                <w:color w:val="262626"/>
                <w:sz w:val="19"/>
                <w:szCs w:val="19"/>
              </w:rPr>
              <w:t xml:space="preserve">2.2%</w:t>
            </w:r>
          </w:p>
        </w:tc>
        <w:tc>
          <w:tcPr>
            <w:tcW w:type="dxa" w:w="1872"/>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center"/>
            </w:pPr>
            <w:r>
              <w:rPr>
                <w:color w:val="262626"/>
                <w:sz w:val="19"/>
                <w:szCs w:val="19"/>
              </w:rPr>
              <w:t xml:space="preserve">€8.77</w:t>
            </w:r>
          </w:p>
        </w:tc>
        <w:tc>
          <w:tcPr>
            <w:tcW w:type="dxa" w:w="1872"/>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center"/>
            </w:pPr>
            <w:r>
              <w:rPr>
                <w:color w:val="262626"/>
                <w:sz w:val="19"/>
                <w:szCs w:val="19"/>
              </w:rPr>
              <w:t xml:space="preserve">€0.139</w:t>
            </w:r>
          </w:p>
        </w:tc>
      </w:tr>
      <w:tr>
        <w:trPr>
          <w:cantSplit/>
        </w:trPr>
        <w:tc>
          <w:tcPr>
            <w:tcW w:type="dxa" w:w="2621"/>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left"/>
            </w:pPr>
            <w:r>
              <w:rPr>
                <w:b/>
                <w:bCs/>
                <w:color w:val="1F3864"/>
                <w:sz w:val="19"/>
                <w:szCs w:val="19"/>
              </w:rPr>
              <w:t xml:space="preserve">Reel general</w:t>
            </w:r>
          </w:p>
        </w:tc>
        <w:tc>
          <w:tcPr>
            <w:tcW w:type="dxa" w:w="1685"/>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center"/>
            </w:pPr>
            <w:r>
              <w:rPr>
                <w:color w:val="262626"/>
                <w:sz w:val="19"/>
                <w:szCs w:val="19"/>
              </w:rPr>
              <w:t xml:space="preserve">59</w:t>
            </w:r>
          </w:p>
        </w:tc>
        <w:tc>
          <w:tcPr>
            <w:tcW w:type="dxa" w:w="1310"/>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center"/>
            </w:pPr>
            <w:r>
              <w:rPr>
                <w:color w:val="262626"/>
                <w:sz w:val="19"/>
                <w:szCs w:val="19"/>
              </w:rPr>
              <w:t xml:space="preserve">2.0%</w:t>
            </w:r>
          </w:p>
        </w:tc>
        <w:tc>
          <w:tcPr>
            <w:tcW w:type="dxa" w:w="1872"/>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center"/>
            </w:pPr>
            <w:r>
              <w:rPr>
                <w:color w:val="262626"/>
                <w:sz w:val="19"/>
                <w:szCs w:val="19"/>
              </w:rPr>
              <w:t xml:space="preserve">€6.65</w:t>
            </w:r>
          </w:p>
        </w:tc>
        <w:tc>
          <w:tcPr>
            <w:tcW w:type="dxa" w:w="1872"/>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center"/>
            </w:pPr>
            <w:r>
              <w:rPr>
                <w:color w:val="262626"/>
                <w:sz w:val="19"/>
                <w:szCs w:val="19"/>
              </w:rPr>
              <w:t xml:space="preserve">€0.113</w:t>
            </w:r>
          </w:p>
        </w:tc>
      </w:tr>
      <w:tr>
        <w:trPr>
          <w:cantSplit/>
        </w:trPr>
        <w:tc>
          <w:tcPr>
            <w:tcW w:type="dxa" w:w="2621"/>
            <w:tcBorders>
              <w:top w:val="single" w:color="BFC9D9" w:sz="4"/>
              <w:left w:val="single" w:color="BFC9D9" w:sz="4"/>
              <w:bottom w:val="single" w:color="BFC9D9" w:sz="4"/>
              <w:right w:val="single" w:color="BFC9D9" w:sz="4"/>
            </w:tcBorders>
            <w:shd w:fill="DCE3F0" w:color="auto" w:val="clear"/>
            <w:tcMar>
              <w:top w:type="dxa" w:w="70"/>
              <w:left w:type="dxa" w:w="100"/>
              <w:bottom w:type="dxa" w:w="70"/>
              <w:right w:type="dxa" w:w="100"/>
            </w:tcMar>
            <w:vAlign w:val="center"/>
          </w:tcPr>
          <w:p>
            <w:pPr>
              <w:spacing w:line="260"/>
              <w:jc w:val="left"/>
            </w:pPr>
            <w:r>
              <w:rPr>
                <w:b/>
                <w:bCs/>
                <w:color w:val="1F3864"/>
                <w:sz w:val="19"/>
                <w:szCs w:val="19"/>
              </w:rPr>
              <w:t xml:space="preserve">TOTAL</w:t>
            </w:r>
          </w:p>
        </w:tc>
        <w:tc>
          <w:tcPr>
            <w:tcW w:type="dxa" w:w="1685"/>
            <w:tcBorders>
              <w:top w:val="single" w:color="BFC9D9" w:sz="4"/>
              <w:left w:val="single" w:color="BFC9D9" w:sz="4"/>
              <w:bottom w:val="single" w:color="BFC9D9" w:sz="4"/>
              <w:right w:val="single" w:color="BFC9D9" w:sz="4"/>
            </w:tcBorders>
            <w:shd w:fill="DCE3F0" w:color="auto" w:val="clear"/>
            <w:tcMar>
              <w:top w:type="dxa" w:w="70"/>
              <w:left w:type="dxa" w:w="100"/>
              <w:bottom w:type="dxa" w:w="70"/>
              <w:right w:type="dxa" w:w="100"/>
            </w:tcMar>
            <w:vAlign w:val="center"/>
          </w:tcPr>
          <w:p>
            <w:pPr>
              <w:spacing w:line="260"/>
              <w:jc w:val="center"/>
            </w:pPr>
            <w:r>
              <w:rPr>
                <w:b/>
                <w:bCs/>
                <w:color w:val="262626"/>
                <w:sz w:val="19"/>
                <w:szCs w:val="19"/>
              </w:rPr>
              <w:t xml:space="preserve">2,922</w:t>
            </w:r>
          </w:p>
        </w:tc>
        <w:tc>
          <w:tcPr>
            <w:tcW w:type="dxa" w:w="1310"/>
            <w:tcBorders>
              <w:top w:val="single" w:color="BFC9D9" w:sz="4"/>
              <w:left w:val="single" w:color="BFC9D9" w:sz="4"/>
              <w:bottom w:val="single" w:color="BFC9D9" w:sz="4"/>
              <w:right w:val="single" w:color="BFC9D9" w:sz="4"/>
            </w:tcBorders>
            <w:shd w:fill="DCE3F0" w:color="auto" w:val="clear"/>
            <w:tcMar>
              <w:top w:type="dxa" w:w="70"/>
              <w:left w:type="dxa" w:w="100"/>
              <w:bottom w:type="dxa" w:w="70"/>
              <w:right w:type="dxa" w:w="100"/>
            </w:tcMar>
            <w:vAlign w:val="center"/>
          </w:tcPr>
          <w:p>
            <w:pPr>
              <w:spacing w:line="260"/>
              <w:jc w:val="center"/>
            </w:pPr>
            <w:r>
              <w:rPr>
                <w:b/>
                <w:bCs/>
                <w:color w:val="262626"/>
                <w:sz w:val="19"/>
                <w:szCs w:val="19"/>
              </w:rPr>
              <w:t xml:space="preserve">100.0%</w:t>
            </w:r>
          </w:p>
        </w:tc>
        <w:tc>
          <w:tcPr>
            <w:tcW w:type="dxa" w:w="1872"/>
            <w:tcBorders>
              <w:top w:val="single" w:color="BFC9D9" w:sz="4"/>
              <w:left w:val="single" w:color="BFC9D9" w:sz="4"/>
              <w:bottom w:val="single" w:color="BFC9D9" w:sz="4"/>
              <w:right w:val="single" w:color="BFC9D9" w:sz="4"/>
            </w:tcBorders>
            <w:shd w:fill="DCE3F0" w:color="auto" w:val="clear"/>
            <w:tcMar>
              <w:top w:type="dxa" w:w="70"/>
              <w:left w:type="dxa" w:w="100"/>
              <w:bottom w:type="dxa" w:w="70"/>
              <w:right w:type="dxa" w:w="100"/>
            </w:tcMar>
            <w:vAlign w:val="center"/>
          </w:tcPr>
          <w:p>
            <w:pPr>
              <w:spacing w:line="260"/>
              <w:jc w:val="center"/>
            </w:pPr>
            <w:r>
              <w:rPr>
                <w:b/>
                <w:bCs/>
                <w:color w:val="262626"/>
                <w:sz w:val="19"/>
                <w:szCs w:val="19"/>
              </w:rPr>
              <w:t xml:space="preserve">€300.04</w:t>
            </w:r>
          </w:p>
        </w:tc>
        <w:tc>
          <w:tcPr>
            <w:tcW w:type="dxa" w:w="1872"/>
            <w:tcBorders>
              <w:top w:val="single" w:color="BFC9D9" w:sz="4"/>
              <w:left w:val="single" w:color="BFC9D9" w:sz="4"/>
              <w:bottom w:val="single" w:color="BFC9D9" w:sz="4"/>
              <w:right w:val="single" w:color="BFC9D9" w:sz="4"/>
            </w:tcBorders>
            <w:shd w:fill="DCE3F0" w:color="auto" w:val="clear"/>
            <w:tcMar>
              <w:top w:type="dxa" w:w="70"/>
              <w:left w:type="dxa" w:w="100"/>
              <w:bottom w:type="dxa" w:w="70"/>
              <w:right w:type="dxa" w:w="100"/>
            </w:tcMar>
            <w:vAlign w:val="center"/>
          </w:tcPr>
          <w:p>
            <w:pPr>
              <w:spacing w:line="260"/>
              <w:jc w:val="center"/>
            </w:pPr>
            <w:r>
              <w:rPr>
                <w:b/>
                <w:bCs/>
                <w:color w:val="262626"/>
                <w:sz w:val="19"/>
                <w:szCs w:val="19"/>
              </w:rPr>
              <w:t xml:space="preserve">€0.103</w:t>
            </w:r>
          </w:p>
        </w:tc>
      </w:tr>
    </w:tbl>
    <w:p>
      <w:pPr>
        <w:spacing w:after="80"/>
      </w:pPr>
    </w:p>
    <w:p>
      <w:pPr>
        <w:pStyle w:val="Heading3"/>
      </w:pPr>
      <w:r>
        <w:t xml:space="preserve">Diagnostic funnel (GA4, September)</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76"/>
        <w:gridCol w:w="1872"/>
        <w:gridCol w:w="4212"/>
      </w:tblGrid>
      <w:tr>
        <w:trPr>
          <w:tblHeader/>
        </w:trPr>
        <w:tc>
          <w:tcPr>
            <w:tcW w:type="dxa" w:w="3276"/>
            <w:tcBorders>
              <w:top w:val="single" w:color="BFC9D9" w:sz="4"/>
              <w:left w:val="single" w:color="BFC9D9" w:sz="4"/>
              <w:bottom w:val="single" w:color="BFC9D9" w:sz="4"/>
              <w:right w:val="single" w:color="BFC9D9" w:sz="4"/>
            </w:tcBorders>
            <w:shd w:fill="1F3864" w:color="auto" w:val="clear"/>
            <w:tcMar>
              <w:top w:type="dxa" w:w="70"/>
              <w:left w:type="dxa" w:w="100"/>
              <w:bottom w:type="dxa" w:w="70"/>
              <w:right w:type="dxa" w:w="100"/>
            </w:tcMar>
            <w:vAlign w:val="center"/>
          </w:tcPr>
          <w:p>
            <w:pPr>
              <w:spacing w:line="260"/>
              <w:jc w:val="left"/>
            </w:pPr>
            <w:r>
              <w:rPr>
                <w:b/>
                <w:bCs/>
                <w:color w:val="FFFFFF"/>
                <w:sz w:val="19"/>
                <w:szCs w:val="19"/>
              </w:rPr>
              <w:t xml:space="preserve">Step</w:t>
            </w:r>
          </w:p>
        </w:tc>
        <w:tc>
          <w:tcPr>
            <w:tcW w:type="dxa" w:w="1872"/>
            <w:tcBorders>
              <w:top w:val="single" w:color="BFC9D9" w:sz="4"/>
              <w:left w:val="single" w:color="BFC9D9" w:sz="4"/>
              <w:bottom w:val="single" w:color="BFC9D9" w:sz="4"/>
              <w:right w:val="single" w:color="BFC9D9" w:sz="4"/>
            </w:tcBorders>
            <w:shd w:fill="1F3864" w:color="auto" w:val="clear"/>
            <w:tcMar>
              <w:top w:type="dxa" w:w="70"/>
              <w:left w:type="dxa" w:w="100"/>
              <w:bottom w:type="dxa" w:w="70"/>
              <w:right w:type="dxa" w:w="100"/>
            </w:tcMar>
            <w:vAlign w:val="center"/>
          </w:tcPr>
          <w:p>
            <w:pPr>
              <w:spacing w:line="260"/>
              <w:jc w:val="center"/>
            </w:pPr>
            <w:r>
              <w:rPr>
                <w:b/>
                <w:bCs/>
                <w:color w:val="FFFFFF"/>
                <w:sz w:val="19"/>
                <w:szCs w:val="19"/>
              </w:rPr>
              <w:t xml:space="preserve">Active users</w:t>
            </w:r>
          </w:p>
        </w:tc>
        <w:tc>
          <w:tcPr>
            <w:tcW w:type="dxa" w:w="4212"/>
            <w:tcBorders>
              <w:top w:val="single" w:color="BFC9D9" w:sz="4"/>
              <w:left w:val="single" w:color="BFC9D9" w:sz="4"/>
              <w:bottom w:val="single" w:color="BFC9D9" w:sz="4"/>
              <w:right w:val="single" w:color="BFC9D9" w:sz="4"/>
            </w:tcBorders>
            <w:shd w:fill="1F3864" w:color="auto" w:val="clear"/>
            <w:tcMar>
              <w:top w:type="dxa" w:w="70"/>
              <w:left w:type="dxa" w:w="100"/>
              <w:bottom w:type="dxa" w:w="70"/>
              <w:right w:type="dxa" w:w="100"/>
            </w:tcMar>
            <w:vAlign w:val="center"/>
          </w:tcPr>
          <w:p>
            <w:pPr>
              <w:spacing w:line="260"/>
              <w:jc w:val="center"/>
            </w:pPr>
            <w:r>
              <w:rPr>
                <w:b/>
                <w:bCs/>
                <w:color w:val="FFFFFF"/>
                <w:sz w:val="19"/>
                <w:szCs w:val="19"/>
              </w:rPr>
              <w:t xml:space="preserve">Note</w:t>
            </w:r>
          </w:p>
        </w:tc>
      </w:tr>
      <w:tr>
        <w:trPr>
          <w:cantSplit/>
        </w:trPr>
        <w:tc>
          <w:tcPr>
            <w:tcW w:type="dxa" w:w="3276"/>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left"/>
            </w:pPr>
            <w:r>
              <w:rPr>
                <w:b/>
                <w:bCs/>
                <w:color w:val="1F3864"/>
                <w:sz w:val="19"/>
                <w:szCs w:val="19"/>
              </w:rPr>
              <w:t xml:space="preserve">Step 1</w:t>
            </w:r>
          </w:p>
        </w:tc>
        <w:tc>
          <w:tcPr>
            <w:tcW w:type="dxa" w:w="1872"/>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center"/>
            </w:pPr>
            <w:r>
              <w:rPr>
                <w:color w:val="262626"/>
                <w:sz w:val="19"/>
                <w:szCs w:val="19"/>
              </w:rPr>
              <w:t xml:space="preserve">2,096</w:t>
            </w:r>
          </w:p>
        </w:tc>
        <w:tc>
          <w:tcPr>
            <w:tcW w:type="dxa" w:w="4212"/>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center"/>
            </w:pPr>
            <w:r>
              <w:rPr>
                <w:color w:val="262626"/>
                <w:sz w:val="19"/>
                <w:szCs w:val="19"/>
              </w:rPr>
              <w:t xml:space="preserve">2,094 abandoned (99.9%)</w:t>
            </w:r>
          </w:p>
        </w:tc>
      </w:tr>
      <w:tr>
        <w:trPr>
          <w:cantSplit/>
        </w:trPr>
        <w:tc>
          <w:tcPr>
            <w:tcW w:type="dxa" w:w="3276"/>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left"/>
            </w:pPr>
            <w:r>
              <w:rPr>
                <w:b/>
                <w:bCs/>
                <w:color w:val="1F3864"/>
                <w:sz w:val="19"/>
                <w:szCs w:val="19"/>
              </w:rPr>
              <w:t xml:space="preserve">Steps 2, 3 and 4</w:t>
            </w:r>
          </w:p>
        </w:tc>
        <w:tc>
          <w:tcPr>
            <w:tcW w:type="dxa" w:w="1872"/>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center"/>
            </w:pPr>
            <w:r>
              <w:rPr>
                <w:color w:val="262626"/>
                <w:sz w:val="19"/>
                <w:szCs w:val="19"/>
              </w:rPr>
              <w:t xml:space="preserve">2</w:t>
            </w:r>
          </w:p>
        </w:tc>
        <w:tc>
          <w:tcPr>
            <w:tcW w:type="dxa" w:w="4212"/>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center"/>
            </w:pPr>
            <w:r>
              <w:rPr>
                <w:color w:val="262626"/>
                <w:sz w:val="19"/>
                <w:szCs w:val="19"/>
              </w:rPr>
              <w:t xml:space="preserve">Both users from Andalusia</w:t>
            </w:r>
          </w:p>
        </w:tc>
      </w:tr>
      <w:tr>
        <w:trPr>
          <w:cantSplit/>
        </w:trPr>
        <w:tc>
          <w:tcPr>
            <w:tcW w:type="dxa" w:w="3276"/>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left"/>
            </w:pPr>
            <w:r>
              <w:rPr>
                <w:b/>
                <w:bCs/>
                <w:color w:val="1F3864"/>
                <w:sz w:val="19"/>
                <w:szCs w:val="19"/>
              </w:rPr>
              <w:t xml:space="preserve">Step 5</w:t>
            </w:r>
          </w:p>
        </w:tc>
        <w:tc>
          <w:tcPr>
            <w:tcW w:type="dxa" w:w="1872"/>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center"/>
            </w:pPr>
            <w:r>
              <w:rPr>
                <w:color w:val="262626"/>
                <w:sz w:val="19"/>
                <w:szCs w:val="19"/>
              </w:rPr>
              <w:t xml:space="preserve">2</w:t>
            </w:r>
          </w:p>
        </w:tc>
        <w:tc>
          <w:tcPr>
            <w:tcW w:type="dxa" w:w="4212"/>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center"/>
            </w:pPr>
            <w:r>
              <w:rPr>
                <w:color w:val="262626"/>
                <w:sz w:val="19"/>
                <w:szCs w:val="19"/>
              </w:rPr>
              <w:t xml:space="preserve">Both abandoned</w:t>
            </w:r>
          </w:p>
        </w:tc>
      </w:tr>
      <w:tr>
        <w:trPr>
          <w:cantSplit/>
        </w:trPr>
        <w:tc>
          <w:tcPr>
            <w:tcW w:type="dxa" w:w="3276"/>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left"/>
            </w:pPr>
            <w:r>
              <w:rPr>
                <w:b/>
                <w:bCs/>
                <w:color w:val="1F3864"/>
                <w:sz w:val="19"/>
                <w:szCs w:val="19"/>
              </w:rPr>
              <w:t xml:space="preserve">Step 6 / Diagnosis completed</w:t>
            </w:r>
          </w:p>
        </w:tc>
        <w:tc>
          <w:tcPr>
            <w:tcW w:type="dxa" w:w="1872"/>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center"/>
            </w:pPr>
            <w:r>
              <w:rPr>
                <w:color w:val="262626"/>
                <w:sz w:val="19"/>
                <w:szCs w:val="19"/>
              </w:rPr>
              <w:t xml:space="preserve">0</w:t>
            </w:r>
          </w:p>
        </w:tc>
        <w:tc>
          <w:tcPr>
            <w:tcW w:type="dxa" w:w="4212"/>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center"/>
            </w:pPr>
            <w:r>
              <w:rPr>
                <w:color w:val="262626"/>
                <w:sz w:val="19"/>
                <w:szCs w:val="19"/>
              </w:rPr>
              <w:t xml:space="preserve">—</w:t>
            </w:r>
          </w:p>
        </w:tc>
      </w:tr>
    </w:tbl>
    <w:p>
      <w:pPr>
        <w:spacing w:after="80"/>
      </w:pPr>
    </w:p>
    <w:p>
      <w:pPr>
        <w:keepNext/>
        <w:spacing w:after="40" w:before="80"/>
        <w:jc w:val="center"/>
      </w:pPr>
      <w:r>
        <w:drawing>
          <wp:inline distT="0" distB="0" distL="0" distR="0">
            <wp:extent cx="5762625" cy="2076450"/>
            <wp:effectExtent t="0" r="0" b="0" l="0"/>
            <wp:docPr id="3" name="chart5" descr="chart5" title="chart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62625" cy="2076450"/>
                    </a:xfrm>
                    <a:prstGeom prst="rect">
                      <a:avLst/>
                    </a:prstGeom>
                  </pic:spPr>
                </pic:pic>
              </a:graphicData>
            </a:graphic>
          </wp:inline>
        </w:drawing>
      </w:r>
    </w:p>
    <w:p>
      <w:pPr>
        <w:spacing w:after="200"/>
        <w:jc w:val="center"/>
      </w:pPr>
      <w:r>
        <w:rPr>
          <w:i/>
          <w:iCs/>
          <w:color w:val="595959"/>
          <w:sz w:val="17"/>
          <w:szCs w:val="17"/>
        </w:rPr>
        <w:t xml:space="preserve">Chart 3. MÉVIAL: users who started the diagnostic, by region (GA4, September 2026). “Other regions” is calc.</w:t>
      </w:r>
    </w:p>
    <w:p>
      <w:pPr>
        <w:pStyle w:val="Heading3"/>
      </w:pPr>
      <w:r>
        <w:t xml:space="preserve">Comparison with August and analysis</w:t>
      </w:r>
    </w:p>
    <w:p>
      <w:pPr>
        <w:pStyle w:val="ListParagraph"/>
        <w:numPr>
          <w:ilvl w:val="0"/>
          <w:numId w:val="2"/>
        </w:numPr>
        <w:spacing w:after="80" w:line="276"/>
      </w:pPr>
      <w:r>
        <w:rPr>
          <w:b/>
          <w:bCs/>
        </w:rPr>
        <w:t xml:space="preserve">Traffic cost more and arrived more slowly.</w:t>
      </w:r>
      <w:r>
        <w:t xml:space="preserve"> Spend rose 19.3% while landing page views fell 18.3%, so cost per view rose 46.0%. Average daily views fell from 143 to 97 (calc.).</w:t>
      </w:r>
    </w:p>
    <w:p>
      <w:pPr>
        <w:pStyle w:val="ListParagraph"/>
        <w:numPr>
          <w:ilvl w:val="0"/>
          <w:numId w:val="2"/>
        </w:numPr>
        <w:spacing w:after="80" w:line="276"/>
      </w:pPr>
      <w:r>
        <w:rPr>
          <w:b/>
          <w:bCs/>
        </w:rPr>
        <w:t xml:space="preserve">The diagnostic still fails at step 1.</w:t>
      </w:r>
      <w:r>
        <w:t xml:space="preserve"> More users started it (2,096 vs. approx. 1,677), but only 2 reached step 2 (8 in August) and none completed it. The step 1 drop-off identified in August has not been addressed, as no changes were made in September.</w:t>
      </w:r>
    </w:p>
    <w:p>
      <w:pPr>
        <w:pStyle w:val="ListParagraph"/>
        <w:numPr>
          <w:ilvl w:val="0"/>
          <w:numId w:val="2"/>
        </w:numPr>
        <w:spacing w:after="80" w:line="276"/>
      </w:pPr>
      <w:r>
        <w:rPr>
          <w:b/>
          <w:bCs/>
        </w:rPr>
        <w:t xml:space="preserve">Traffic is almost entirely one ad.</w:t>
      </w:r>
      <w:r>
        <w:t xml:space="preserve"> Reel 72 delivered 95.8% of landing page views.</w:t>
      </w:r>
    </w:p>
    <w:p>
      <w:pPr>
        <w:pStyle w:val="ListParagraph"/>
        <w:numPr>
          <w:ilvl w:val="0"/>
          <w:numId w:val="2"/>
        </w:numPr>
        <w:spacing w:after="80" w:line="276"/>
      </w:pPr>
      <w:r>
        <w:rPr>
          <w:b/>
          <w:bCs/>
        </w:rPr>
        <w:t xml:space="preserve">34.3% of diagnostic users came from outside Andalusia</w:t>
      </w:r>
      <w:r>
        <w:t xml:space="preserve"> (Community of Madrid 23.7%). The campaign targets Málaga, Seville and Córdoba, with Advantage+ Audience turned off in August. This mismatch should be checked in the ad set's location settings and GA4.</w:t>
      </w:r>
    </w:p>
    <w:p>
      <w:pPr>
        <w:pStyle w:val="ListParagraph"/>
        <w:numPr>
          <w:ilvl w:val="0"/>
          <w:numId w:val="2"/>
        </w:numPr>
        <w:spacing w:after="80" w:line="276"/>
      </w:pPr>
      <w:r>
        <w:rPr>
          <w:b/>
          <w:bCs/>
        </w:rPr>
        <w:t xml:space="preserve">Next step depends on ad account verification,</w:t>
      </w:r>
      <w:r>
        <w:t xml:space="preserve"> which is required before the WhatsApp CTA can be introduced.</w:t>
      </w:r>
    </w:p>
    <w:p>
      <w:pPr>
        <w:pStyle w:val="Heading2"/>
      </w:pPr>
      <w:r>
        <w:t xml:space="preserve">C. Other clients / projects</w:t>
      </w:r>
    </w:p>
    <w:p>
      <w:pPr>
        <w:pStyle w:val="Heading3"/>
      </w:pPr>
      <w:r>
        <w:t xml:space="preserve">DR. GUILLERMO</w:t>
      </w:r>
    </w:p>
    <w:p>
      <w:pPr>
        <w:spacing w:after="120" w:line="276"/>
      </w:pPr>
      <w:r>
        <w:t xml:space="preserve">No update was reported for this client in September.</w:t>
      </w:r>
    </w:p>
    <w:p>
      <w:pPr>
        <w:pStyle w:val="Heading1"/>
      </w:pPr>
      <w:r>
        <w:t xml:space="preserve">3. Overall comparison with August</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21"/>
        <w:gridCol w:w="1685"/>
        <w:gridCol w:w="1685"/>
        <w:gridCol w:w="1685"/>
        <w:gridCol w:w="1684"/>
      </w:tblGrid>
      <w:tr>
        <w:trPr>
          <w:tblHeader/>
        </w:trPr>
        <w:tc>
          <w:tcPr>
            <w:tcW w:type="dxa" w:w="2621"/>
            <w:tcBorders>
              <w:top w:val="single" w:color="BFC9D9" w:sz="4"/>
              <w:left w:val="single" w:color="BFC9D9" w:sz="4"/>
              <w:bottom w:val="single" w:color="BFC9D9" w:sz="4"/>
              <w:right w:val="single" w:color="BFC9D9" w:sz="4"/>
            </w:tcBorders>
            <w:shd w:fill="1F3864" w:color="auto" w:val="clear"/>
            <w:tcMar>
              <w:top w:type="dxa" w:w="70"/>
              <w:left w:type="dxa" w:w="100"/>
              <w:bottom w:type="dxa" w:w="70"/>
              <w:right w:type="dxa" w:w="100"/>
            </w:tcMar>
            <w:vAlign w:val="center"/>
          </w:tcPr>
          <w:p>
            <w:pPr>
              <w:spacing w:line="260"/>
              <w:jc w:val="left"/>
            </w:pPr>
            <w:r>
              <w:rPr>
                <w:b/>
                <w:bCs/>
                <w:color w:val="FFFFFF"/>
                <w:sz w:val="19"/>
                <w:szCs w:val="19"/>
              </w:rPr>
              <w:t xml:space="preserve">Indicator</w:t>
            </w:r>
          </w:p>
        </w:tc>
        <w:tc>
          <w:tcPr>
            <w:tcW w:type="dxa" w:w="1685"/>
            <w:tcBorders>
              <w:top w:val="single" w:color="BFC9D9" w:sz="4"/>
              <w:left w:val="single" w:color="BFC9D9" w:sz="4"/>
              <w:bottom w:val="single" w:color="BFC9D9" w:sz="4"/>
              <w:right w:val="single" w:color="BFC9D9" w:sz="4"/>
            </w:tcBorders>
            <w:shd w:fill="1F3864" w:color="auto" w:val="clear"/>
            <w:tcMar>
              <w:top w:type="dxa" w:w="70"/>
              <w:left w:type="dxa" w:w="100"/>
              <w:bottom w:type="dxa" w:w="70"/>
              <w:right w:type="dxa" w:w="100"/>
            </w:tcMar>
            <w:vAlign w:val="center"/>
          </w:tcPr>
          <w:p>
            <w:pPr>
              <w:spacing w:line="260"/>
              <w:jc w:val="center"/>
            </w:pPr>
            <w:r>
              <w:rPr>
                <w:b/>
                <w:bCs/>
                <w:color w:val="FFFFFF"/>
                <w:sz w:val="19"/>
                <w:szCs w:val="19"/>
              </w:rPr>
              <w:t xml:space="preserve">August</w:t>
            </w:r>
          </w:p>
        </w:tc>
        <w:tc>
          <w:tcPr>
            <w:tcW w:type="dxa" w:w="1685"/>
            <w:tcBorders>
              <w:top w:val="single" w:color="BFC9D9" w:sz="4"/>
              <w:left w:val="single" w:color="BFC9D9" w:sz="4"/>
              <w:bottom w:val="single" w:color="BFC9D9" w:sz="4"/>
              <w:right w:val="single" w:color="BFC9D9" w:sz="4"/>
            </w:tcBorders>
            <w:shd w:fill="1F3864" w:color="auto" w:val="clear"/>
            <w:tcMar>
              <w:top w:type="dxa" w:w="70"/>
              <w:left w:type="dxa" w:w="100"/>
              <w:bottom w:type="dxa" w:w="70"/>
              <w:right w:type="dxa" w:w="100"/>
            </w:tcMar>
            <w:vAlign w:val="center"/>
          </w:tcPr>
          <w:p>
            <w:pPr>
              <w:spacing w:line="260"/>
              <w:jc w:val="center"/>
            </w:pPr>
            <w:r>
              <w:rPr>
                <w:b/>
                <w:bCs/>
                <w:color w:val="FFFFFF"/>
                <w:sz w:val="19"/>
                <w:szCs w:val="19"/>
              </w:rPr>
              <w:t xml:space="preserve">September</w:t>
            </w:r>
          </w:p>
        </w:tc>
        <w:tc>
          <w:tcPr>
            <w:tcW w:type="dxa" w:w="1685"/>
            <w:tcBorders>
              <w:top w:val="single" w:color="BFC9D9" w:sz="4"/>
              <w:left w:val="single" w:color="BFC9D9" w:sz="4"/>
              <w:bottom w:val="single" w:color="BFC9D9" w:sz="4"/>
              <w:right w:val="single" w:color="BFC9D9" w:sz="4"/>
            </w:tcBorders>
            <w:shd w:fill="1F3864" w:color="auto" w:val="clear"/>
            <w:tcMar>
              <w:top w:type="dxa" w:w="70"/>
              <w:left w:type="dxa" w:w="100"/>
              <w:bottom w:type="dxa" w:w="70"/>
              <w:right w:type="dxa" w:w="100"/>
            </w:tcMar>
            <w:vAlign w:val="center"/>
          </w:tcPr>
          <w:p>
            <w:pPr>
              <w:spacing w:line="260"/>
              <w:jc w:val="center"/>
            </w:pPr>
            <w:r>
              <w:rPr>
                <w:b/>
                <w:bCs/>
                <w:color w:val="FFFFFF"/>
                <w:sz w:val="19"/>
                <w:szCs w:val="19"/>
              </w:rPr>
              <w:t xml:space="preserve">Change</w:t>
            </w:r>
          </w:p>
        </w:tc>
        <w:tc>
          <w:tcPr>
            <w:tcW w:type="dxa" w:w="1684"/>
            <w:tcBorders>
              <w:top w:val="single" w:color="BFC9D9" w:sz="4"/>
              <w:left w:val="single" w:color="BFC9D9" w:sz="4"/>
              <w:bottom w:val="single" w:color="BFC9D9" w:sz="4"/>
              <w:right w:val="single" w:color="BFC9D9" w:sz="4"/>
            </w:tcBorders>
            <w:shd w:fill="1F3864" w:color="auto" w:val="clear"/>
            <w:tcMar>
              <w:top w:type="dxa" w:w="70"/>
              <w:left w:type="dxa" w:w="100"/>
              <w:bottom w:type="dxa" w:w="70"/>
              <w:right w:type="dxa" w:w="100"/>
            </w:tcMar>
            <w:vAlign w:val="center"/>
          </w:tcPr>
          <w:p>
            <w:pPr>
              <w:spacing w:line="260"/>
              <w:jc w:val="center"/>
            </w:pPr>
            <w:r>
              <w:rPr>
                <w:b/>
                <w:bCs/>
                <w:color w:val="FFFFFF"/>
                <w:sz w:val="19"/>
                <w:szCs w:val="19"/>
              </w:rPr>
              <w:t xml:space="preserve">Abs. Δ</w:t>
            </w:r>
          </w:p>
        </w:tc>
      </w:tr>
      <w:tr>
        <w:trPr>
          <w:cantSplit/>
        </w:trPr>
        <w:tc>
          <w:tcPr>
            <w:tcW w:type="dxa" w:w="2621"/>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left"/>
            </w:pPr>
            <w:r>
              <w:rPr>
                <w:b/>
                <w:bCs/>
                <w:color w:val="1F3864"/>
                <w:sz w:val="19"/>
                <w:szCs w:val="19"/>
              </w:rPr>
              <w:t xml:space="preserve">Paid reach</w:t>
            </w:r>
          </w:p>
        </w:tc>
        <w:tc>
          <w:tcPr>
            <w:tcW w:type="dxa" w:w="1685"/>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center"/>
            </w:pPr>
            <w:r>
              <w:rPr>
                <w:color w:val="262626"/>
                <w:sz w:val="19"/>
                <w:szCs w:val="19"/>
              </w:rPr>
              <w:t xml:space="preserve">358,211</w:t>
            </w:r>
          </w:p>
        </w:tc>
        <w:tc>
          <w:tcPr>
            <w:tcW w:type="dxa" w:w="1685"/>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center"/>
            </w:pPr>
            <w:r>
              <w:rPr>
                <w:color w:val="262626"/>
                <w:sz w:val="19"/>
                <w:szCs w:val="19"/>
              </w:rPr>
              <w:t xml:space="preserve">291,478</w:t>
            </w:r>
          </w:p>
        </w:tc>
        <w:tc>
          <w:tcPr>
            <w:tcW w:type="dxa" w:w="1685"/>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center"/>
            </w:pPr>
            <w:r>
              <w:rPr>
                <w:color w:val="262626"/>
                <w:sz w:val="19"/>
                <w:szCs w:val="19"/>
              </w:rPr>
              <w:t xml:space="preserve">-18.6%</w:t>
            </w:r>
          </w:p>
        </w:tc>
        <w:tc>
          <w:tcPr>
            <w:tcW w:type="dxa" w:w="1684"/>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center"/>
            </w:pPr>
            <w:r>
              <w:rPr>
                <w:color w:val="262626"/>
                <w:sz w:val="19"/>
                <w:szCs w:val="19"/>
              </w:rPr>
              <w:t xml:space="preserve">-66,733</w:t>
            </w:r>
          </w:p>
        </w:tc>
      </w:tr>
      <w:tr>
        <w:trPr>
          <w:cantSplit/>
        </w:trPr>
        <w:tc>
          <w:tcPr>
            <w:tcW w:type="dxa" w:w="2621"/>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left"/>
            </w:pPr>
            <w:r>
              <w:rPr>
                <w:b/>
                <w:bCs/>
                <w:color w:val="1F3864"/>
                <w:sz w:val="19"/>
                <w:szCs w:val="19"/>
              </w:rPr>
              <w:t xml:space="preserve">Paid impressions</w:t>
            </w:r>
          </w:p>
        </w:tc>
        <w:tc>
          <w:tcPr>
            <w:tcW w:type="dxa" w:w="1685"/>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center"/>
            </w:pPr>
            <w:r>
              <w:rPr>
                <w:color w:val="262626"/>
                <w:sz w:val="19"/>
                <w:szCs w:val="19"/>
              </w:rPr>
              <w:t xml:space="preserve">1,027,101</w:t>
            </w:r>
          </w:p>
        </w:tc>
        <w:tc>
          <w:tcPr>
            <w:tcW w:type="dxa" w:w="1685"/>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center"/>
            </w:pPr>
            <w:r>
              <w:rPr>
                <w:color w:val="262626"/>
                <w:sz w:val="19"/>
                <w:szCs w:val="19"/>
              </w:rPr>
              <w:t xml:space="preserve">825,175</w:t>
            </w:r>
          </w:p>
        </w:tc>
        <w:tc>
          <w:tcPr>
            <w:tcW w:type="dxa" w:w="1685"/>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center"/>
            </w:pPr>
            <w:r>
              <w:rPr>
                <w:color w:val="262626"/>
                <w:sz w:val="19"/>
                <w:szCs w:val="19"/>
              </w:rPr>
              <w:t xml:space="preserve">-19.7%</w:t>
            </w:r>
          </w:p>
        </w:tc>
        <w:tc>
          <w:tcPr>
            <w:tcW w:type="dxa" w:w="1684"/>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center"/>
            </w:pPr>
            <w:r>
              <w:rPr>
                <w:color w:val="262626"/>
                <w:sz w:val="19"/>
                <w:szCs w:val="19"/>
              </w:rPr>
              <w:t xml:space="preserve">-201,926</w:t>
            </w:r>
          </w:p>
        </w:tc>
      </w:tr>
      <w:tr>
        <w:trPr>
          <w:cantSplit/>
        </w:trPr>
        <w:tc>
          <w:tcPr>
            <w:tcW w:type="dxa" w:w="2621"/>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left"/>
            </w:pPr>
            <w:r>
              <w:rPr>
                <w:b/>
                <w:bCs/>
                <w:color w:val="1F3864"/>
                <w:sz w:val="19"/>
                <w:szCs w:val="19"/>
              </w:rPr>
              <w:t xml:space="preserve">Messages</w:t>
            </w:r>
          </w:p>
        </w:tc>
        <w:tc>
          <w:tcPr>
            <w:tcW w:type="dxa" w:w="1685"/>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center"/>
            </w:pPr>
            <w:r>
              <w:rPr>
                <w:color w:val="262626"/>
                <w:sz w:val="19"/>
                <w:szCs w:val="19"/>
              </w:rPr>
              <w:t xml:space="preserve">4,489</w:t>
            </w:r>
          </w:p>
        </w:tc>
        <w:tc>
          <w:tcPr>
            <w:tcW w:type="dxa" w:w="1685"/>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center"/>
            </w:pPr>
            <w:r>
              <w:rPr>
                <w:color w:val="262626"/>
                <w:sz w:val="19"/>
                <w:szCs w:val="19"/>
              </w:rPr>
              <w:t xml:space="preserve">3,769</w:t>
            </w:r>
          </w:p>
        </w:tc>
        <w:tc>
          <w:tcPr>
            <w:tcW w:type="dxa" w:w="1685"/>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center"/>
            </w:pPr>
            <w:r>
              <w:rPr>
                <w:color w:val="262626"/>
                <w:sz w:val="19"/>
                <w:szCs w:val="19"/>
              </w:rPr>
              <w:t xml:space="preserve">-16.0%</w:t>
            </w:r>
          </w:p>
        </w:tc>
        <w:tc>
          <w:tcPr>
            <w:tcW w:type="dxa" w:w="1684"/>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center"/>
            </w:pPr>
            <w:r>
              <w:rPr>
                <w:color w:val="262626"/>
                <w:sz w:val="19"/>
                <w:szCs w:val="19"/>
              </w:rPr>
              <w:t xml:space="preserve">-720</w:t>
            </w:r>
          </w:p>
        </w:tc>
      </w:tr>
      <w:tr>
        <w:trPr>
          <w:cantSplit/>
        </w:trPr>
        <w:tc>
          <w:tcPr>
            <w:tcW w:type="dxa" w:w="2621"/>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left"/>
            </w:pPr>
            <w:r>
              <w:rPr>
                <w:b/>
                <w:bCs/>
                <w:color w:val="1F3864"/>
                <w:sz w:val="19"/>
                <w:szCs w:val="19"/>
              </w:rPr>
              <w:t xml:space="preserve">Assigned</w:t>
            </w:r>
          </w:p>
        </w:tc>
        <w:tc>
          <w:tcPr>
            <w:tcW w:type="dxa" w:w="1685"/>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center"/>
            </w:pPr>
            <w:r>
              <w:rPr>
                <w:color w:val="262626"/>
                <w:sz w:val="19"/>
                <w:szCs w:val="19"/>
              </w:rPr>
              <w:t xml:space="preserve">40</w:t>
            </w:r>
          </w:p>
        </w:tc>
        <w:tc>
          <w:tcPr>
            <w:tcW w:type="dxa" w:w="1685"/>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center"/>
            </w:pPr>
            <w:r>
              <w:rPr>
                <w:color w:val="262626"/>
                <w:sz w:val="19"/>
                <w:szCs w:val="19"/>
              </w:rPr>
              <w:t xml:space="preserve">22</w:t>
            </w:r>
          </w:p>
        </w:tc>
        <w:tc>
          <w:tcPr>
            <w:tcW w:type="dxa" w:w="1685"/>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center"/>
            </w:pPr>
            <w:r>
              <w:rPr>
                <w:color w:val="262626"/>
                <w:sz w:val="19"/>
                <w:szCs w:val="19"/>
              </w:rPr>
              <w:t xml:space="preserve">-45.0%</w:t>
            </w:r>
          </w:p>
        </w:tc>
        <w:tc>
          <w:tcPr>
            <w:tcW w:type="dxa" w:w="1684"/>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center"/>
            </w:pPr>
            <w:r>
              <w:rPr>
                <w:color w:val="262626"/>
                <w:sz w:val="19"/>
                <w:szCs w:val="19"/>
              </w:rPr>
              <w:t xml:space="preserve">-18</w:t>
            </w:r>
          </w:p>
        </w:tc>
      </w:tr>
      <w:tr>
        <w:trPr>
          <w:cantSplit/>
        </w:trPr>
        <w:tc>
          <w:tcPr>
            <w:tcW w:type="dxa" w:w="2621"/>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left"/>
            </w:pPr>
            <w:r>
              <w:rPr>
                <w:b/>
                <w:bCs/>
                <w:color w:val="1F3864"/>
                <w:sz w:val="19"/>
                <w:szCs w:val="19"/>
              </w:rPr>
              <w:t xml:space="preserve">Closures (sales)</w:t>
            </w:r>
          </w:p>
        </w:tc>
        <w:tc>
          <w:tcPr>
            <w:tcW w:type="dxa" w:w="1685"/>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center"/>
            </w:pPr>
            <w:r>
              <w:rPr>
                <w:color w:val="262626"/>
                <w:sz w:val="19"/>
                <w:szCs w:val="19"/>
              </w:rPr>
              <w:t xml:space="preserve">8</w:t>
            </w:r>
          </w:p>
        </w:tc>
        <w:tc>
          <w:tcPr>
            <w:tcW w:type="dxa" w:w="1685"/>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center"/>
            </w:pPr>
            <w:r>
              <w:rPr>
                <w:color w:val="262626"/>
                <w:sz w:val="19"/>
                <w:szCs w:val="19"/>
              </w:rPr>
              <w:t xml:space="preserve">3</w:t>
            </w:r>
          </w:p>
        </w:tc>
        <w:tc>
          <w:tcPr>
            <w:tcW w:type="dxa" w:w="1685"/>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center"/>
            </w:pPr>
            <w:r>
              <w:rPr>
                <w:color w:val="262626"/>
                <w:sz w:val="19"/>
                <w:szCs w:val="19"/>
              </w:rPr>
              <w:t xml:space="preserve">-62.5%</w:t>
            </w:r>
          </w:p>
        </w:tc>
        <w:tc>
          <w:tcPr>
            <w:tcW w:type="dxa" w:w="1684"/>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center"/>
            </w:pPr>
            <w:r>
              <w:rPr>
                <w:color w:val="262626"/>
                <w:sz w:val="19"/>
                <w:szCs w:val="19"/>
              </w:rPr>
              <w:t xml:space="preserve">-5</w:t>
            </w:r>
          </w:p>
        </w:tc>
      </w:tr>
      <w:tr>
        <w:trPr>
          <w:cantSplit/>
        </w:trPr>
        <w:tc>
          <w:tcPr>
            <w:tcW w:type="dxa" w:w="2621"/>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left"/>
            </w:pPr>
            <w:r>
              <w:rPr>
                <w:b/>
                <w:bCs/>
                <w:color w:val="1F3864"/>
                <w:sz w:val="19"/>
                <w:szCs w:val="19"/>
              </w:rPr>
              <w:t xml:space="preserve">Spend</w:t>
            </w:r>
          </w:p>
        </w:tc>
        <w:tc>
          <w:tcPr>
            <w:tcW w:type="dxa" w:w="1685"/>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center"/>
            </w:pPr>
            <w:r>
              <w:rPr>
                <w:color w:val="262626"/>
                <w:sz w:val="19"/>
                <w:szCs w:val="19"/>
              </w:rPr>
              <w:t xml:space="preserve">$49,520</w:t>
            </w:r>
          </w:p>
        </w:tc>
        <w:tc>
          <w:tcPr>
            <w:tcW w:type="dxa" w:w="1685"/>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center"/>
            </w:pPr>
            <w:r>
              <w:rPr>
                <w:color w:val="262626"/>
                <w:sz w:val="19"/>
                <w:szCs w:val="19"/>
              </w:rPr>
              <w:t xml:space="preserve">$43,146.05</w:t>
            </w:r>
          </w:p>
        </w:tc>
        <w:tc>
          <w:tcPr>
            <w:tcW w:type="dxa" w:w="1685"/>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center"/>
            </w:pPr>
            <w:r>
              <w:rPr>
                <w:color w:val="262626"/>
                <w:sz w:val="19"/>
                <w:szCs w:val="19"/>
              </w:rPr>
              <w:t xml:space="preserve">-12.9%</w:t>
            </w:r>
          </w:p>
        </w:tc>
        <w:tc>
          <w:tcPr>
            <w:tcW w:type="dxa" w:w="1684"/>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center"/>
            </w:pPr>
            <w:r>
              <w:rPr>
                <w:color w:val="262626"/>
                <w:sz w:val="19"/>
                <w:szCs w:val="19"/>
              </w:rPr>
              <w:t xml:space="preserve">-$6,373.95</w:t>
            </w:r>
          </w:p>
        </w:tc>
      </w:tr>
    </w:tbl>
    <w:p>
      <w:pPr>
        <w:spacing w:after="80"/>
      </w:pPr>
    </w:p>
    <w:p>
      <w:pPr>
        <w:spacing w:after="140"/>
      </w:pPr>
      <w:r>
        <w:rPr>
          <w:i/>
          <w:iCs/>
          <w:color w:val="595959"/>
          <w:sz w:val="17"/>
          <w:szCs w:val="17"/>
        </w:rPr>
        <w:t xml:space="preserve">Pensiones México paid campaigns. MÉVIAL is reported separately in section 2B.</w:t>
      </w:r>
    </w:p>
    <w:p>
      <w:pPr>
        <w:keepNext/>
        <w:spacing w:after="40" w:before="80"/>
        <w:jc w:val="center"/>
      </w:pPr>
      <w:r>
        <w:drawing>
          <wp:inline distT="0" distB="0" distL="0" distR="0">
            <wp:extent cx="5943600" cy="2085975"/>
            <wp:effectExtent t="0" r="0" b="0" l="0"/>
            <wp:docPr id="4" name="chart2" descr="chart2" title="chart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2085975"/>
                    </a:xfrm>
                    <a:prstGeom prst="rect">
                      <a:avLst/>
                    </a:prstGeom>
                  </pic:spPr>
                </pic:pic>
              </a:graphicData>
            </a:graphic>
          </wp:inline>
        </w:drawing>
      </w:r>
    </w:p>
    <w:p>
      <w:pPr>
        <w:spacing w:after="200"/>
        <w:jc w:val="center"/>
      </w:pPr>
      <w:r>
        <w:rPr>
          <w:i/>
          <w:iCs/>
          <w:color w:val="595959"/>
          <w:sz w:val="17"/>
          <w:szCs w:val="17"/>
        </w:rPr>
        <w:t xml:space="preserve">Chart 4. Overall performance: August vs. September 2026 (Pensiones México).</w:t>
      </w:r>
    </w:p>
    <w:p>
      <w:pPr>
        <w:keepNext/>
        <w:spacing w:after="40" w:before="80"/>
        <w:jc w:val="center"/>
      </w:pPr>
      <w:r>
        <w:drawing>
          <wp:inline distT="0" distB="0" distL="0" distR="0">
            <wp:extent cx="5943600" cy="1885950"/>
            <wp:effectExtent t="0" r="0" b="0" l="0"/>
            <wp:docPr id="5" name="chart3" descr="chart3" title="chart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1885950"/>
                    </a:xfrm>
                    <a:prstGeom prst="rect">
                      <a:avLst/>
                    </a:prstGeom>
                  </pic:spPr>
                </pic:pic>
              </a:graphicData>
            </a:graphic>
          </wp:inline>
        </w:drawing>
      </w:r>
    </w:p>
    <w:p>
      <w:pPr>
        <w:spacing w:after="200"/>
        <w:jc w:val="center"/>
      </w:pPr>
      <w:r>
        <w:rPr>
          <w:i/>
          <w:iCs/>
          <w:color w:val="595959"/>
          <w:sz w:val="17"/>
          <w:szCs w:val="17"/>
        </w:rPr>
        <w:t xml:space="preserve">Chart 5. Messages, assigned and closures, June to September 2026 (Pensiones México).</w:t>
      </w:r>
    </w:p>
    <w:p>
      <w:pPr>
        <w:spacing w:after="120" w:line="276"/>
      </w:pPr>
      <w:r>
        <w:t xml:space="preserve">Over four months, assigned fell from 86 to 22 and closures from 16 to 3, while messages peaked in July (6,056).</w:t>
      </w:r>
    </w:p>
    <w:p>
      <w:pPr>
        <w:pStyle w:val="Heading3"/>
      </w:pPr>
      <w:r>
        <w:t xml:space="preserve">What changed compared with August, and why?</w:t>
      </w:r>
    </w:p>
    <w:p>
      <w:pPr>
        <w:pStyle w:val="ListParagraph"/>
        <w:numPr>
          <w:ilvl w:val="0"/>
          <w:numId w:val="2"/>
        </w:numPr>
        <w:spacing w:after="80" w:line="276"/>
      </w:pPr>
      <w:r>
        <w:rPr>
          <w:b/>
          <w:bCs/>
        </w:rPr>
        <w:t xml:space="preserve">Less spend, more expensive delivery.</w:t>
      </w:r>
      <w:r>
        <w:t xml:space="preserve"> Spend -12.9% and cost per 1,000 impressions +8.5% led to 19.7% fewer impressions; the most direct cause of lower message volume.</w:t>
      </w:r>
    </w:p>
    <w:p>
      <w:pPr>
        <w:pStyle w:val="ListParagraph"/>
        <w:numPr>
          <w:ilvl w:val="0"/>
          <w:numId w:val="2"/>
        </w:numPr>
        <w:spacing w:after="80" w:line="276"/>
      </w:pPr>
      <w:r>
        <w:rPr>
          <w:b/>
          <w:bCs/>
        </w:rPr>
        <w:t xml:space="preserve">Weaker downstream conversion.</w:t>
      </w:r>
      <w:r>
        <w:t xml:space="preserve"> Message → assigned fell to 0.58% and assigned → closure to 13.6%, so cost per assigned (+58.4%) and per closure (+132.3%) rose far more than cost per message (+3.8%).</w:t>
      </w:r>
    </w:p>
    <w:p>
      <w:pPr>
        <w:pStyle w:val="ListParagraph"/>
        <w:numPr>
          <w:ilvl w:val="0"/>
          <w:numId w:val="2"/>
        </w:numPr>
        <w:spacing w:after="80" w:line="276"/>
      </w:pPr>
      <w:r>
        <w:rPr>
          <w:b/>
          <w:bCs/>
        </w:rPr>
        <w:t xml:space="preserve">Frequent restructuring.</w:t>
      </w:r>
      <w:r>
        <w:t xml:space="preserve"> Major rounds on 4, 15, 21 and 28–29 Sep, including the return to the July configuration (15 Sep) and the age range change to 60–65+ (21 Sep).</w:t>
      </w:r>
    </w:p>
    <w:p>
      <w:pPr>
        <w:pStyle w:val="ListParagraph"/>
        <w:numPr>
          <w:ilvl w:val="0"/>
          <w:numId w:val="2"/>
        </w:numPr>
        <w:spacing w:after="80" w:line="276"/>
      </w:pPr>
      <w:r>
        <w:rPr>
          <w:b/>
          <w:bCs/>
        </w:rPr>
        <w:t xml:space="preserve">Accounts and channels.</w:t>
      </w:r>
      <w:r>
        <w:t xml:space="preserve"> GHL set up as four advisor sub-accounts; PAM moved to a new business portfolio and ad account (15 Sep); Barcco moved to WABA (29 Sep).</w:t>
      </w:r>
    </w:p>
    <w:p>
      <w:pPr>
        <w:pStyle w:val="ListParagraph"/>
        <w:numPr>
          <w:ilvl w:val="0"/>
          <w:numId w:val="2"/>
        </w:numPr>
        <w:spacing w:after="80" w:line="276"/>
      </w:pPr>
      <w:r>
        <w:rPr>
          <w:b/>
          <w:bCs/>
        </w:rPr>
        <w:t xml:space="preserve">Retiro Vertical active again</w:t>
      </w:r>
      <w:r>
        <w:t xml:space="preserve"> from 4 Sep after verification (deactivated on 31 Aug), but with the steepest rise in cost per message ($11.78 → $16.28).</w:t>
      </w:r>
    </w:p>
    <w:p>
      <w:pPr>
        <w:pStyle w:val="ListParagraph"/>
        <w:numPr>
          <w:ilvl w:val="0"/>
          <w:numId w:val="2"/>
        </w:numPr>
        <w:spacing w:after="80" w:line="276"/>
      </w:pPr>
      <w:r>
        <w:rPr>
          <w:b/>
          <w:bCs/>
        </w:rPr>
        <w:t xml:space="preserve">New campaign Prosperar</w:t>
      </w:r>
      <w:r>
        <w:t xml:space="preserve"> (21 Sep): 62 messages for $1,040.32 in its first 10 days.</w:t>
      </w:r>
    </w:p>
    <w:p>
      <w:pPr>
        <w:pStyle w:val="Heading3"/>
      </w:pPr>
      <w:r>
        <w:t xml:space="preserve">Status of August's objectives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80"/>
        <w:gridCol w:w="4680"/>
      </w:tblGrid>
      <w:tr>
        <w:trPr>
          <w:tblHeader/>
        </w:trPr>
        <w:tc>
          <w:tcPr>
            <w:tcW w:type="dxa" w:w="4680"/>
            <w:tcBorders>
              <w:top w:val="single" w:color="BFC9D9" w:sz="4"/>
              <w:left w:val="single" w:color="BFC9D9" w:sz="4"/>
              <w:bottom w:val="single" w:color="BFC9D9" w:sz="4"/>
              <w:right w:val="single" w:color="BFC9D9" w:sz="4"/>
            </w:tcBorders>
            <w:shd w:fill="1F3864" w:color="auto" w:val="clear"/>
            <w:tcMar>
              <w:top w:type="dxa" w:w="70"/>
              <w:left w:type="dxa" w:w="100"/>
              <w:bottom w:type="dxa" w:w="70"/>
              <w:right w:type="dxa" w:w="100"/>
            </w:tcMar>
            <w:vAlign w:val="center"/>
          </w:tcPr>
          <w:p>
            <w:pPr>
              <w:spacing w:line="260"/>
              <w:jc w:val="left"/>
            </w:pPr>
            <w:r>
              <w:rPr>
                <w:b/>
                <w:bCs/>
                <w:color w:val="FFFFFF"/>
                <w:sz w:val="19"/>
                <w:szCs w:val="19"/>
              </w:rPr>
              <w:t xml:space="preserve">Objective set for September</w:t>
            </w:r>
          </w:p>
        </w:tc>
        <w:tc>
          <w:tcPr>
            <w:tcW w:type="dxa" w:w="4680"/>
            <w:tcBorders>
              <w:top w:val="single" w:color="BFC9D9" w:sz="4"/>
              <w:left w:val="single" w:color="BFC9D9" w:sz="4"/>
              <w:bottom w:val="single" w:color="BFC9D9" w:sz="4"/>
              <w:right w:val="single" w:color="BFC9D9" w:sz="4"/>
            </w:tcBorders>
            <w:shd w:fill="1F3864" w:color="auto" w:val="clear"/>
            <w:tcMar>
              <w:top w:type="dxa" w:w="70"/>
              <w:left w:type="dxa" w:w="100"/>
              <w:bottom w:type="dxa" w:w="70"/>
              <w:right w:type="dxa" w:w="100"/>
            </w:tcMar>
            <w:vAlign w:val="center"/>
          </w:tcPr>
          <w:p>
            <w:pPr>
              <w:spacing w:line="260"/>
              <w:jc w:val="left"/>
            </w:pPr>
            <w:r>
              <w:rPr>
                <w:b/>
                <w:bCs/>
                <w:color w:val="FFFFFF"/>
                <w:sz w:val="19"/>
                <w:szCs w:val="19"/>
              </w:rPr>
              <w:t xml:space="preserve">Status</w:t>
            </w:r>
          </w:p>
        </w:tc>
      </w:tr>
      <w:tr>
        <w:trPr>
          <w:cantSplit/>
        </w:trPr>
        <w:tc>
          <w:tcPr>
            <w:tcW w:type="dxa" w:w="4680"/>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left"/>
            </w:pPr>
            <w:r>
              <w:rPr>
                <w:b/>
                <w:bCs/>
                <w:color w:val="1F3864"/>
                <w:sz w:val="19"/>
                <w:szCs w:val="19"/>
              </w:rPr>
              <w:t xml:space="preserve">Complete the transition of campaign management to the four Mexican advisors</w:t>
            </w:r>
          </w:p>
        </w:tc>
        <w:tc>
          <w:tcPr>
            <w:tcW w:type="dxa" w:w="4680"/>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left"/>
            </w:pPr>
            <w:r>
              <w:rPr>
                <w:color w:val="262626"/>
                <w:sz w:val="19"/>
                <w:szCs w:val="19"/>
              </w:rPr>
              <w:t xml:space="preserve">Pending (GHL now organized as one sub-account per advisor)</w:t>
            </w:r>
          </w:p>
        </w:tc>
      </w:tr>
      <w:tr>
        <w:trPr>
          <w:cantSplit/>
        </w:trPr>
        <w:tc>
          <w:tcPr>
            <w:tcW w:type="dxa" w:w="4680"/>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left"/>
            </w:pPr>
            <w:r>
              <w:rPr>
                <w:b/>
                <w:bCs/>
                <w:color w:val="1F3864"/>
                <w:sz w:val="19"/>
                <w:szCs w:val="19"/>
              </w:rPr>
              <w:t xml:space="preserve">Implement GHL funnels and automations</w:t>
            </w:r>
          </w:p>
        </w:tc>
        <w:tc>
          <w:tcPr>
            <w:tcW w:type="dxa" w:w="4680"/>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left"/>
            </w:pPr>
            <w:r>
              <w:rPr>
                <w:color w:val="262626"/>
                <w:sz w:val="19"/>
                <w:szCs w:val="19"/>
              </w:rPr>
              <w:t xml:space="preserve">In progress: configuration issues; technical support from Andres and Lorgio</w:t>
            </w:r>
          </w:p>
        </w:tc>
      </w:tr>
      <w:tr>
        <w:trPr>
          <w:cantSplit/>
        </w:trPr>
        <w:tc>
          <w:tcPr>
            <w:tcW w:type="dxa" w:w="4680"/>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left"/>
            </w:pPr>
            <w:r>
              <w:rPr>
                <w:b/>
                <w:bCs/>
                <w:color w:val="1F3864"/>
                <w:sz w:val="19"/>
                <w:szCs w:val="19"/>
              </w:rPr>
              <w:t xml:space="preserve">Recover at least 25% of contacts who stop responding</w:t>
            </w:r>
          </w:p>
        </w:tc>
        <w:tc>
          <w:tcPr>
            <w:tcW w:type="dxa" w:w="4680"/>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left"/>
            </w:pPr>
            <w:r>
              <w:rPr>
                <w:color w:val="262626"/>
                <w:sz w:val="19"/>
                <w:szCs w:val="19"/>
              </w:rPr>
              <w:t xml:space="preserve">Pending</w:t>
            </w:r>
          </w:p>
        </w:tc>
      </w:tr>
      <w:tr>
        <w:trPr>
          <w:cantSplit/>
        </w:trPr>
        <w:tc>
          <w:tcPr>
            <w:tcW w:type="dxa" w:w="4680"/>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left"/>
            </w:pPr>
            <w:r>
              <w:rPr>
                <w:b/>
                <w:bCs/>
                <w:color w:val="1F3864"/>
                <w:sz w:val="19"/>
                <w:szCs w:val="19"/>
              </w:rPr>
              <w:t xml:space="preserve">Develop trust-building and follow-up content</w:t>
            </w:r>
          </w:p>
        </w:tc>
        <w:tc>
          <w:tcPr>
            <w:tcW w:type="dxa" w:w="4680"/>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left"/>
            </w:pPr>
            <w:r>
              <w:rPr>
                <w:color w:val="262626"/>
                <w:sz w:val="19"/>
                <w:szCs w:val="19"/>
              </w:rPr>
              <w:t xml:space="preserve">Pending</w:t>
            </w:r>
          </w:p>
        </w:tc>
      </w:tr>
      <w:tr>
        <w:trPr>
          <w:cantSplit/>
        </w:trPr>
        <w:tc>
          <w:tcPr>
            <w:tcW w:type="dxa" w:w="4680"/>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left"/>
            </w:pPr>
            <w:r>
              <w:rPr>
                <w:b/>
                <w:bCs/>
                <w:color w:val="1F3864"/>
                <w:sz w:val="19"/>
                <w:szCs w:val="19"/>
              </w:rPr>
              <w:t xml:space="preserve">Improve conversion from conversations to assigned and closures</w:t>
            </w:r>
          </w:p>
        </w:tc>
        <w:tc>
          <w:tcPr>
            <w:tcW w:type="dxa" w:w="4680"/>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left"/>
            </w:pPr>
            <w:r>
              <w:rPr>
                <w:color w:val="262626"/>
                <w:sz w:val="19"/>
                <w:szCs w:val="19"/>
              </w:rPr>
              <w:t xml:space="preserve">Not achieved: message → assigned 0.89% → 0.58%; assigned → closure 20.0% → 13.6%</w:t>
            </w:r>
          </w:p>
        </w:tc>
      </w:tr>
      <w:tr>
        <w:trPr>
          <w:cantSplit/>
        </w:trPr>
        <w:tc>
          <w:tcPr>
            <w:tcW w:type="dxa" w:w="4680"/>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left"/>
            </w:pPr>
            <w:r>
              <w:rPr>
                <w:b/>
                <w:bCs/>
                <w:color w:val="1F3864"/>
                <w:sz w:val="19"/>
                <w:szCs w:val="19"/>
              </w:rPr>
              <w:t xml:space="preserve">Maintain at least 40% of July's message volume (~2,400)</w:t>
            </w:r>
          </w:p>
        </w:tc>
        <w:tc>
          <w:tcPr>
            <w:tcW w:type="dxa" w:w="4680"/>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left"/>
            </w:pPr>
            <w:r>
              <w:rPr>
                <w:color w:val="262626"/>
                <w:sz w:val="19"/>
                <w:szCs w:val="19"/>
              </w:rPr>
              <w:t xml:space="preserve">Achieved: 3,769 messages (62.2% of July)</w:t>
            </w:r>
          </w:p>
        </w:tc>
      </w:tr>
      <w:tr>
        <w:trPr>
          <w:cantSplit/>
        </w:trPr>
        <w:tc>
          <w:tcPr>
            <w:tcW w:type="dxa" w:w="4680"/>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left"/>
            </w:pPr>
            <w:r>
              <w:rPr>
                <w:b/>
                <w:bCs/>
                <w:color w:val="1F3864"/>
                <w:sz w:val="19"/>
                <w:szCs w:val="19"/>
              </w:rPr>
              <w:t xml:space="preserve">Continue testing the strongest creative approaches</w:t>
            </w:r>
          </w:p>
        </w:tc>
        <w:tc>
          <w:tcPr>
            <w:tcW w:type="dxa" w:w="4680"/>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left"/>
            </w:pPr>
            <w:r>
              <w:rPr>
                <w:color w:val="262626"/>
                <w:sz w:val="19"/>
                <w:szCs w:val="19"/>
              </w:rPr>
              <w:t xml:space="preserve">Ongoing: advisor Reels introduced; two Reel angles tested on Pensión 360 from 28 Sep</w:t>
            </w:r>
          </w:p>
        </w:tc>
      </w:tr>
      <w:tr>
        <w:trPr>
          <w:cantSplit/>
        </w:trPr>
        <w:tc>
          <w:tcPr>
            <w:tcW w:type="dxa" w:w="4680"/>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left"/>
            </w:pPr>
            <w:r>
              <w:rPr>
                <w:b/>
                <w:bCs/>
                <w:color w:val="1F3864"/>
                <w:sz w:val="19"/>
                <w:szCs w:val="19"/>
              </w:rPr>
              <w:t xml:space="preserve">MÉVIAL: measure the new contact flow and improve step 1 of the diagnostic</w:t>
            </w:r>
          </w:p>
        </w:tc>
        <w:tc>
          <w:tcPr>
            <w:tcW w:type="dxa" w:w="4680"/>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left"/>
            </w:pPr>
            <w:r>
              <w:rPr>
                <w:color w:val="262626"/>
                <w:sz w:val="19"/>
                <w:szCs w:val="19"/>
              </w:rPr>
              <w:t xml:space="preserve">Not progressed: no campaign changes; 2 of 2,096 users passed step 1</w:t>
            </w:r>
          </w:p>
        </w:tc>
      </w:tr>
    </w:tbl>
    <w:p>
      <w:pPr>
        <w:spacing w:after="80"/>
      </w:pPr>
    </w:p>
    <w:p>
      <w:pPr>
        <w:pStyle w:val="Heading1"/>
      </w:pPr>
      <w:r>
        <w:t xml:space="preserve">4. What are we currently working on?</w:t>
      </w:r>
    </w:p>
    <w:p>
      <w:pPr>
        <w:pStyle w:val="ListParagraph"/>
        <w:numPr>
          <w:ilvl w:val="0"/>
          <w:numId w:val="2"/>
        </w:numPr>
        <w:spacing w:after="80" w:line="276"/>
      </w:pPr>
      <w:r>
        <w:t xml:space="preserve">Long-term GHL solution, with technical support from Andres and Lorgio.</w:t>
      </w:r>
    </w:p>
    <w:p>
      <w:pPr>
        <w:pStyle w:val="ListParagraph"/>
        <w:numPr>
          <w:ilvl w:val="0"/>
          <w:numId w:val="2"/>
        </w:numPr>
        <w:spacing w:after="80" w:line="276"/>
      </w:pPr>
      <w:r>
        <w:t xml:space="preserve">Daily analysis of the Mexico campaigns, with new promotional and organic material produced alongside.</w:t>
      </w:r>
    </w:p>
    <w:p>
      <w:pPr>
        <w:pStyle w:val="ListParagraph"/>
        <w:numPr>
          <w:ilvl w:val="0"/>
          <w:numId w:val="2"/>
        </w:numPr>
        <w:spacing w:after="80" w:line="276"/>
      </w:pPr>
      <w:r>
        <w:t xml:space="preserve">Returning to the July settings for WhatsApp usage, location and city configuration.</w:t>
      </w:r>
    </w:p>
    <w:p>
      <w:pPr>
        <w:pStyle w:val="ListParagraph"/>
        <w:numPr>
          <w:ilvl w:val="0"/>
          <w:numId w:val="2"/>
        </w:numPr>
        <w:spacing w:after="80" w:line="276"/>
      </w:pPr>
      <w:r>
        <w:t xml:space="preserve">Optimizing the messaging funnel: reviewing the messages and follow-ups being sent.</w:t>
      </w:r>
    </w:p>
    <w:p>
      <w:pPr>
        <w:pStyle w:val="ListParagraph"/>
        <w:numPr>
          <w:ilvl w:val="0"/>
          <w:numId w:val="2"/>
        </w:numPr>
        <w:spacing w:after="80" w:line="276"/>
      </w:pPr>
      <w:r>
        <w:t xml:space="preserve">Retargeting strategies.</w:t>
      </w:r>
    </w:p>
    <w:p>
      <w:pPr>
        <w:pStyle w:val="ListParagraph"/>
        <w:numPr>
          <w:ilvl w:val="0"/>
          <w:numId w:val="2"/>
        </w:numPr>
        <w:spacing w:after="80" w:line="276"/>
      </w:pPr>
      <w:r>
        <w:t xml:space="preserve">Evaluating a test budget (reserving part of the budget for testing); at idea stage.</w:t>
      </w:r>
    </w:p>
    <w:p>
      <w:pPr>
        <w:pStyle w:val="ListParagraph"/>
        <w:numPr>
          <w:ilvl w:val="0"/>
          <w:numId w:val="2"/>
        </w:numPr>
        <w:spacing w:after="80" w:line="276"/>
      </w:pPr>
      <w:r>
        <w:t xml:space="preserve">Results of the 28–29 Sep changes (new Pensión 360 and Retiro Vertical campaigns, Barcco on WABA) are still to be evaluated.</w:t>
      </w:r>
    </w:p>
    <w:p>
      <w:pPr>
        <w:pStyle w:val="ListParagraph"/>
        <w:numPr>
          <w:ilvl w:val="0"/>
          <w:numId w:val="2"/>
        </w:numPr>
        <w:spacing w:after="80" w:line="276"/>
      </w:pPr>
      <w:r>
        <w:t xml:space="preserve">MÉVIAL: ad account verification and the landing page redesign.</w:t>
      </w:r>
    </w:p>
    <w:p>
      <w:pPr>
        <w:pStyle w:val="Heading1"/>
      </w:pPr>
      <w:r>
        <w:t xml:space="preserve">5. Objectives for October</w:t>
      </w:r>
    </w:p>
    <w:p>
      <w:pPr>
        <w:pStyle w:val="Heading3"/>
      </w:pPr>
      <w:r>
        <w:t xml:space="preserve">Main objective</w:t>
      </w:r>
    </w:p>
    <w:p>
      <w:pPr>
        <w:spacing w:after="120" w:line="276"/>
      </w:pPr>
      <w:r>
        <w:t xml:space="preserve">Recover message volume and lead quality at Pensiones México by applying the July WhatsApp, location and city configuration and optimizing the messaging funnel, while fixing the GHL setup.</w:t>
      </w:r>
    </w:p>
    <w:p>
      <w:pPr>
        <w:pStyle w:val="Heading3"/>
      </w:pPr>
      <w:r>
        <w:t xml:space="preserve">Other objectives</w:t>
      </w:r>
    </w:p>
    <w:p>
      <w:pPr>
        <w:pStyle w:val="ListParagraph"/>
        <w:numPr>
          <w:ilvl w:val="0"/>
          <w:numId w:val="2"/>
        </w:numPr>
        <w:spacing w:after="80" w:line="276"/>
      </w:pPr>
      <w:r>
        <w:t xml:space="preserve">Optimize the messaging funnel (messages and follow-ups) to improve message → assigned conversion.</w:t>
      </w:r>
    </w:p>
    <w:p>
      <w:pPr>
        <w:pStyle w:val="ListParagraph"/>
        <w:numPr>
          <w:ilvl w:val="0"/>
          <w:numId w:val="2"/>
        </w:numPr>
        <w:spacing w:after="80" w:line="276"/>
      </w:pPr>
      <w:r>
        <w:t xml:space="preserve">Develop and test retargeting strategies.</w:t>
      </w:r>
    </w:p>
    <w:p>
      <w:pPr>
        <w:pStyle w:val="ListParagraph"/>
        <w:numPr>
          <w:ilvl w:val="0"/>
          <w:numId w:val="2"/>
        </w:numPr>
        <w:spacing w:after="80" w:line="276"/>
      </w:pPr>
      <w:r>
        <w:t xml:space="preserve">Resolve the GHL configuration issues with technical support.</w:t>
      </w:r>
    </w:p>
    <w:p>
      <w:pPr>
        <w:pStyle w:val="ListParagraph"/>
        <w:numPr>
          <w:ilvl w:val="0"/>
          <w:numId w:val="2"/>
        </w:numPr>
        <w:spacing w:after="80" w:line="276"/>
      </w:pPr>
      <w:r>
        <w:t xml:space="preserve">Review the cost increase at Retiro Vertical, Nosotros and Barcco, and measure the 28–29 Sep changes and Prosperar.</w:t>
      </w:r>
    </w:p>
    <w:p>
      <w:pPr>
        <w:pStyle w:val="ListParagraph"/>
        <w:numPr>
          <w:ilvl w:val="0"/>
          <w:numId w:val="2"/>
        </w:numPr>
        <w:spacing w:after="80" w:line="276"/>
      </w:pPr>
      <w:r>
        <w:t xml:space="preserve">MÉVIAL: complete ad account verification, switch the CTA to WhatsApp, launch the optimized landing page and fix the step 1 drop-off.</w:t>
      </w:r>
    </w:p>
    <w:p>
      <w:pPr>
        <w:pStyle w:val="Heading1"/>
      </w:pPr>
      <w:r>
        <w:t xml:space="preserve">6. Supervisor's comments</w:t>
      </w:r>
    </w:p>
    <w:p>
      <w:pPr>
        <w:pStyle w:val="Heading3"/>
      </w:pPr>
      <w:r>
        <w:t xml:space="preserve">Problems and risks identified</w:t>
      </w:r>
    </w:p>
    <w:p>
      <w:pPr>
        <w:pStyle w:val="ListParagraph"/>
        <w:numPr>
          <w:ilvl w:val="0"/>
          <w:numId w:val="2"/>
        </w:numPr>
        <w:spacing w:after="80" w:line="276"/>
      </w:pPr>
      <w:r>
        <w:rPr>
          <w:b/>
          <w:bCs/>
        </w:rPr>
        <w:t xml:space="preserve">Downstream conversion is the main weakness.</w:t>
      </w:r>
      <w:r>
        <w:t xml:space="preserve"> 3,769 messages produced 22 assigned and 3 closures; cost per closure rose to $14,382. The closing stage weakened for the first time (20.0% → 13.6%).</w:t>
      </w:r>
    </w:p>
    <w:p>
      <w:pPr>
        <w:pStyle w:val="ListParagraph"/>
        <w:numPr>
          <w:ilvl w:val="0"/>
          <w:numId w:val="2"/>
        </w:numPr>
        <w:spacing w:after="80" w:line="276"/>
      </w:pPr>
      <w:r>
        <w:rPr>
          <w:b/>
          <w:bCs/>
        </w:rPr>
        <w:t xml:space="preserve">Four-month decline.</w:t>
      </w:r>
      <w:r>
        <w:t xml:space="preserve"> Assigned 86 → 77 → 40 → 22 and closures 16 → 14 → 8 → 3 from June to September.</w:t>
      </w:r>
    </w:p>
    <w:p>
      <w:pPr>
        <w:pStyle w:val="ListParagraph"/>
        <w:numPr>
          <w:ilvl w:val="0"/>
          <w:numId w:val="2"/>
        </w:numPr>
        <w:spacing w:after="80" w:line="276"/>
      </w:pPr>
      <w:r>
        <w:rPr>
          <w:b/>
          <w:bCs/>
        </w:rPr>
        <w:t xml:space="preserve">Rising delivery cost.</w:t>
      </w:r>
      <w:r>
        <w:t xml:space="preserve"> Cost per 1,000 impressions rose 8.5% while spend fell 12.9%.</w:t>
      </w:r>
    </w:p>
    <w:p>
      <w:pPr>
        <w:pStyle w:val="ListParagraph"/>
        <w:numPr>
          <w:ilvl w:val="0"/>
          <w:numId w:val="2"/>
        </w:numPr>
        <w:spacing w:after="80" w:line="276"/>
      </w:pPr>
      <w:r>
        <w:rPr>
          <w:b/>
          <w:bCs/>
        </w:rPr>
        <w:t xml:space="preserve">GHL complexity.</w:t>
      </w:r>
      <w:r>
        <w:t xml:space="preserve"> Seven business portfolios for one client delayed the funnel and automation work.</w:t>
      </w:r>
    </w:p>
    <w:p>
      <w:pPr>
        <w:pStyle w:val="ListParagraph"/>
        <w:numPr>
          <w:ilvl w:val="0"/>
          <w:numId w:val="2"/>
        </w:numPr>
        <w:spacing w:after="80" w:line="276"/>
      </w:pPr>
      <w:r>
        <w:rPr>
          <w:b/>
          <w:bCs/>
        </w:rPr>
        <w:t xml:space="preserve">Attribution.</w:t>
      </w:r>
      <w:r>
        <w:t xml:space="preserve"> Restructuring on six dates in the month makes it hard to know which change worked.</w:t>
      </w:r>
    </w:p>
    <w:p>
      <w:pPr>
        <w:pStyle w:val="ListParagraph"/>
        <w:numPr>
          <w:ilvl w:val="0"/>
          <w:numId w:val="2"/>
        </w:numPr>
        <w:spacing w:after="80" w:line="276"/>
      </w:pPr>
      <w:r>
        <w:rPr>
          <w:b/>
          <w:bCs/>
        </w:rPr>
        <w:t xml:space="preserve">MÉVIAL stalled.</w:t>
      </w:r>
      <w:r>
        <w:t xml:space="preserve"> No changes in September; cost per view rose 46.0%, the diagnostic produced no completions, and ad account verification is blocking the next step.</w:t>
      </w:r>
    </w:p>
    <w:p>
      <w:pPr>
        <w:pStyle w:val="Heading3"/>
      </w:pPr>
      <w:r>
        <w:t xml:space="preserve">Proposals and opportunities</w:t>
      </w:r>
    </w:p>
    <w:p>
      <w:pPr>
        <w:pStyle w:val="ListParagraph"/>
        <w:numPr>
          <w:ilvl w:val="0"/>
          <w:numId w:val="2"/>
        </w:numPr>
        <w:spacing w:after="80" w:line="276"/>
      </w:pPr>
      <w:r>
        <w:t xml:space="preserve">Use PAM and Pensionate as references: both increased messages while cutting cost per message after their July-based rebuild on 15 Sep.</w:t>
      </w:r>
    </w:p>
    <w:p>
      <w:pPr>
        <w:pStyle w:val="ListParagraph"/>
        <w:numPr>
          <w:ilvl w:val="0"/>
          <w:numId w:val="2"/>
        </w:numPr>
        <w:spacing w:after="80" w:line="276"/>
      </w:pPr>
      <w:r>
        <w:t xml:space="preserve">Make changes in fewer, clearly measurable rounds so results can be attributed.</w:t>
      </w:r>
    </w:p>
    <w:p>
      <w:pPr>
        <w:pStyle w:val="ListParagraph"/>
        <w:numPr>
          <w:ilvl w:val="0"/>
          <w:numId w:val="2"/>
        </w:numPr>
        <w:spacing w:after="80" w:line="276"/>
      </w:pPr>
      <w:r>
        <w:t xml:space="preserve">Focus the messaging-funnel review on the message → assigned step, where most volume is lost.</w:t>
      </w:r>
    </w:p>
    <w:p>
      <w:pPr>
        <w:pStyle w:val="ListParagraph"/>
        <w:numPr>
          <w:ilvl w:val="0"/>
          <w:numId w:val="2"/>
        </w:numPr>
        <w:spacing w:after="80" w:line="276"/>
      </w:pPr>
      <w:r>
        <w:t xml:space="preserve">Keep all campaign pages inside business portfolios to avoid repeating the PAM access issue.</w:t>
      </w:r>
    </w:p>
    <w:p>
      <w:pPr>
        <w:pStyle w:val="ListParagraph"/>
        <w:numPr>
          <w:ilvl w:val="0"/>
          <w:numId w:val="2"/>
        </w:numPr>
        <w:spacing w:after="80" w:line="276"/>
      </w:pPr>
      <w:r>
        <w:t xml:space="preserve">MÉVIAL: complete ad account verification first, then fix diagnostic step 1 and check why a third of diagnostic users are outside the target region.</w:t>
      </w:r>
    </w:p>
    <w:p>
      <w:pPr>
        <w:pStyle w:val="Heading3"/>
      </w:pPr>
      <w:r>
        <w:t xml:space="preserve">Needs and process observations</w:t>
      </w:r>
    </w:p>
    <w:p>
      <w:pPr>
        <w:pStyle w:val="ListParagraph"/>
        <w:numPr>
          <w:ilvl w:val="0"/>
          <w:numId w:val="2"/>
        </w:numPr>
        <w:spacing w:after="80" w:line="276"/>
      </w:pPr>
      <w:r>
        <w:t xml:space="preserve">Continued technical support for GHL (Andres and Lorgio).</w:t>
      </w:r>
    </w:p>
    <w:p>
      <w:pPr>
        <w:pStyle w:val="ListParagraph"/>
        <w:numPr>
          <w:ilvl w:val="0"/>
          <w:numId w:val="2"/>
        </w:numPr>
        <w:spacing w:after="80" w:line="276"/>
      </w:pPr>
      <w:r>
        <w:t xml:space="preserve">Reconcile the campaign-level figures with the monthly summary each month (September messages: 3,912 by campaign vs. 3,769 in the summary; impressions: 828,183 for the six continuing campaigns vs. 825,175).</w:t>
      </w:r>
    </w:p>
    <w:sectPr>
      <w:footerReference w:type="default" r:id="rId6"/>
      <w:pgSz w:w="12240" w:h="15840" w:orient="portrait"/>
      <w:pgMar w:top="1296" w:right="1440" w:bottom="1224" w:left="1440" w:header="708" w:footer="64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595959"/>
        <w:sz w:val="16"/>
        <w:szCs w:val="16"/>
      </w:rPr>
      <w:t xml:space="preserve">NEPOPS — Monthly Management Report · September 2026</w:t>
    </w:r>
    <w:r>
      <w:rPr>
        <w:color w:val="595959"/>
        <w:sz w:val="16"/>
        <w:szCs w:val="16"/>
      </w:rPr>
      <w:t xml:space="preserve">	</w:t>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C55A11"/>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62626"/>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C55A11" w:sz="8" w:space="4"/>
      </w:pBdr>
      <w:spacing w:after="140" w:before="360"/>
      <w:outlineLvl w:val="0"/>
    </w:pPr>
    <w:rPr>
      <w:rFonts w:ascii="Calibri" w:cs="Calibri" w:eastAsia="Calibri" w:hAnsi="Calibri"/>
      <w:b/>
      <w:bCs/>
      <w:color w:val="1F3864"/>
      <w:sz w:val="30"/>
      <w:szCs w:val="30"/>
    </w:rPr>
  </w:style>
  <w:style w:type="paragraph" w:styleId="Heading2">
    <w:name w:val="Heading 2"/>
    <w:basedOn w:val="Normal"/>
    <w:next w:val="Normal"/>
    <w:qFormat/>
    <w:pPr>
      <w:keepNext/>
      <w:spacing w:after="120" w:before="280"/>
      <w:outlineLvl w:val="1"/>
    </w:pPr>
    <w:rPr>
      <w:rFonts w:ascii="Calibri" w:cs="Calibri" w:eastAsia="Calibri" w:hAnsi="Calibri"/>
      <w:b/>
      <w:bCs/>
      <w:color w:val="1F3864"/>
      <w:sz w:val="26"/>
      <w:szCs w:val="26"/>
    </w:rPr>
  </w:style>
  <w:style w:type="paragraph" w:styleId="Heading3">
    <w:name w:val="Heading 3"/>
    <w:basedOn w:val="Normal"/>
    <w:next w:val="Normal"/>
    <w:qFormat/>
    <w:pPr>
      <w:keepNext/>
      <w:spacing w:after="90" w:before="200"/>
      <w:outlineLvl w:val="2"/>
    </w:pPr>
    <w:rPr>
      <w:rFonts w:ascii="Calibri" w:cs="Calibri" w:eastAsia="Calibri" w:hAnsi="Calibri"/>
      <w:b/>
      <w:bCs/>
      <w:color w:val="C55A11"/>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a49d52d7974cf206e1df583099aee94b222a9698.png"/><Relationship Id="rId9" Type="http://schemas.openxmlformats.org/officeDocument/2006/relationships/image" Target="media/9eeec3daed89eed34238c72f2c8b94f1719b8cc0.png"/><Relationship Id="rId10" Type="http://schemas.openxmlformats.org/officeDocument/2006/relationships/image" Target="media/de7c0e8477b2ec820053a83b33e4a0afae661add.png"/><Relationship Id="rId11" Type="http://schemas.openxmlformats.org/officeDocument/2006/relationships/image" Target="media/74aaca289ea1da6c0a7c0f9d0b6626d209bee74b.png"/><Relationship Id="rId12" Type="http://schemas.openxmlformats.org/officeDocument/2006/relationships/image" Target="media/316a2c9ef11d26a5ae2674f95abd51211a12b3af.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MONTHLY MANAGEMENT REPORT — September 2026</dc:title>
  <dc:creator>Un-named</dc:creator>
  <cp:lastModifiedBy>Un-named</cp:lastModifiedBy>
  <cp:revision>1</cp:revision>
  <dcterms:created xsi:type="dcterms:W3CDTF">2026-10-05T04:07:36.500Z</dcterms:created>
  <dcterms:modified xsi:type="dcterms:W3CDTF">2026-10-05T04:07:36.515Z</dcterms:modified>
</cp:coreProperties>
</file>

<file path=docProps/custom.xml><?xml version="1.0" encoding="utf-8"?>
<Properties xmlns="http://schemas.openxmlformats.org/officeDocument/2006/custom-properties" xmlns:vt="http://schemas.openxmlformats.org/officeDocument/2006/docPropsVTypes"/>
</file>