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C2440"/>
          <w:sz w:val="38"/>
          <w:szCs w:val="38"/>
        </w:rPr>
        <w:t xml:space="preserve">Phase 2 — Macroenvironment Agent</w:t>
      </w:r>
    </w:p>
    <w:p>
      <w:pPr>
        <w:spacing w:after="60"/>
      </w:pPr>
      <w:r>
        <w:rPr>
          <w:b/>
          <w:bCs/>
          <w:color w:val="9A7B12"/>
          <w:sz w:val="26"/>
          <w:szCs w:val="26"/>
        </w:rPr>
        <w:t xml:space="preserve">Table of Contents &amp; Authenticity Plan for the 3 Deliverables</w:t>
      </w:r>
    </w:p>
    <w:p>
      <w:pPr>
        <w:spacing w:after="90" w:line="264"/>
      </w:pPr>
      <w:r>
        <w:rPr>
          <w:i/>
          <w:iCs/>
          <w:color w:val="374151"/>
          <w:sz w:val="21"/>
          <w:szCs w:val="21"/>
        </w:rPr>
        <w:t xml:space="preserve">A global, organization-agnostic specification for the Economic Study. Defines the exact contents of each of the three deliverables and the factual-integrity plan that guarantees no false figure ever reaches the final document. Modeled on how the IMF, World Bank, and top research houses structure macroeconomic reporting.</w:t>
      </w:r>
    </w:p>
    <w:p>
      <w:pPr>
        <w:pBdr>
          <w:bottom w:val="single" w:color="9A7B12" w:sz="8"/>
        </w:pBdr>
        <w:spacing w:after="160"/>
      </w:pPr>
      <w:r>
        <w:rPr>
          <w:color w:val="374151"/>
          <w:sz w:val="21"/>
          <w:szCs w:val="21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A. The three deliverables at a glance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c>
          <w:tcPr>
            <w:tcW w:type="dxa" w:w="260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76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1. Macro Impact Report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25–30 page analysis: projected inflation, central-bank interest rates, fiscal policy, and sector GDP. Output as PDF (via PDFBolt) or Word (.docx). The narrative deliverable.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2. Risk &amp; Opportunities Matrix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5–8 page contingency plan: hedging strategies against inflation and currency devaluation, structured as a formal Risk Assessment Matrix (likelihood × impact × response). PDF or Word.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3. Key Indicators Database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100+ row JSON/Excel file of historical and projected macro variables — the calculation input that feeds Phases 3 &amp; 4. Built with SheetJS (.xlsx), no external tool.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b/>
          <w:bCs/>
          <w:color w:val="0C2440"/>
          <w:sz w:val="21"/>
          <w:szCs w:val="21"/>
        </w:rPr>
        <w:t xml:space="preserve">Format note (answering the Word question): </w:t>
      </w:r>
      <w:r>
        <w:rPr>
          <w:color w:val="374151"/>
          <w:sz w:val="21"/>
          <w:szCs w:val="21"/>
        </w:rPr>
        <w:t xml:space="preserve">the two reports can be generated as Word (.docx) using the free </w:t>
      </w:r>
      <w:r>
        <w:rPr>
          <w:b/>
          <w:bCs/>
          <w:color w:val="374151"/>
          <w:sz w:val="21"/>
          <w:szCs w:val="21"/>
        </w:rPr>
        <w:t xml:space="preserve">docx</w:t>
      </w:r>
      <w:r>
        <w:rPr>
          <w:color w:val="374151"/>
          <w:sz w:val="21"/>
          <w:szCs w:val="21"/>
        </w:rPr>
        <w:t xml:space="preserve"> npm library directly inside an n8n Code node — the same in-node approach your deck already uses with PptxGenJS, with no external service. The Excel file uses the free </w:t>
      </w:r>
      <w:r>
        <w:rPr>
          <w:b/>
          <w:bCs/>
          <w:color w:val="374151"/>
          <w:sz w:val="21"/>
          <w:szCs w:val="21"/>
        </w:rPr>
        <w:t xml:space="preserve">xlsx</w:t>
      </w:r>
      <w:r>
        <w:rPr>
          <w:color w:val="374151"/>
          <w:sz w:val="21"/>
          <w:szCs w:val="21"/>
        </w:rPr>
        <w:t xml:space="preserve"> (SheetJS) library, also in-node. Only your current PDF path (PDFBolt) is an external service; Word and Excel do not need one.</w:t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B. The Authenticity Core — one source of truth for every figure</w:t>
      </w:r>
    </w:p>
    <w:p>
      <w:pPr>
        <w:spacing w:after="90" w:line="264"/>
      </w:pPr>
      <w:r>
        <w:rPr>
          <w:color w:val="374151"/>
          <w:sz w:val="21"/>
          <w:szCs w:val="21"/>
        </w:rPr>
        <w:t xml:space="preserve">This is the single most important design decision and directly answers point 6. Exactly as your Phase-1 pipeline uses a </w:t>
      </w:r>
      <w:r>
        <w:rPr>
          <w:b/>
          <w:bCs/>
          <w:color w:val="374151"/>
          <w:sz w:val="21"/>
          <w:szCs w:val="21"/>
        </w:rPr>
        <w:t xml:space="preserve">Canonical Facts</w:t>
      </w:r>
      <w:r>
        <w:rPr>
          <w:color w:val="374151"/>
          <w:sz w:val="21"/>
          <w:szCs w:val="21"/>
        </w:rPr>
        <w:t xml:space="preserve"> node, Phase 2 must have ONE central node — the </w:t>
      </w:r>
      <w:r>
        <w:rPr>
          <w:b/>
          <w:bCs/>
          <w:color w:val="0C2440"/>
          <w:sz w:val="21"/>
          <w:szCs w:val="21"/>
        </w:rPr>
        <w:t xml:space="preserve">Macro Canonical Data Store</w:t>
      </w:r>
      <w:r>
        <w:rPr>
          <w:color w:val="374151"/>
          <w:sz w:val="21"/>
          <w:szCs w:val="21"/>
        </w:rPr>
        <w:t xml:space="preserve"> — where every factual value is decided once, then read by every downstream node. No node ever invents a number; they all quote the store.</w:t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How the store is populated (two sources, merged and reconciled)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Authoritative APIs (primary): </w:t>
      </w:r>
      <w:r>
        <w:rPr>
          <w:color w:val="374151"/>
          <w:sz w:val="21"/>
          <w:szCs w:val="21"/>
        </w:rPr>
        <w:t xml:space="preserve">inflation, policy rate, GDP, unemployment, fiscal balance, FX, debt/GDP fetched from IMF World Economic Outlook / DataMapper (free, 190+ countries, 5-yr forecasts), World Bank WDI, and the country's own central bank &amp; statistics office. These are the sources governments themselves cite.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User-provided documents (context): </w:t>
      </w:r>
      <w:r>
        <w:rPr>
          <w:color w:val="374151"/>
          <w:sz w:val="21"/>
          <w:szCs w:val="21"/>
        </w:rPr>
        <w:t xml:space="preserve">any economic reports, sector data, or assumptions the user uploads are parsed by an extraction node; each extracted figure keeps a source citation. Used to complement — never override — the authoritative APIs unless the user explicitly says so.</w:t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The non-negotiable rules the store enforces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Every value carries: figure + unit + currency + year + source URL + actual/forecast flag. </w:t>
      </w:r>
      <w:r>
        <w:rPr>
          <w:color w:val="374151"/>
          <w:sz w:val="21"/>
          <w:szCs w:val="21"/>
        </w:rPr>
        <w:t xml:space="preserve">A value without a source is not stored.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Decide once, reuse everywhere. </w:t>
      </w:r>
      <w:r>
        <w:rPr>
          <w:color w:val="374151"/>
          <w:sz w:val="21"/>
          <w:szCs w:val="21"/>
        </w:rPr>
        <w:t xml:space="preserve">If 2026 inflation is 4.1%, every one of the three documents states 4.1% — the report, the risk matrix, and the database can never disagree.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Actual vs. forecast is always explicit. </w:t>
      </w:r>
      <w:r>
        <w:rPr>
          <w:color w:val="374151"/>
          <w:sz w:val="21"/>
          <w:szCs w:val="21"/>
        </w:rPr>
        <w:t xml:space="preserve">A projection is never presented as a settled fact — the #1 credibility failure in macro work.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Primary source beats aggregator. </w:t>
      </w:r>
      <w:r>
        <w:rPr>
          <w:color w:val="374151"/>
          <w:sz w:val="21"/>
          <w:szCs w:val="21"/>
        </w:rPr>
        <w:t xml:space="preserve">IMF/World Bank/central bank over teaser sites; suspicious headline figures are rejected by a sanity check (see Part F).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If a figure can't be sourced or fails validation, it is labelled '(analyst estimate)' — never dressed up as data. </w:t>
      </w:r>
      <w:r>
        <w:rPr>
          <w:color w:val="374151"/>
          <w:sz w:val="21"/>
          <w:szCs w:val="21"/>
        </w:rPr>
        <w:t xml:space="preserve">An honest estimate is safer than a precise-looking wrong number.</w:t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C. Deliverable 1 — Macroeconomic Impact Report (ToC)</w:t>
      </w:r>
    </w:p>
    <w:p>
      <w:pPr>
        <w:spacing w:after="90" w:line="264"/>
      </w:pPr>
      <w:r>
        <w:rPr>
          <w:i/>
          <w:iCs/>
          <w:color w:val="374151"/>
          <w:sz w:val="21"/>
          <w:szCs w:val="21"/>
        </w:rPr>
        <w:t xml:space="preserve">Structure follows the IMF World Economic Outlook country-analysis pattern, adapted to be usable by any company in any country. 25–30 pages.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Cover &amp; Document Control (country, currency, data vintage, sources, disclaimer)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Executive Summary — headline outlook in one page (growth, inflation, rates, key risks)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1. Introduction &amp; Scope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1.1 Purpose, geography, sector focus, and time horizon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1.2 Data sources, vintage, and methodology statement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2. Macroeconomic Overview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2.1 Current state of the economy (latest actuals)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2.2 Recent trajectory (3–5 years of history)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3. Growth Outlook — GDP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3.1 Real GDP growth: history and 5-year projection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3.2 Sector / industry GDP relevant to the client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3.3 Drivers of growth (consumption, investment, trade)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4. Inflation Analysis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4.1 Headline &amp; core inflation: history and projection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4.2 Inflation drivers and pass-through to the client's costs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5. Monetary Policy &amp; Interest Rates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5.1 Central-bank policy rate: path and stance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5.2 Implications for borrowing costs and cost of capital (feeds Phase 4 WACC)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6. Fiscal Policy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6.1 Government budget balance, debt/GDP, tax outlook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6.2 Fiscal measures affecting the sector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7. External Sector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7.1 Exchange rate outlook and currency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7.2 Current account, trade balance, reserves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8. Sector-Specific Macro Impact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8.1 How each macro variable transmits to this industry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8.2 Quantified impact on demand, costs, and margins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9. Scenario Outlook (Base / Upside / Downside)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10. Conclusions &amp; Strategic Implications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Appendix A: Full data tables (links to the Indicators Database)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Appendix B: Sources &amp; citations (every figure traceable)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Appendix C: Methodology &amp; assumptions register</w:t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D. Deliverable 2 — Risk &amp; Opportunities Matrix (ToC)</w:t>
      </w:r>
    </w:p>
    <w:p>
      <w:pPr>
        <w:spacing w:after="90" w:line="264"/>
      </w:pPr>
      <w:r>
        <w:rPr>
          <w:i/>
          <w:iCs/>
          <w:color w:val="374151"/>
          <w:sz w:val="21"/>
          <w:szCs w:val="21"/>
        </w:rPr>
        <w:t xml:space="preserve">Built on the IMF Risk Assessment Matrix (RAM) standard: each risk is scored on likelihood and expected impact, with a concrete policy/hedging response. 5–8 pages.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Cover &amp; Document Control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1. Purpose &amp; How to Read This Matrix (likelihood/impact scale defined)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2. Risk Assessment Matrix — master table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2.1 Inflation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2.2 Currency devaluation / FX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2.3 Interest-rate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2.4 Fiscal / tax / policy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2.5 Commodity / input-cost risk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2.6 Demand / growth-slowdown risk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3. Opportunities Matrix (upside scenarios &amp; how to capture them)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4. Hedging &amp; Contingency Playbook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4.1 Inflation hedges (pricing, contracts, indexation)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4.2 Currency hedges (forwards, natural hedging, invoicing)</w:t>
      </w:r>
    </w:p>
    <w:p>
      <w:pPr>
        <w:spacing w:after="40" w:line="250"/>
        <w:ind w:left="640"/>
      </w:pPr>
      <w:r>
        <w:rPr>
          <w:b w:val="false"/>
          <w:bCs w:val="false"/>
          <w:color w:val="374151"/>
          <w:sz w:val="20"/>
          <w:szCs w:val="20"/>
        </w:rPr>
        <w:t xml:space="preserve">4.3 Interest-rate hedges (fixed vs floating, timing)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5. Early-Warning Indicators (what to watch &amp; trigger levels)</w:t>
      </w:r>
    </w:p>
    <w:p>
      <w:pPr>
        <w:spacing w:after="40" w:line="250"/>
        <w:ind w:left="300"/>
      </w:pPr>
      <w:r>
        <w:rPr>
          <w:b/>
          <w:bCs/>
          <w:color w:val="0C2440"/>
          <w:sz w:val="20"/>
          <w:szCs w:val="20"/>
        </w:rPr>
        <w:t xml:space="preserve">6. Summary &amp; Prioritized Action List</w:t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The master matrix uses these columns (RAM standard):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348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48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Risk / Source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What could go wrong and why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One row per risk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Likelihood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Low / Medium / High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Consistent scale, defined up front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Expected Impact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Low / Medium / High, with a quantified effect where possible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Tied to figures from the store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Time Horizon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Short / Medium / Long term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When it could hit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Policy / Hedging Response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The concrete contingency action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Actionable, not generic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Early-Warning Signal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The indicator + trigger level to monitor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Links to the database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E. Deliverable 3 — Key Indicators Database (structure)</w:t>
      </w:r>
    </w:p>
    <w:p>
      <w:pPr>
        <w:spacing w:after="90" w:line="264"/>
      </w:pPr>
      <w:r>
        <w:rPr>
          <w:i/>
          <w:iCs/>
          <w:color w:val="374151"/>
          <w:sz w:val="21"/>
          <w:szCs w:val="21"/>
        </w:rPr>
        <w:t xml:space="preserve">A machine-readable .xlsx / JSON file, 100+ rows, that acts as the calculation input for Phases 3 &amp; 4. This is data, so it is built entirely by a Code node from the Authenticity Core — never written by the language model. Structure mirrors the IMF WEO database.</w:t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Sheet / file layout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Sheet 1 — 'Indicators' (the 100+ rows): </w:t>
      </w:r>
      <w:r>
        <w:rPr>
          <w:color w:val="374151"/>
          <w:sz w:val="21"/>
          <w:szCs w:val="21"/>
        </w:rPr>
        <w:t xml:space="preserve">one row per indicator-per-year, in tidy/long format so it is easy to compute on.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Sheet 2 — 'Sources': </w:t>
      </w:r>
      <w:r>
        <w:rPr>
          <w:color w:val="374151"/>
          <w:sz w:val="21"/>
          <w:szCs w:val="21"/>
        </w:rPr>
        <w:t xml:space="preserve">every source URL, publisher, and access date — the audit trail.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374151"/>
          <w:sz w:val="21"/>
          <w:szCs w:val="21"/>
        </w:rPr>
        <w:t xml:space="preserve">Sheet 3 — 'Metadata': </w:t>
      </w:r>
      <w:r>
        <w:rPr>
          <w:color w:val="374151"/>
          <w:sz w:val="21"/>
          <w:szCs w:val="21"/>
        </w:rPr>
        <w:t xml:space="preserve">country, currency, data vintage, generation date, and definitions/units for each indicator.</w:t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Columns for each row in the Indicators sheet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348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480"/>
            <w:shd w:fill="0C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indicator_name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e.g. 'Real GDP growth'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Human-readable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indicator_code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e.g. 'NGDP_RPCH' (IMF code)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Stable machine key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year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e.g. 2026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One row per year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value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the number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Numeric only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unit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%, USD bn, index, etc.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Never ambiguous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actual_or_forecast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'actual' or 'forecast'</w:t>
            </w:r>
          </w:p>
        </w:tc>
        <w:tc>
          <w:tcPr>
            <w:tcW w:type="dxa" w:w="3480"/>
            <w:shd w:fill="F2F4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The critical flag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0C2440"/>
                <w:sz w:val="17"/>
                <w:szCs w:val="17"/>
              </w:rPr>
              <w:t xml:space="preserve">source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publisher + URL</w:t>
            </w:r>
          </w:p>
        </w:tc>
        <w:tc>
          <w:tcPr>
            <w:tcW w:type="dxa" w:w="3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74151"/>
                <w:sz w:val="17"/>
                <w:szCs w:val="17"/>
              </w:rPr>
              <w:t xml:space="preserve">Traceable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spacing w:after="70" w:before="170"/>
      </w:pPr>
      <w:r>
        <w:rPr>
          <w:b/>
          <w:bCs/>
          <w:color w:val="0C2440"/>
          <w:sz w:val="22"/>
          <w:szCs w:val="22"/>
        </w:rPr>
        <w:t xml:space="preserve">The indicator set to include (grouped — this is the standard macro taxonomy)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c>
          <w:tcPr>
            <w:tcW w:type="dxa" w:w="260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676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Indicators (each × ~7 years history + 5 years forecast = 100+ rows)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National accounts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Real GDP growth, nominal GDP, GDP per capita, sector/industry GDP, investment, private consumption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Prices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Headline CPI inflation, core inflation, GDP deflator, producer prices (PPI)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Monetary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Central-bank policy rate, deposit/lending rates, money supply growth, FX reserves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Fiscal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Government budget balance (% GDP), government debt/GDP, revenue, expenditure, tax rates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External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Exchange rate vs USD, current-account balance (% GDP), trade balance, exports, imports, external debt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Labour &amp; demographics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Unemployment rate, labour-force participation, population, working-age population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i/>
          <w:iCs/>
          <w:color w:val="374151"/>
          <w:sz w:val="21"/>
          <w:szCs w:val="21"/>
        </w:rPr>
        <w:t xml:space="preserve">With roughly 8–10 indicators per group across 6 groups, each spanning ~12 years (history + forecast), the file naturally exceeds 100 rows while every value is sourced and flagged.</w:t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F. The factual-integrity plan — nodes that guarantee no false figure</w:t>
      </w:r>
    </w:p>
    <w:p>
      <w:pPr>
        <w:spacing w:after="90" w:line="264"/>
      </w:pPr>
      <w:r>
        <w:rPr>
          <w:color w:val="374151"/>
          <w:sz w:val="21"/>
          <w:szCs w:val="21"/>
        </w:rPr>
        <w:t xml:space="preserve">This is the plan that 'never produces false results.' Each item is a node or check to add, in pipeline order. It extends the discipline already proven in your Phase-1 canon node.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c>
          <w:tcPr>
            <w:tcW w:type="dxa" w:w="260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/ check</w:t>
            </w:r>
          </w:p>
        </w:tc>
        <w:tc>
          <w:tcPr>
            <w:tcW w:type="dxa" w:w="6760"/>
            <w:shd w:fill="0C244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&amp; why it keeps the output factual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1. Intake &amp; scope guard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Capture country (ISO code), sector, currency, horizon, data vintage. Throw an error if country or currency is missing — never run on a guess (mirrors your Phase-1 'no topic → throw').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2. Document extraction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Parse any user-uploaded economic files into structured figures, each with a citation. Confirm key extracted numbers with the user before use.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3. Authoritative data fetch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Pull every macro series from IMF/World Bank/central-bank APIs. This is the backbone — the LLM never recalls a macro figure from memory.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4. Macro Canonical Data Store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Merge API + document data; decide ONE value per indicator-year; attach unit, currency, source, actual/forecast flag. Single source of truth for all three documents.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5. Sanity-check / validation node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Reject impossible values: inflation &gt;100% for a stable economy, FX off by an order of magnitude, a single country's GDP exceeding the known global figure, per-capita implausibilities. Suspect number → not stored, flagged for estimate.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6. Cross-document consistency lock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Every writer/calculator reads the store — so the report, matrix, and database quote identical numbers by construction.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7. Report &amp; matrix writers (LLM)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The language model writes prose and analysis ONLY, quoting store values verbatim and citing the store's source URLs. It is structurally prevented from inventing figures.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8. Database builder (code, not LLM)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The .xlsx/JSON is assembled deterministically by a Code node straight from the store.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9. Citation-integrity check</w:t>
            </w:r>
          </w:p>
        </w:tc>
        <w:tc>
          <w:tcPr>
            <w:tcW w:type="dxa" w:w="6760"/>
            <w:shd w:fill="FFFFFF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 node verifies every URL cited actually exists in the store's allowed-source list — no fabricated links (you already do this in Phase 1).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b/>
                <w:bCs/>
                <w:color w:val="0C2440"/>
                <w:sz w:val="18"/>
                <w:szCs w:val="18"/>
              </w:rPr>
              <w:t xml:space="preserve">10. Final QA pass</w:t>
            </w:r>
          </w:p>
        </w:tc>
        <w:tc>
          <w:tcPr>
            <w:tcW w:type="dxa" w:w="6760"/>
            <w:shd w:fill="F2F4F7" w:color="auto" w:val="clear"/>
            <w:tcMar>
              <w:top w:type="dxa" w:w="52"/>
              <w:left w:type="dxa" w:w="110"/>
              <w:bottom w:type="dxa" w:w="52"/>
              <w:right w:type="dxa" w:w="11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Light editorial polish that preserves every figure; plus an automated check that no number in the prose contradicts the store.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0C2440"/>
          <w:sz w:val="30"/>
          <w:szCs w:val="30"/>
        </w:rPr>
        <w:t xml:space="preserve">G. What carries over from your Phase-1 pipeline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15803D"/>
          <w:sz w:val="21"/>
          <w:szCs w:val="21"/>
        </w:rPr>
        <w:t xml:space="preserve">Reuse: </w:t>
      </w:r>
      <w:r>
        <w:rPr>
          <w:color w:val="374151"/>
          <w:sz w:val="21"/>
          <w:szCs w:val="21"/>
        </w:rPr>
        <w:t xml:space="preserve">the webhook intake pattern, the canonical-facts concept, the Claude API HTTP nodes, the graceful JSON-parsing/repair nodes, PDFBolt for PDFs, and PptxGenJS-style in-node generation (now also docx + xlsx).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9A7B12"/>
          <w:sz w:val="21"/>
          <w:szCs w:val="21"/>
        </w:rPr>
        <w:t xml:space="preserve">Change: </w:t>
      </w:r>
      <w:r>
        <w:rPr>
          <w:color w:val="374151"/>
          <w:sz w:val="21"/>
          <w:szCs w:val="21"/>
        </w:rPr>
        <w:t xml:space="preserve">swap Tavily open-web search for authoritative macro-data APIs (the facts here are published, not scattered across the web); add the document-extraction node; add the sanity-check/validation node; produce 2 reports + 1 Excel instead of report + deck + action plan.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b/>
          <w:bCs/>
          <w:color w:val="B91C1C"/>
          <w:sz w:val="21"/>
          <w:szCs w:val="21"/>
        </w:rPr>
        <w:t xml:space="preserve">Security (do now): </w:t>
      </w:r>
      <w:r>
        <w:rPr>
          <w:color w:val="374151"/>
          <w:sz w:val="21"/>
          <w:szCs w:val="21"/>
        </w:rPr>
        <w:t xml:space="preserve">your Tavily key and Supabase URL are still hardcoded in the exported JSON — rotate the key and move both to n8n credentials before this handles real client data.</w:t>
      </w:r>
    </w:p>
    <w:p>
      <w:pPr>
        <w:pBdr>
          <w:top w:val="single" w:color="D0D5DD" w:sz="6"/>
        </w:pBdr>
        <w:spacing w:after="60" w:before="150"/>
      </w:pPr>
      <w:r>
        <w:rPr>
          <w:i/>
          <w:iCs/>
          <w:color w:val="0C2440"/>
          <w:sz w:val="20"/>
          <w:szCs w:val="20"/>
        </w:rPr>
        <w:t xml:space="preserve">Bottom line: one Macro Canonical Data Store, filled from authoritative APIs + user documents with a source and an actual/forecast flag on every value, feeds all three deliverables. The LLM writes words; code builds the data; a sanity check blocks impossible numbers; and every figure is traceable. That is how a global-grade macro study stays 100% factual.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2026-09-03T03:37:40.669Z</dcterms:created>
  <dcterms:modified xsi:type="dcterms:W3CDTF">2026-09-03T03:37:40.681Z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