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72"/>
      </w:tblGrid>
      <w:tr>
        <w:tc>
          <w:tcPr>
            <w:tcW w:type="dxa" w:w="9072"/>
            <w:tcBorders>
              <w:top w:val="none" w:color="FFFFFF" w:sz="0"/>
              <w:left w:val="none" w:color="FFFFFF" w:sz="0"/>
              <w:bottom w:val="none" w:color="FFFFFF" w:sz="0"/>
              <w:right w:val="none" w:color="FFFFFF" w:sz="0"/>
            </w:tcBorders>
            <w:shd w:fill="12343B" w:color="auto" w:val="clear"/>
            <w:tcMar>
              <w:top w:type="dxa" w:w="900"/>
              <w:left w:type="dxa" w:w="600"/>
              <w:bottom w:type="dxa" w:w="900"/>
              <w:right w:type="dxa" w:w="600"/>
            </w:tcMar>
            <w:vAlign w:val="top"/>
          </w:tcPr>
          <w:p>
            <w:pPr>
              <w:spacing w:after="360"/>
            </w:pPr>
            <w:r>
              <w:rPr>
                <w:b/>
                <w:bCs/>
                <w:color w:val="E2B863"/>
                <w:spacing w:val="40"/>
                <w:sz w:val="18"/>
                <w:szCs w:val="18"/>
              </w:rPr>
              <w:t xml:space="preserve">FASE DE DESCUBRIMIENTO Y DEFINICIÓN ESTRATÉGICA</w:t>
            </w:r>
          </w:p>
          <w:p>
            <w:pPr>
              <w:spacing w:after="80"/>
            </w:pPr>
            <w:r>
              <w:rPr>
                <w:b/>
                <w:bCs/>
                <w:color w:val="FFFFFF"/>
                <w:sz w:val="64"/>
                <w:szCs w:val="64"/>
              </w:rPr>
              <w:t xml:space="preserve">Agente de Macroentorno</w:t>
            </w:r>
          </w:p>
          <w:p>
            <w:pPr>
              <w:spacing w:after="480"/>
            </w:pPr>
            <w:r>
              <w:rPr>
                <w:color w:val="CFE3E2"/>
                <w:sz w:val="36"/>
                <w:szCs w:val="36"/>
              </w:rPr>
              <w:t xml:space="preserve">Estudio Económico</w:t>
            </w:r>
          </w:p>
          <w:p>
            <w:r>
              <w:rPr>
                <w:b/>
                <w:bCs/>
                <w:color w:val="FFFFFF"/>
                <w:sz w:val="26"/>
                <w:szCs w:val="26"/>
              </w:rPr>
              <w:t xml:space="preserve">Documento de Requisitos de Negocio (BRD)</w:t>
            </w:r>
          </w:p>
        </w:tc>
      </w:tr>
    </w:tbl>
    <w:p>
      <w:pPr>
        <w:spacing w:after="1200"/>
      </w:pP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40"/>
        <w:gridCol w:w="6532"/>
      </w:tblGrid>
      <w:tr>
        <w:tc>
          <w:tcPr>
            <w:tcW w:type="dxa" w:w="2540"/>
            <w:tcBorders>
              <w:top w:val="none" w:color="FFFFFF" w:sz="0"/>
              <w:left w:val="none" w:color="FFFFFF" w:sz="0"/>
              <w:bottom w:val="single" w:color="C9D3D6" w:sz="4"/>
              <w:right w:val="none" w:color="FFFFFF" w:sz="0"/>
            </w:tcBorders>
            <w:tcMar>
              <w:top w:type="dxa" w:w="110"/>
              <w:left w:type="dxa" w:w="0"/>
              <w:bottom w:type="dxa" w:w="110"/>
              <w:right w:type="dxa" w:w="120"/>
            </w:tcMar>
            <w:vAlign w:val="top"/>
          </w:tcPr>
          <w:p>
            <w:r>
              <w:rPr>
                <w:b/>
                <w:bCs/>
                <w:color w:val="1F7A7A"/>
                <w:sz w:val="19"/>
                <w:szCs w:val="19"/>
              </w:rPr>
              <w:t xml:space="preserve">Preparado para</w:t>
            </w:r>
          </w:p>
        </w:tc>
        <w:tc>
          <w:tcPr>
            <w:tcW w:type="dxa" w:w="6532"/>
            <w:tcBorders>
              <w:top w:val="none" w:color="FFFFFF" w:sz="0"/>
              <w:left w:val="none" w:color="FFFFFF" w:sz="0"/>
              <w:bottom w:val="single" w:color="C9D3D6" w:sz="4"/>
              <w:right w:val="none" w:color="FFFFFF" w:sz="0"/>
            </w:tcBorders>
            <w:tcMar>
              <w:top w:type="dxa" w:w="110"/>
              <w:left w:type="dxa" w:w="0"/>
              <w:bottom w:type="dxa" w:w="110"/>
              <w:right w:type="dxa" w:w="0"/>
            </w:tcMar>
            <w:vAlign w:val="top"/>
          </w:tcPr>
          <w:p>
            <w:r>
              <w:rPr>
                <w:color w:val="1E2A30"/>
                <w:sz w:val="19"/>
                <w:szCs w:val="19"/>
              </w:rPr>
              <w:t xml:space="preserve">Directorio y Alta Dirección</w:t>
            </w:r>
          </w:p>
        </w:tc>
      </w:tr>
      <w:tr>
        <w:tc>
          <w:tcPr>
            <w:tcW w:type="dxa" w:w="2540"/>
            <w:tcBorders>
              <w:top w:val="none" w:color="FFFFFF" w:sz="0"/>
              <w:left w:val="none" w:color="FFFFFF" w:sz="0"/>
              <w:bottom w:val="single" w:color="C9D3D6" w:sz="4"/>
              <w:right w:val="none" w:color="FFFFFF" w:sz="0"/>
            </w:tcBorders>
            <w:tcMar>
              <w:top w:type="dxa" w:w="110"/>
              <w:left w:type="dxa" w:w="0"/>
              <w:bottom w:type="dxa" w:w="110"/>
              <w:right w:type="dxa" w:w="120"/>
            </w:tcMar>
            <w:vAlign w:val="top"/>
          </w:tcPr>
          <w:p>
            <w:r>
              <w:rPr>
                <w:b/>
                <w:bCs/>
                <w:color w:val="1F7A7A"/>
                <w:sz w:val="19"/>
                <w:szCs w:val="19"/>
              </w:rPr>
              <w:t xml:space="preserve">Propósito</w:t>
            </w:r>
          </w:p>
        </w:tc>
        <w:tc>
          <w:tcPr>
            <w:tcW w:type="dxa" w:w="6532"/>
            <w:tcBorders>
              <w:top w:val="none" w:color="FFFFFF" w:sz="0"/>
              <w:left w:val="none" w:color="FFFFFF" w:sz="0"/>
              <w:bottom w:val="single" w:color="C9D3D6" w:sz="4"/>
              <w:right w:val="none" w:color="FFFFFF" w:sz="0"/>
            </w:tcBorders>
            <w:tcMar>
              <w:top w:type="dxa" w:w="110"/>
              <w:left w:type="dxa" w:w="0"/>
              <w:bottom w:type="dxa" w:w="110"/>
              <w:right w:type="dxa" w:w="0"/>
            </w:tcMar>
            <w:vAlign w:val="top"/>
          </w:tcPr>
          <w:p>
            <w:r>
              <w:rPr>
                <w:color w:val="1E2A30"/>
                <w:sz w:val="19"/>
                <w:szCs w:val="19"/>
              </w:rPr>
              <w:t xml:space="preserve">Explicar el valor, el alcance y el flujo de trabajo del agente antes de autorizar su desarrollo técnico</w:t>
            </w:r>
          </w:p>
        </w:tc>
      </w:tr>
      <w:tr>
        <w:tc>
          <w:tcPr>
            <w:tcW w:type="dxa" w:w="2540"/>
            <w:tcBorders>
              <w:top w:val="none" w:color="FFFFFF" w:sz="0"/>
              <w:left w:val="none" w:color="FFFFFF" w:sz="0"/>
              <w:bottom w:val="single" w:color="C9D3D6" w:sz="4"/>
              <w:right w:val="none" w:color="FFFFFF" w:sz="0"/>
            </w:tcBorders>
            <w:tcMar>
              <w:top w:type="dxa" w:w="110"/>
              <w:left w:type="dxa" w:w="0"/>
              <w:bottom w:type="dxa" w:w="110"/>
              <w:right w:type="dxa" w:w="120"/>
            </w:tcMar>
            <w:vAlign w:val="top"/>
          </w:tcPr>
          <w:p>
            <w:r>
              <w:rPr>
                <w:b/>
                <w:bCs/>
                <w:color w:val="1F7A7A"/>
                <w:sz w:val="19"/>
                <w:szCs w:val="19"/>
              </w:rPr>
              <w:t xml:space="preserve">Estado</w:t>
            </w:r>
          </w:p>
        </w:tc>
        <w:tc>
          <w:tcPr>
            <w:tcW w:type="dxa" w:w="6532"/>
            <w:tcBorders>
              <w:top w:val="none" w:color="FFFFFF" w:sz="0"/>
              <w:left w:val="none" w:color="FFFFFF" w:sz="0"/>
              <w:bottom w:val="single" w:color="C9D3D6" w:sz="4"/>
              <w:right w:val="none" w:color="FFFFFF" w:sz="0"/>
            </w:tcBorders>
            <w:tcMar>
              <w:top w:type="dxa" w:w="110"/>
              <w:left w:type="dxa" w:w="0"/>
              <w:bottom w:type="dxa" w:w="110"/>
              <w:right w:type="dxa" w:w="0"/>
            </w:tcMar>
            <w:vAlign w:val="top"/>
          </w:tcPr>
          <w:p>
            <w:r>
              <w:rPr>
                <w:color w:val="1E2A30"/>
                <w:sz w:val="19"/>
                <w:szCs w:val="19"/>
              </w:rPr>
              <w:t xml:space="preserve">Borrador para revisión del Directorio</w:t>
            </w:r>
          </w:p>
        </w:tc>
      </w:tr>
      <w:tr>
        <w:tc>
          <w:tcPr>
            <w:tcW w:type="dxa" w:w="2540"/>
            <w:tcBorders>
              <w:top w:val="none" w:color="FFFFFF" w:sz="0"/>
              <w:left w:val="none" w:color="FFFFFF" w:sz="0"/>
              <w:bottom w:val="single" w:color="C9D3D6" w:sz="4"/>
              <w:right w:val="none" w:color="FFFFFF" w:sz="0"/>
            </w:tcBorders>
            <w:tcMar>
              <w:top w:type="dxa" w:w="110"/>
              <w:left w:type="dxa" w:w="0"/>
              <w:bottom w:type="dxa" w:w="110"/>
              <w:right w:type="dxa" w:w="120"/>
            </w:tcMar>
            <w:vAlign w:val="top"/>
          </w:tcPr>
          <w:p>
            <w:r>
              <w:rPr>
                <w:b/>
                <w:bCs/>
                <w:color w:val="1F7A7A"/>
                <w:sz w:val="19"/>
                <w:szCs w:val="19"/>
              </w:rPr>
              <w:t xml:space="preserve">Versión / fecha</w:t>
            </w:r>
          </w:p>
        </w:tc>
        <w:tc>
          <w:tcPr>
            <w:tcW w:type="dxa" w:w="6532"/>
            <w:tcBorders>
              <w:top w:val="none" w:color="FFFFFF" w:sz="0"/>
              <w:left w:val="none" w:color="FFFFFF" w:sz="0"/>
              <w:bottom w:val="single" w:color="C9D3D6" w:sz="4"/>
              <w:right w:val="none" w:color="FFFFFF" w:sz="0"/>
            </w:tcBorders>
            <w:tcMar>
              <w:top w:type="dxa" w:w="110"/>
              <w:left w:type="dxa" w:w="0"/>
              <w:bottom w:type="dxa" w:w="110"/>
              <w:right w:type="dxa" w:w="0"/>
            </w:tcMar>
            <w:vAlign w:val="top"/>
          </w:tcPr>
          <w:p>
            <w:r>
              <w:rPr>
                <w:color w:val="1E2A30"/>
                <w:sz w:val="19"/>
                <w:szCs w:val="19"/>
              </w:rPr>
              <w:t xml:space="preserve">1.0 · septiembre de 2026</w:t>
            </w:r>
          </w:p>
        </w:tc>
      </w:tr>
      <w:tr>
        <w:tc>
          <w:tcPr>
            <w:tcW w:type="dxa" w:w="2540"/>
            <w:tcBorders>
              <w:top w:val="none" w:color="FFFFFF" w:sz="0"/>
              <w:left w:val="none" w:color="FFFFFF" w:sz="0"/>
              <w:bottom w:val="single" w:color="C9D3D6" w:sz="4"/>
              <w:right w:val="none" w:color="FFFFFF" w:sz="0"/>
            </w:tcBorders>
            <w:tcMar>
              <w:top w:type="dxa" w:w="110"/>
              <w:left w:type="dxa" w:w="0"/>
              <w:bottom w:type="dxa" w:w="110"/>
              <w:right w:type="dxa" w:w="120"/>
            </w:tcMar>
            <w:vAlign w:val="top"/>
          </w:tcPr>
          <w:p>
            <w:r>
              <w:rPr>
                <w:b/>
                <w:bCs/>
                <w:color w:val="1F7A7A"/>
                <w:sz w:val="19"/>
                <w:szCs w:val="19"/>
              </w:rPr>
              <w:t xml:space="preserve">Siguiente fase</w:t>
            </w:r>
          </w:p>
        </w:tc>
        <w:tc>
          <w:tcPr>
            <w:tcW w:type="dxa" w:w="6532"/>
            <w:tcBorders>
              <w:top w:val="none" w:color="FFFFFF" w:sz="0"/>
              <w:left w:val="none" w:color="FFFFFF" w:sz="0"/>
              <w:bottom w:val="single" w:color="C9D3D6" w:sz="4"/>
              <w:right w:val="none" w:color="FFFFFF" w:sz="0"/>
            </w:tcBorders>
            <w:tcMar>
              <w:top w:type="dxa" w:w="110"/>
              <w:left w:type="dxa" w:w="0"/>
              <w:bottom w:type="dxa" w:w="110"/>
              <w:right w:type="dxa" w:w="0"/>
            </w:tcMar>
            <w:vAlign w:val="top"/>
          </w:tcPr>
          <w:p>
            <w:r>
              <w:rPr>
                <w:color w:val="1E2A30"/>
                <w:sz w:val="19"/>
                <w:szCs w:val="19"/>
              </w:rPr>
              <w:t xml:space="preserve">Diseño de arquitectura por parte del equipo de desarrollo</w:t>
            </w:r>
          </w:p>
        </w:tc>
      </w:tr>
    </w:tbl>
    <w:p>
      <w:pPr>
        <w:sectPr>
          <w:pgSz w:w="11906" w:h="16838" w:orient="portrait"/>
          <w:pgMar w:top="1300" w:right="1417" w:bottom="1300" w:left="1417" w:header="708" w:footer="600" w:gutter="0"/>
          <w:pgNumType/>
          <w:docGrid w:linePitch="360"/>
        </w:sectPr>
      </w:pPr>
    </w:p>
    <w:p>
      <w:pPr>
        <w:pStyle w:val="Heading1"/>
      </w:pPr>
      <w:r>
        <w:t xml:space="preserve">Contenido</w:t>
      </w:r>
    </w:p>
    <w:p>
      <w:pPr>
        <w:pBdr>
          <w:bottom w:val="single" w:color="C9D3D6" w:sz="4" w:space="6"/>
        </w:pBdr>
        <w:spacing w:after="60" w:before="60"/>
      </w:pPr>
      <w:r>
        <w:rPr>
          <w:b/>
          <w:bCs/>
          <w:color w:val="12343B"/>
          <w:sz w:val="22"/>
          <w:szCs w:val="22"/>
        </w:rPr>
        <w:t xml:space="preserve">1. Resumen ejecutivo</w:t>
      </w:r>
    </w:p>
    <w:p>
      <w:pPr>
        <w:pBdr>
          <w:bottom w:val="single" w:color="C9D3D6" w:sz="4" w:space="6"/>
        </w:pBdr>
        <w:spacing w:after="60" w:before="60"/>
      </w:pPr>
      <w:r>
        <w:rPr>
          <w:b/>
          <w:bCs/>
          <w:color w:val="12343B"/>
          <w:sz w:val="22"/>
          <w:szCs w:val="22"/>
        </w:rPr>
        <w:t xml:space="preserve">2. Propósito y valor para el negocio</w:t>
      </w:r>
    </w:p>
    <w:p>
      <w:pPr>
        <w:pBdr>
          <w:bottom w:val="single" w:color="C9D3D6" w:sz="4" w:space="6"/>
        </w:pBdr>
        <w:spacing w:after="60" w:before="60"/>
      </w:pPr>
      <w:r>
        <w:rPr>
          <w:b/>
          <w:bCs/>
          <w:color w:val="12343B"/>
          <w:sz w:val="22"/>
          <w:szCs w:val="22"/>
        </w:rPr>
        <w:t xml:space="preserve">3. Cómo estructuran sus informes el FMI y el Banco Mundial</w:t>
      </w:r>
    </w:p>
    <w:p>
      <w:pPr>
        <w:pBdr>
          <w:bottom w:val="single" w:color="C9D3D6" w:sz="4" w:space="6"/>
        </w:pBdr>
        <w:spacing w:after="60" w:before="60"/>
      </w:pPr>
      <w:r>
        <w:rPr>
          <w:b/>
          <w:bCs/>
          <w:color w:val="12343B"/>
          <w:sz w:val="22"/>
          <w:szCs w:val="22"/>
        </w:rPr>
        <w:t xml:space="preserve">4. El Núcleo de Autenticidad: de dónde sale cada cifra</w:t>
      </w:r>
    </w:p>
    <w:p>
      <w:pPr>
        <w:pBdr>
          <w:bottom w:val="single" w:color="C9D3D6" w:sz="4" w:space="6"/>
        </w:pBdr>
        <w:spacing w:after="60" w:before="60"/>
      </w:pPr>
      <w:r>
        <w:rPr>
          <w:b/>
          <w:bCs/>
          <w:color w:val="12343B"/>
          <w:sz w:val="22"/>
          <w:szCs w:val="22"/>
        </w:rPr>
        <w:t xml:space="preserve">5. Lo que aporta el cliente (datos de entrada)</w:t>
      </w:r>
    </w:p>
    <w:p>
      <w:pPr>
        <w:pBdr>
          <w:bottom w:val="single" w:color="C9D3D6" w:sz="4" w:space="6"/>
        </w:pBdr>
        <w:spacing w:after="60" w:before="60"/>
      </w:pPr>
      <w:r>
        <w:rPr>
          <w:b/>
          <w:bCs/>
          <w:color w:val="12343B"/>
          <w:sz w:val="22"/>
          <w:szCs w:val="22"/>
        </w:rPr>
        <w:t xml:space="preserve">6. Lo que recibe el cliente (entregables)</w:t>
      </w:r>
    </w:p>
    <w:p>
      <w:pPr>
        <w:pBdr>
          <w:bottom w:val="single" w:color="C9D3D6" w:sz="4" w:space="6"/>
        </w:pBdr>
        <w:spacing w:after="60" w:before="60"/>
      </w:pPr>
      <w:r>
        <w:rPr>
          <w:b/>
          <w:bCs/>
          <w:color w:val="12343B"/>
          <w:sz w:val="22"/>
          <w:szCs w:val="22"/>
        </w:rPr>
        <w:t xml:space="preserve">7. Cómo funciona el agente, paso a paso</w:t>
      </w:r>
    </w:p>
    <w:p>
      <w:pPr>
        <w:pBdr>
          <w:bottom w:val="single" w:color="C9D3D6" w:sz="4" w:space="6"/>
        </w:pBdr>
        <w:spacing w:after="60" w:before="60"/>
      </w:pPr>
      <w:r>
        <w:rPr>
          <w:b/>
          <w:bCs/>
          <w:color w:val="12343B"/>
          <w:sz w:val="22"/>
          <w:szCs w:val="22"/>
        </w:rPr>
        <w:t xml:space="preserve">8. Alcance: lo que el agente hará y lo que no hará</w:t>
      </w:r>
    </w:p>
    <w:p>
      <w:pPr>
        <w:pBdr>
          <w:bottom w:val="single" w:color="C9D3D6" w:sz="4" w:space="6"/>
        </w:pBdr>
        <w:spacing w:after="60" w:before="60"/>
      </w:pPr>
      <w:r>
        <w:rPr>
          <w:b/>
          <w:bCs/>
          <w:color w:val="12343B"/>
          <w:sz w:val="22"/>
          <w:szCs w:val="22"/>
        </w:rPr>
        <w:t xml:space="preserve">9. Criterios de éxito</w:t>
      </w:r>
    </w:p>
    <w:p>
      <w:pPr>
        <w:pBdr>
          <w:bottom w:val="single" w:color="C9D3D6" w:sz="4" w:space="6"/>
        </w:pBdr>
        <w:spacing w:after="60" w:before="60"/>
      </w:pPr>
      <w:r>
        <w:rPr>
          <w:b/>
          <w:bCs/>
          <w:color w:val="12343B"/>
          <w:sz w:val="22"/>
          <w:szCs w:val="22"/>
        </w:rPr>
        <w:t xml:space="preserve">10. Decisiones solicitadas y próximos pasos</w:t>
      </w:r>
    </w:p>
    <w:p>
      <w:pPr>
        <w:pBdr>
          <w:bottom w:val="single" w:color="C9D3D6" w:sz="4" w:space="6"/>
        </w:pBdr>
        <w:spacing w:after="60" w:before="60"/>
      </w:pPr>
      <w:r>
        <w:rPr>
          <w:b w:val="false"/>
          <w:bCs w:val="false"/>
          <w:color w:val="5B6770"/>
          <w:sz w:val="22"/>
          <w:szCs w:val="22"/>
        </w:rPr>
        <w:t xml:space="preserve">Anexo A. Estructura de los dos informes</w:t>
      </w:r>
    </w:p>
    <w:p>
      <w:pPr>
        <w:pBdr>
          <w:bottom w:val="single" w:color="C9D3D6" w:sz="4" w:space="6"/>
        </w:pBdr>
        <w:spacing w:after="60" w:before="60"/>
      </w:pPr>
      <w:r>
        <w:rPr>
          <w:b w:val="false"/>
          <w:bCs w:val="false"/>
          <w:color w:val="5B6770"/>
          <w:sz w:val="22"/>
          <w:szCs w:val="22"/>
        </w:rPr>
        <w:t xml:space="preserve">Anexo B. Glosario</w:t>
      </w:r>
    </w:p>
    <w:p>
      <w:r>
        <w:br w:type="page"/>
      </w:r>
    </w:p>
    <w:p>
      <w:pPr>
        <w:pStyle w:val="Heading1"/>
      </w:pPr>
      <w:r>
        <w:t xml:space="preserve">1. Resumen ejecutivo</w:t>
      </w:r>
    </w:p>
    <w:p>
      <w:pPr>
        <w:spacing w:after="140" w:line="300"/>
      </w:pPr>
      <w:r>
        <w:t xml:space="preserve">El Agente de Macroentorno elabora un estudio económico de un país para un cliente. El cliente nos indica cuatro cosas: el país, la moneda, el sector y el período que le interesa. A partir de ahí, el agente reúne las cifras económicas oficiales de ese país, las verifica y las convierte en tres documentos: un informe escrito sobre las perspectivas económicas, una matriz de riesgos y oportunidades, y un archivo de datos limpio que nuestros modelos financieros podrán usar en las fases siguientes.</w:t>
      </w:r>
    </w:p>
    <w:p>
      <w:pPr>
        <w:spacing w:after="140" w:line="300"/>
      </w:pPr>
      <w:r>
        <w:t xml:space="preserve">El diseño se apoya en una sola regla. </w:t>
      </w:r>
      <w:r>
        <w:rPr>
          <w:b/>
          <w:bCs/>
        </w:rPr>
        <w:t xml:space="preserve">El agente no inventa cifras.</w:t>
      </w:r>
      <w:r>
        <w:t xml:space="preserve"> Cada número proviene de un publicador oficial, como el Fondo Monetario Internacional (FMI), el Banco Mundial, o el banco central o el instituto de estadística del propio país, y cada cifra conserva el registro de su origen y de su fecha de publicación. Si una cifra no puede encontrarse en una fuente oficial, los documentos lo dicen abiertamente en lugar de rellenar el vacío.</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68"/>
        <w:gridCol w:w="2268"/>
        <w:gridCol w:w="2268"/>
        <w:gridCol w:w="2268"/>
      </w:tblGrid>
      <w:tr>
        <w:tc>
          <w:tcPr>
            <w:tcW w:type="dxa" w:w="2268"/>
            <w:tcBorders>
              <w:top w:val="single" w:color="FFFFFF" w:sz="24"/>
              <w:left w:val="single" w:color="FFFFFF" w:sz="24"/>
              <w:bottom w:val="single" w:color="FFFFFF" w:sz="24"/>
              <w:right w:val="single" w:color="FFFFFF" w:sz="24"/>
            </w:tcBorders>
            <w:shd w:fill="EFF6F5" w:color="auto" w:val="clear"/>
            <w:tcMar>
              <w:top w:type="dxa" w:w="200"/>
              <w:left w:type="dxa" w:w="120"/>
              <w:bottom w:type="dxa" w:w="200"/>
              <w:right w:type="dxa" w:w="120"/>
            </w:tcMar>
            <w:vAlign w:val="top"/>
          </w:tcPr>
          <w:p>
            <w:pPr>
              <w:spacing w:after="40"/>
              <w:jc w:val="center"/>
            </w:pPr>
            <w:r>
              <w:rPr>
                <w:b/>
                <w:bCs/>
                <w:color w:val="B8862B"/>
                <w:sz w:val="48"/>
                <w:szCs w:val="48"/>
              </w:rPr>
              <w:t xml:space="preserve">3</w:t>
            </w:r>
          </w:p>
          <w:p>
            <w:pPr>
              <w:jc w:val="center"/>
            </w:pPr>
            <w:r>
              <w:rPr>
                <w:color w:val="12343B"/>
                <w:sz w:val="17"/>
                <w:szCs w:val="17"/>
              </w:rPr>
              <w:t xml:space="preserve">entregables por cada solicitud</w:t>
            </w:r>
          </w:p>
        </w:tc>
        <w:tc>
          <w:tcPr>
            <w:tcW w:type="dxa" w:w="2268"/>
            <w:tcBorders>
              <w:top w:val="single" w:color="FFFFFF" w:sz="24"/>
              <w:left w:val="single" w:color="FFFFFF" w:sz="24"/>
              <w:bottom w:val="single" w:color="FFFFFF" w:sz="24"/>
              <w:right w:val="single" w:color="FFFFFF" w:sz="24"/>
            </w:tcBorders>
            <w:shd w:fill="EFF6F5" w:color="auto" w:val="clear"/>
            <w:tcMar>
              <w:top w:type="dxa" w:w="200"/>
              <w:left w:type="dxa" w:w="120"/>
              <w:bottom w:type="dxa" w:w="200"/>
              <w:right w:type="dxa" w:w="120"/>
            </w:tcMar>
            <w:vAlign w:val="top"/>
          </w:tcPr>
          <w:p>
            <w:pPr>
              <w:spacing w:after="40"/>
              <w:jc w:val="center"/>
            </w:pPr>
            <w:r>
              <w:rPr>
                <w:b/>
                <w:bCs/>
                <w:color w:val="B8862B"/>
                <w:sz w:val="48"/>
                <w:szCs w:val="48"/>
              </w:rPr>
              <w:t xml:space="preserve">4</w:t>
            </w:r>
          </w:p>
          <w:p>
            <w:pPr>
              <w:jc w:val="center"/>
            </w:pPr>
            <w:r>
              <w:rPr>
                <w:color w:val="12343B"/>
                <w:sz w:val="17"/>
                <w:szCs w:val="17"/>
              </w:rPr>
              <w:t xml:space="preserve">datos obligatorios del cliente</w:t>
            </w:r>
          </w:p>
        </w:tc>
        <w:tc>
          <w:tcPr>
            <w:tcW w:type="dxa" w:w="2268"/>
            <w:tcBorders>
              <w:top w:val="single" w:color="FFFFFF" w:sz="24"/>
              <w:left w:val="single" w:color="FFFFFF" w:sz="24"/>
              <w:bottom w:val="single" w:color="FFFFFF" w:sz="24"/>
              <w:right w:val="single" w:color="FFFFFF" w:sz="24"/>
            </w:tcBorders>
            <w:shd w:fill="EFF6F5" w:color="auto" w:val="clear"/>
            <w:tcMar>
              <w:top w:type="dxa" w:w="200"/>
              <w:left w:type="dxa" w:w="120"/>
              <w:bottom w:type="dxa" w:w="200"/>
              <w:right w:type="dxa" w:w="120"/>
            </w:tcMar>
            <w:vAlign w:val="top"/>
          </w:tcPr>
          <w:p>
            <w:pPr>
              <w:spacing w:after="40"/>
              <w:jc w:val="center"/>
            </w:pPr>
            <w:r>
              <w:rPr>
                <w:b/>
                <w:bCs/>
                <w:color w:val="B8862B"/>
                <w:sz w:val="48"/>
                <w:szCs w:val="48"/>
              </w:rPr>
              <w:t xml:space="preserve">6</w:t>
            </w:r>
          </w:p>
          <w:p>
            <w:pPr>
              <w:jc w:val="center"/>
            </w:pPr>
            <w:r>
              <w:rPr>
                <w:color w:val="12343B"/>
                <w:sz w:val="17"/>
                <w:szCs w:val="17"/>
              </w:rPr>
              <w:t xml:space="preserve">pasos desde la solicitud hasta la entrega</w:t>
            </w:r>
          </w:p>
        </w:tc>
        <w:tc>
          <w:tcPr>
            <w:tcW w:type="dxa" w:w="2268"/>
            <w:tcBorders>
              <w:top w:val="single" w:color="FFFFFF" w:sz="24"/>
              <w:left w:val="single" w:color="FFFFFF" w:sz="24"/>
              <w:bottom w:val="single" w:color="FFFFFF" w:sz="24"/>
              <w:right w:val="single" w:color="FFFFFF" w:sz="24"/>
            </w:tcBorders>
            <w:shd w:fill="EFF6F5" w:color="auto" w:val="clear"/>
            <w:tcMar>
              <w:top w:type="dxa" w:w="200"/>
              <w:left w:type="dxa" w:w="120"/>
              <w:bottom w:type="dxa" w:w="200"/>
              <w:right w:type="dxa" w:w="120"/>
            </w:tcMar>
            <w:vAlign w:val="top"/>
          </w:tcPr>
          <w:p>
            <w:pPr>
              <w:spacing w:after="40"/>
              <w:jc w:val="center"/>
            </w:pPr>
            <w:r>
              <w:rPr>
                <w:b/>
                <w:bCs/>
                <w:color w:val="B8862B"/>
                <w:sz w:val="48"/>
                <w:szCs w:val="48"/>
              </w:rPr>
              <w:t xml:space="preserve">100%</w:t>
            </w:r>
          </w:p>
          <w:p>
            <w:pPr>
              <w:jc w:val="center"/>
            </w:pPr>
            <w:r>
              <w:rPr>
                <w:color w:val="12343B"/>
                <w:sz w:val="17"/>
                <w:szCs w:val="17"/>
              </w:rPr>
              <w:t xml:space="preserve">de las cifras muestran su fuente y fecha</w:t>
            </w:r>
          </w:p>
        </w:tc>
      </w:tr>
    </w:tbl>
    <w:p>
      <w:pPr>
        <w:spacing w:after="200" w:before="0" w:line="120"/>
      </w:pPr>
    </w:p>
    <w:p>
      <w:pPr>
        <w:pStyle w:val="Heading3"/>
      </w:pPr>
      <w:r>
        <w:t xml:space="preserve">Lo que se solicita aprobar al Directorio</w:t>
      </w:r>
    </w:p>
    <w:p>
      <w:pPr>
        <w:pStyle w:val="ListParagraph"/>
        <w:numPr>
          <w:ilvl w:val="0"/>
          <w:numId w:val="2"/>
        </w:numPr>
        <w:spacing w:after="100" w:line="290"/>
      </w:pPr>
      <w:r>
        <w:t xml:space="preserve">El alcance descrito en la Sección 8, incluido lo que el agente </w:t>
      </w:r>
      <w:r>
        <w:rPr>
          <w:b/>
          <w:bCs/>
        </w:rPr>
        <w:t xml:space="preserve">no</w:t>
      </w:r>
      <w:r>
        <w:t xml:space="preserve"> hará.</w:t>
      </w:r>
    </w:p>
    <w:p>
      <w:pPr>
        <w:pStyle w:val="ListParagraph"/>
        <w:numPr>
          <w:ilvl w:val="0"/>
          <w:numId w:val="2"/>
        </w:numPr>
        <w:spacing w:after="100" w:line="290"/>
      </w:pPr>
      <w:r>
        <w:t xml:space="preserve">El Núcleo de Autenticidad (Sección 4) como regla de diseño innegociable.</w:t>
      </w:r>
    </w:p>
    <w:p>
      <w:pPr>
        <w:pStyle w:val="ListParagraph"/>
        <w:numPr>
          <w:ilvl w:val="0"/>
          <w:numId w:val="2"/>
        </w:numPr>
        <w:spacing w:after="100" w:line="290"/>
      </w:pPr>
      <w:r>
        <w:t xml:space="preserve">La entrega de este documento al equipo de desarrollo como punto de partida para el diseño de arquitectura.</w:t>
      </w:r>
    </w:p>
    <w:p>
      <w:pPr>
        <w:spacing w:after="80" w:before="0" w:line="120"/>
      </w:pPr>
    </w:p>
    <w:p>
      <w:pPr>
        <w:pStyle w:val="Heading1"/>
      </w:pPr>
      <w:r>
        <w:t xml:space="preserve">2. Propósito y valor para el negocio</w:t>
      </w:r>
    </w:p>
    <w:p>
      <w:pPr>
        <w:spacing w:after="140" w:line="300"/>
      </w:pPr>
      <w:r>
        <w:t xml:space="preserve">Preparar a mano un estudio económico de un país implica reunir cifras de varias instituciones, comprobar que correspondan al mismo año y a la misma edición de los datos, y redactarlas de forma coherente en más de un documento. Es un trabajo lento, y una sola cifra equivocada en un informe para un cliente puede restar credibilidad a todo el trabajo.</w:t>
      </w:r>
    </w:p>
    <w:p>
      <w:pPr>
        <w:spacing w:after="140" w:line="300"/>
      </w:pPr>
      <w:r>
        <w:t xml:space="preserve">El agente está pensado para liberar al analista de la recopilación y del control de coherencia, manteniendo cada cifra trazable.</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10"/>
        <w:gridCol w:w="5262"/>
      </w:tblGrid>
      <w:tr>
        <w:trPr>
          <w:tblHeader/>
        </w:trPr>
        <w:tc>
          <w:tcPr>
            <w:tcW w:type="dxa" w:w="3810"/>
            <w:tcBorders>
              <w:top w:val="single" w:color="12343B" w:sz="4"/>
              <w:left w:val="single" w:color="12343B" w:sz="4"/>
              <w:bottom w:val="single" w:color="12343B" w:sz="4"/>
              <w:right w:val="single" w:color="12343B" w:sz="4"/>
            </w:tcBorders>
            <w:shd w:fill="12343B" w:color="auto" w:val="clear"/>
            <w:tcMar>
              <w:top w:type="dxa" w:w="90"/>
              <w:left w:type="dxa" w:w="120"/>
              <w:bottom w:type="dxa" w:w="90"/>
              <w:right w:type="dxa" w:w="120"/>
            </w:tcMar>
            <w:vAlign w:val="top"/>
          </w:tcPr>
          <w:p>
            <w:r>
              <w:rPr>
                <w:b/>
                <w:bCs/>
                <w:color w:val="FFFFFF"/>
                <w:sz w:val="19"/>
                <w:szCs w:val="19"/>
              </w:rPr>
              <w:t xml:space="preserve">Problema actual</w:t>
            </w:r>
          </w:p>
        </w:tc>
        <w:tc>
          <w:tcPr>
            <w:tcW w:type="dxa" w:w="5262"/>
            <w:tcBorders>
              <w:top w:val="single" w:color="12343B" w:sz="4"/>
              <w:left w:val="single" w:color="12343B" w:sz="4"/>
              <w:bottom w:val="single" w:color="12343B" w:sz="4"/>
              <w:right w:val="single" w:color="12343B" w:sz="4"/>
            </w:tcBorders>
            <w:shd w:fill="12343B" w:color="auto" w:val="clear"/>
            <w:tcMar>
              <w:top w:type="dxa" w:w="90"/>
              <w:left w:type="dxa" w:w="120"/>
              <w:bottom w:type="dxa" w:w="90"/>
              <w:right w:type="dxa" w:w="120"/>
            </w:tcMar>
            <w:vAlign w:val="top"/>
          </w:tcPr>
          <w:p>
            <w:r>
              <w:rPr>
                <w:b/>
                <w:bCs/>
                <w:color w:val="FFFFFF"/>
                <w:sz w:val="19"/>
                <w:szCs w:val="19"/>
              </w:rPr>
              <w:t xml:space="preserve">Cómo lo resuelve el agente</w:t>
            </w:r>
          </w:p>
        </w:tc>
      </w:tr>
      <w:tr>
        <w:trPr>
          <w:cantSplit/>
        </w:trPr>
        <w:tc>
          <w:tcPr>
            <w:tcW w:type="dxa" w:w="3810"/>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bCs/>
                <w:color w:val="12343B"/>
                <w:sz w:val="19"/>
                <w:szCs w:val="19"/>
              </w:rPr>
              <w:t xml:space="preserve">Las cifras se reúnen a mano desde muchas fuentes</w:t>
            </w:r>
          </w:p>
        </w:tc>
        <w:tc>
          <w:tcPr>
            <w:tcW w:type="dxa" w:w="5262"/>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val="false"/>
                <w:bCs w:val="false"/>
                <w:color w:val="1E2A30"/>
                <w:sz w:val="19"/>
                <w:szCs w:val="19"/>
              </w:rPr>
              <w:t xml:space="preserve">Las cifras se obtienen directamente de publicadores oficiales</w:t>
            </w:r>
          </w:p>
        </w:tc>
      </w:tr>
      <w:tr>
        <w:trPr>
          <w:cantSplit/>
        </w:trPr>
        <w:tc>
          <w:tcPr>
            <w:tcW w:type="dxa" w:w="3810"/>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bCs/>
                <w:color w:val="12343B"/>
                <w:sz w:val="19"/>
                <w:szCs w:val="19"/>
              </w:rPr>
              <w:t xml:space="preserve">Distintos documentos pueden citar cifras distintas para lo mismo</w:t>
            </w:r>
          </w:p>
        </w:tc>
        <w:tc>
          <w:tcPr>
            <w:tcW w:type="dxa" w:w="5262"/>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val="false"/>
                <w:bCs w:val="false"/>
                <w:color w:val="1E2A30"/>
                <w:sz w:val="19"/>
                <w:szCs w:val="19"/>
              </w:rPr>
              <w:t xml:space="preserve">Cada cifra se decide una sola vez y se reutiliza en los tres entregables</w:t>
            </w:r>
          </w:p>
        </w:tc>
      </w:tr>
      <w:tr>
        <w:trPr>
          <w:cantSplit/>
        </w:trPr>
        <w:tc>
          <w:tcPr>
            <w:tcW w:type="dxa" w:w="3810"/>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bCs/>
                <w:color w:val="12343B"/>
                <w:sz w:val="19"/>
                <w:szCs w:val="19"/>
              </w:rPr>
              <w:t xml:space="preserve">Las proyecciones pueden confundirse con resultados reales</w:t>
            </w:r>
          </w:p>
        </w:tc>
        <w:tc>
          <w:tcPr>
            <w:tcW w:type="dxa" w:w="5262"/>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val="false"/>
                <w:bCs w:val="false"/>
                <w:color w:val="1E2A30"/>
                <w:sz w:val="19"/>
                <w:szCs w:val="19"/>
              </w:rPr>
              <w:t xml:space="preserve">Cada cifra se etiqueta como «real» o «proyectada»</w:t>
            </w:r>
          </w:p>
        </w:tc>
      </w:tr>
      <w:tr>
        <w:trPr>
          <w:cantSplit/>
        </w:trPr>
        <w:tc>
          <w:tcPr>
            <w:tcW w:type="dxa" w:w="3810"/>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bCs/>
                <w:color w:val="12343B"/>
                <w:sz w:val="19"/>
                <w:szCs w:val="19"/>
              </w:rPr>
              <w:t xml:space="preserve">Las cifras en los trabajos para clientes son difíciles de verificar después</w:t>
            </w:r>
          </w:p>
        </w:tc>
        <w:tc>
          <w:tcPr>
            <w:tcW w:type="dxa" w:w="5262"/>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val="false"/>
                <w:bCs w:val="false"/>
                <w:color w:val="1E2A30"/>
                <w:sz w:val="19"/>
                <w:szCs w:val="19"/>
              </w:rPr>
              <w:t xml:space="preserve">Cada cifra lleva su fuente, enlace y fecha de publicación</w:t>
            </w:r>
          </w:p>
        </w:tc>
      </w:tr>
      <w:tr>
        <w:trPr>
          <w:cantSplit/>
        </w:trPr>
        <w:tc>
          <w:tcPr>
            <w:tcW w:type="dxa" w:w="3810"/>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bCs/>
                <w:color w:val="12343B"/>
                <w:sz w:val="19"/>
                <w:szCs w:val="19"/>
              </w:rPr>
              <w:t xml:space="preserve">El análisis escrito no se puede usar directamente en modelos financieros</w:t>
            </w:r>
          </w:p>
        </w:tc>
        <w:tc>
          <w:tcPr>
            <w:tcW w:type="dxa" w:w="5262"/>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val="false"/>
                <w:bCs w:val="false"/>
                <w:color w:val="1E2A30"/>
                <w:sz w:val="19"/>
                <w:szCs w:val="19"/>
              </w:rPr>
              <w:t xml:space="preserve">Se genera un archivo de datos estructurado junto con los informes</w:t>
            </w:r>
          </w:p>
        </w:tc>
      </w:tr>
    </w:tbl>
    <w:p>
      <w:pPr>
        <w:spacing w:after="160" w:before="0" w:line="120"/>
      </w:pPr>
    </w:p>
    <w:p>
      <w:pPr>
        <w:pStyle w:val="Heading3"/>
      </w:pPr>
      <w:r>
        <w:t xml:space="preserve">Quiénes se benefician</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40"/>
        <w:gridCol w:w="6532"/>
      </w:tblGrid>
      <w:tr>
        <w:trPr>
          <w:tblHeader/>
        </w:trPr>
        <w:tc>
          <w:tcPr>
            <w:tcW w:type="dxa" w:w="2540"/>
            <w:tcBorders>
              <w:top w:val="single" w:color="12343B" w:sz="4"/>
              <w:left w:val="single" w:color="12343B" w:sz="4"/>
              <w:bottom w:val="single" w:color="12343B" w:sz="4"/>
              <w:right w:val="single" w:color="12343B" w:sz="4"/>
            </w:tcBorders>
            <w:shd w:fill="12343B" w:color="auto" w:val="clear"/>
            <w:tcMar>
              <w:top w:type="dxa" w:w="90"/>
              <w:left w:type="dxa" w:w="120"/>
              <w:bottom w:type="dxa" w:w="90"/>
              <w:right w:type="dxa" w:w="120"/>
            </w:tcMar>
            <w:vAlign w:val="top"/>
          </w:tcPr>
          <w:p>
            <w:r>
              <w:rPr>
                <w:b/>
                <w:bCs/>
                <w:color w:val="FFFFFF"/>
                <w:sz w:val="19"/>
                <w:szCs w:val="19"/>
              </w:rPr>
              <w:t xml:space="preserve">Parte interesada</w:t>
            </w:r>
          </w:p>
        </w:tc>
        <w:tc>
          <w:tcPr>
            <w:tcW w:type="dxa" w:w="6532"/>
            <w:tcBorders>
              <w:top w:val="single" w:color="12343B" w:sz="4"/>
              <w:left w:val="single" w:color="12343B" w:sz="4"/>
              <w:bottom w:val="single" w:color="12343B" w:sz="4"/>
              <w:right w:val="single" w:color="12343B" w:sz="4"/>
            </w:tcBorders>
            <w:shd w:fill="12343B" w:color="auto" w:val="clear"/>
            <w:tcMar>
              <w:top w:type="dxa" w:w="90"/>
              <w:left w:type="dxa" w:w="120"/>
              <w:bottom w:type="dxa" w:w="90"/>
              <w:right w:type="dxa" w:w="120"/>
            </w:tcMar>
            <w:vAlign w:val="top"/>
          </w:tcPr>
          <w:p>
            <w:r>
              <w:rPr>
                <w:b/>
                <w:bCs/>
                <w:color w:val="FFFFFF"/>
                <w:sz w:val="19"/>
                <w:szCs w:val="19"/>
              </w:rPr>
              <w:t xml:space="preserve">Beneficio</w:t>
            </w:r>
          </w:p>
        </w:tc>
      </w:tr>
      <w:tr>
        <w:trPr>
          <w:cantSplit/>
        </w:trPr>
        <w:tc>
          <w:tcPr>
            <w:tcW w:type="dxa" w:w="2540"/>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bCs/>
                <w:color w:val="12343B"/>
                <w:sz w:val="19"/>
                <w:szCs w:val="19"/>
              </w:rPr>
              <w:t xml:space="preserve">Clientes</w:t>
            </w:r>
          </w:p>
        </w:tc>
        <w:tc>
          <w:tcPr>
            <w:tcW w:type="dxa" w:w="6532"/>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val="false"/>
                <w:bCs w:val="false"/>
                <w:color w:val="1E2A30"/>
                <w:sz w:val="19"/>
                <w:szCs w:val="19"/>
              </w:rPr>
              <w:t xml:space="preserve">Un estudio económico coherente y con fuentes completas sobre el país y el sector que les interesa</w:t>
            </w:r>
          </w:p>
        </w:tc>
      </w:tr>
      <w:tr>
        <w:trPr>
          <w:cantSplit/>
        </w:trPr>
        <w:tc>
          <w:tcPr>
            <w:tcW w:type="dxa" w:w="2540"/>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bCs/>
                <w:color w:val="12343B"/>
                <w:sz w:val="19"/>
                <w:szCs w:val="19"/>
              </w:rPr>
              <w:t xml:space="preserve">Analistas</w:t>
            </w:r>
          </w:p>
        </w:tc>
        <w:tc>
          <w:tcPr>
            <w:tcW w:type="dxa" w:w="6532"/>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val="false"/>
                <w:bCs w:val="false"/>
                <w:color w:val="1E2A30"/>
                <w:sz w:val="19"/>
                <w:szCs w:val="19"/>
              </w:rPr>
              <w:t xml:space="preserve">Menos tiempo reuniendo y cruzando cifras, más tiempo para el criterio y la asesoría</w:t>
            </w:r>
          </w:p>
        </w:tc>
      </w:tr>
      <w:tr>
        <w:trPr>
          <w:cantSplit/>
        </w:trPr>
        <w:tc>
          <w:tcPr>
            <w:tcW w:type="dxa" w:w="2540"/>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bCs/>
                <w:color w:val="12343B"/>
                <w:sz w:val="19"/>
                <w:szCs w:val="19"/>
              </w:rPr>
              <w:t xml:space="preserve">Finanzas / fases posteriores</w:t>
            </w:r>
          </w:p>
        </w:tc>
        <w:tc>
          <w:tcPr>
            <w:tcW w:type="dxa" w:w="6532"/>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val="false"/>
                <w:bCs w:val="false"/>
                <w:color w:val="1E2A30"/>
                <w:sz w:val="19"/>
                <w:szCs w:val="19"/>
              </w:rPr>
              <w:t xml:space="preserve">Un archivo de indicadores limpio que alimenta los cálculos financieros sin volver a digitar</w:t>
            </w:r>
          </w:p>
        </w:tc>
      </w:tr>
      <w:tr>
        <w:trPr>
          <w:cantSplit/>
        </w:trPr>
        <w:tc>
          <w:tcPr>
            <w:tcW w:type="dxa" w:w="2540"/>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bCs/>
                <w:color w:val="12343B"/>
                <w:sz w:val="19"/>
                <w:szCs w:val="19"/>
              </w:rPr>
              <w:t xml:space="preserve">Dirección</w:t>
            </w:r>
          </w:p>
        </w:tc>
        <w:tc>
          <w:tcPr>
            <w:tcW w:type="dxa" w:w="6532"/>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val="false"/>
                <w:bCs w:val="false"/>
                <w:color w:val="1E2A30"/>
                <w:sz w:val="19"/>
                <w:szCs w:val="19"/>
              </w:rPr>
              <w:t xml:space="preserve">Menor riesgo reputacional: cada cifra de un trabajo para clientes puede rastrearse hasta su fuente</w:t>
            </w:r>
          </w:p>
        </w:tc>
      </w:tr>
    </w:tbl>
    <w:p>
      <w:pPr>
        <w:spacing w:after="160" w:before="0" w:line="120"/>
      </w:pPr>
    </w:p>
    <w:p>
      <w:pPr>
        <w:pStyle w:val="Heading1"/>
      </w:pPr>
      <w:r>
        <w:t xml:space="preserve">3. Cómo estructuran sus informes el FMI y el Banco Mundial</w:t>
      </w:r>
    </w:p>
    <w:p>
      <w:pPr>
        <w:spacing w:after="140" w:line="300"/>
      </w:pPr>
      <w:r>
        <w:t xml:space="preserve">Antes de definir los entregables del agente, estudiamos cómo publican sus análisis las dos principales instituciones económicas internacionales. Sus informes son la referencia en la que ya confían gobiernos, bancos centrales e inversionistas, por lo que seguir su estructura hace que nuestros entregables resulten familiares y creíbles.</w:t>
      </w:r>
    </w:p>
    <w:p>
      <w:pPr>
        <w:pStyle w:val="Heading2"/>
      </w:pPr>
      <w:r>
        <w:t xml:space="preserve">3.1 Fondo Monetario Internacional (FMI)</w:t>
      </w:r>
    </w:p>
    <w:p>
      <w:pPr>
        <w:pStyle w:val="ListParagraph"/>
        <w:numPr>
          <w:ilvl w:val="0"/>
          <w:numId w:val="3"/>
        </w:numPr>
        <w:spacing w:after="110" w:line="290"/>
      </w:pPr>
      <w:r>
        <w:rPr>
          <w:b/>
          <w:bCs/>
        </w:rPr>
        <w:t xml:space="preserve">Perspectivas de la economía mundial (World Economic Outlook, WEO).</w:t>
      </w:r>
      <w:r>
        <w:t xml:space="preserve"> Se publica dos veces al año, en abril y octubre, con actualizaciones más breves normalmente en enero y julio. Presenta la visión del FMI sobre las perspectivas mundiales y de cada país. Su base de datos pública contiene datos históricos y proyecciones de los países miembros, con proyecciones a unos cinco años.</w:t>
      </w:r>
    </w:p>
    <w:p>
      <w:pPr>
        <w:pStyle w:val="ListParagraph"/>
        <w:numPr>
          <w:ilvl w:val="0"/>
          <w:numId w:val="3"/>
        </w:numPr>
        <w:spacing w:after="110" w:line="290"/>
      </w:pPr>
      <w:r>
        <w:rPr>
          <w:b/>
          <w:bCs/>
        </w:rPr>
        <w:t xml:space="preserve">Consultas del Artículo IV.</w:t>
      </w:r>
      <w:r>
        <w:t xml:space="preserve"> Es la revisión periódica que hace el FMI de la economía de cada país miembro, normalmente una vez al año. El informe del personal técnico sigue un patrón constante: evolución reciente, perspectivas y riesgos, discusión de políticas y evaluación del personal técnico.</w:t>
      </w:r>
    </w:p>
    <w:p>
      <w:pPr>
        <w:pStyle w:val="ListParagraph"/>
        <w:numPr>
          <w:ilvl w:val="0"/>
          <w:numId w:val="3"/>
        </w:numPr>
        <w:spacing w:after="110" w:line="290"/>
      </w:pPr>
      <w:r>
        <w:rPr>
          <w:b/>
          <w:bCs/>
        </w:rPr>
        <w:t xml:space="preserve">Matriz de Evaluación de Riesgos (Risk Assessment Matrix, RAM).</w:t>
      </w:r>
      <w:r>
        <w:t xml:space="preserve"> Se incluye en los informes del Artículo IV. Enumera los principales riesgos para la economía, califica la probabilidad de cada uno y la magnitud de su impacto, e indica la respuesta de política recomendada.</w:t>
      </w:r>
    </w:p>
    <w:p>
      <w:pPr>
        <w:pStyle w:val="Heading2"/>
      </w:pPr>
      <w:r>
        <w:t xml:space="preserve">3.2 Banco Mundial</w:t>
      </w:r>
    </w:p>
    <w:p>
      <w:pPr>
        <w:pStyle w:val="ListParagraph"/>
        <w:numPr>
          <w:ilvl w:val="0"/>
          <w:numId w:val="3"/>
        </w:numPr>
        <w:spacing w:after="110" w:line="290"/>
      </w:pPr>
      <w:r>
        <w:rPr>
          <w:b/>
          <w:bCs/>
        </w:rPr>
        <w:t xml:space="preserve">Perspectivas económicas mundiales (Global Economic Prospects, GEP).</w:t>
      </w:r>
      <w:r>
        <w:t xml:space="preserve"> Se publica dos veces al año, en enero y junio, con proyecciones de crecimiento para el mundo, las regiones y cada país.</w:t>
      </w:r>
    </w:p>
    <w:p>
      <w:pPr>
        <w:pStyle w:val="ListParagraph"/>
        <w:numPr>
          <w:ilvl w:val="0"/>
          <w:numId w:val="3"/>
        </w:numPr>
        <w:spacing w:after="110" w:line="290"/>
      </w:pPr>
      <w:r>
        <w:rPr>
          <w:b/>
          <w:bCs/>
        </w:rPr>
        <w:t xml:space="preserve">Indicadores del Desarrollo Mundial (World Development Indicators, WDI).</w:t>
      </w:r>
      <w:r>
        <w:t xml:space="preserve"> La principal colección de estadísticas de desarrollo del Banco Mundial, elaborada a partir de fuentes reconocidas oficialmente.</w:t>
      </w:r>
    </w:p>
    <w:p>
      <w:pPr>
        <w:pStyle w:val="ListParagraph"/>
        <w:numPr>
          <w:ilvl w:val="0"/>
          <w:numId w:val="3"/>
        </w:numPr>
        <w:spacing w:after="110" w:line="290"/>
      </w:pPr>
      <w:r>
        <w:rPr>
          <w:b/>
          <w:bCs/>
        </w:rPr>
        <w:t xml:space="preserve">Perspectivas macroeconómicas y de pobreza (Macro Poverty Outlook, MPO).</w:t>
      </w:r>
      <w:r>
        <w:t xml:space="preserve"> Notas breves por país con proyecciones macroeconómicas, publicadas dos veces al año en torno a las Reuniones de Primavera y las Reuniones Anuales.</w:t>
      </w:r>
    </w:p>
    <w:p>
      <w:pPr>
        <w:pStyle w:val="Heading2"/>
      </w:pPr>
      <w:r>
        <w:t xml:space="preserve">3.3 Lo que adoptamos de ellos</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536"/>
        <w:gridCol w:w="4536"/>
      </w:tblGrid>
      <w:tr>
        <w:trPr>
          <w:tblHeader/>
        </w:trPr>
        <w:tc>
          <w:tcPr>
            <w:tcW w:type="dxa" w:w="4536"/>
            <w:tcBorders>
              <w:top w:val="single" w:color="12343B" w:sz="4"/>
              <w:left w:val="single" w:color="12343B" w:sz="4"/>
              <w:bottom w:val="single" w:color="12343B" w:sz="4"/>
              <w:right w:val="single" w:color="12343B" w:sz="4"/>
            </w:tcBorders>
            <w:shd w:fill="12343B" w:color="auto" w:val="clear"/>
            <w:tcMar>
              <w:top w:type="dxa" w:w="90"/>
              <w:left w:type="dxa" w:w="120"/>
              <w:bottom w:type="dxa" w:w="90"/>
              <w:right w:type="dxa" w:w="120"/>
            </w:tcMar>
            <w:vAlign w:val="top"/>
          </w:tcPr>
          <w:p>
            <w:r>
              <w:rPr>
                <w:b/>
                <w:bCs/>
                <w:color w:val="FFFFFF"/>
                <w:sz w:val="19"/>
                <w:szCs w:val="19"/>
              </w:rPr>
              <w:t xml:space="preserve">Práctica institucional</w:t>
            </w:r>
          </w:p>
        </w:tc>
        <w:tc>
          <w:tcPr>
            <w:tcW w:type="dxa" w:w="4536"/>
            <w:tcBorders>
              <w:top w:val="single" w:color="12343B" w:sz="4"/>
              <w:left w:val="single" w:color="12343B" w:sz="4"/>
              <w:bottom w:val="single" w:color="12343B" w:sz="4"/>
              <w:right w:val="single" w:color="12343B" w:sz="4"/>
            </w:tcBorders>
            <w:shd w:fill="12343B" w:color="auto" w:val="clear"/>
            <w:tcMar>
              <w:top w:type="dxa" w:w="90"/>
              <w:left w:type="dxa" w:w="120"/>
              <w:bottom w:type="dxa" w:w="90"/>
              <w:right w:type="dxa" w:w="120"/>
            </w:tcMar>
            <w:vAlign w:val="top"/>
          </w:tcPr>
          <w:p>
            <w:r>
              <w:rPr>
                <w:b/>
                <w:bCs/>
                <w:color w:val="FFFFFF"/>
                <w:sz w:val="19"/>
                <w:szCs w:val="19"/>
              </w:rPr>
              <w:t xml:space="preserve">Cómo la aplica el agente</w:t>
            </w:r>
          </w:p>
        </w:tc>
      </w:tr>
      <w:tr>
        <w:trPr>
          <w:cantSplit/>
        </w:trPr>
        <w:tc>
          <w:tcPr>
            <w:tcW w:type="dxa" w:w="4536"/>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bCs/>
                <w:color w:val="12343B"/>
                <w:sz w:val="19"/>
                <w:szCs w:val="19"/>
              </w:rPr>
              <w:t xml:space="preserve">Una secuencia estable: evolución reciente, perspectivas, riesgos, implicaciones de política</w:t>
            </w:r>
          </w:p>
        </w:tc>
        <w:tc>
          <w:tcPr>
            <w:tcW w:type="dxa" w:w="4536"/>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val="false"/>
                <w:bCs w:val="false"/>
                <w:color w:val="1E2A30"/>
                <w:sz w:val="19"/>
                <w:szCs w:val="19"/>
              </w:rPr>
              <w:t xml:space="preserve">El Informe de Impacto Macroeconómico sigue la misma secuencia</w:t>
            </w:r>
          </w:p>
        </w:tc>
      </w:tr>
      <w:tr>
        <w:trPr>
          <w:cantSplit/>
        </w:trPr>
        <w:tc>
          <w:tcPr>
            <w:tcW w:type="dxa" w:w="4536"/>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bCs/>
                <w:color w:val="12343B"/>
                <w:sz w:val="19"/>
                <w:szCs w:val="19"/>
              </w:rPr>
              <w:t xml:space="preserve">Cifras vinculadas a una fuente identificada y a una edición concreta de los datos</w:t>
            </w:r>
          </w:p>
        </w:tc>
        <w:tc>
          <w:tcPr>
            <w:tcW w:type="dxa" w:w="4536"/>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val="false"/>
                <w:bCs w:val="false"/>
                <w:color w:val="1E2A30"/>
                <w:sz w:val="19"/>
                <w:szCs w:val="19"/>
              </w:rPr>
              <w:t xml:space="preserve">Cada cifra lleva su publicador, enlace y fecha de publicación</w:t>
            </w:r>
          </w:p>
        </w:tc>
      </w:tr>
      <w:tr>
        <w:trPr>
          <w:cantSplit/>
        </w:trPr>
        <w:tc>
          <w:tcPr>
            <w:tcW w:type="dxa" w:w="4536"/>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bCs/>
                <w:color w:val="12343B"/>
                <w:sz w:val="19"/>
                <w:szCs w:val="19"/>
              </w:rPr>
              <w:t xml:space="preserve">Datos históricos y proyecciones claramente separados</w:t>
            </w:r>
          </w:p>
        </w:tc>
        <w:tc>
          <w:tcPr>
            <w:tcW w:type="dxa" w:w="4536"/>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val="false"/>
                <w:bCs w:val="false"/>
                <w:color w:val="1E2A30"/>
                <w:sz w:val="19"/>
                <w:szCs w:val="19"/>
              </w:rPr>
              <w:t xml:space="preserve">Cada cifra se marca como «real» o «proyectada»</w:t>
            </w:r>
          </w:p>
        </w:tc>
      </w:tr>
      <w:tr>
        <w:trPr>
          <w:cantSplit/>
        </w:trPr>
        <w:tc>
          <w:tcPr>
            <w:tcW w:type="dxa" w:w="4536"/>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bCs/>
                <w:color w:val="12343B"/>
                <w:sz w:val="19"/>
                <w:szCs w:val="19"/>
              </w:rPr>
              <w:t xml:space="preserve">Riesgos calificados por probabilidad e impacto, cada uno con una respuesta (RAM del FMI)</w:t>
            </w:r>
          </w:p>
        </w:tc>
        <w:tc>
          <w:tcPr>
            <w:tcW w:type="dxa" w:w="4536"/>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val="false"/>
                <w:bCs w:val="false"/>
                <w:color w:val="1E2A30"/>
                <w:sz w:val="19"/>
                <w:szCs w:val="19"/>
              </w:rPr>
              <w:t xml:space="preserve">La Matriz de Riesgos y Oportunidades usa la misma lógica de calificación</w:t>
            </w:r>
          </w:p>
        </w:tc>
      </w:tr>
      <w:tr>
        <w:trPr>
          <w:cantSplit/>
        </w:trPr>
        <w:tc>
          <w:tcPr>
            <w:tcW w:type="dxa" w:w="4536"/>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bCs/>
                <w:color w:val="12343B"/>
                <w:sz w:val="19"/>
                <w:szCs w:val="19"/>
              </w:rPr>
              <w:t xml:space="preserve">Códigos estándar de indicadores en las bases de datos publicadas</w:t>
            </w:r>
          </w:p>
        </w:tc>
        <w:tc>
          <w:tcPr>
            <w:tcW w:type="dxa" w:w="4536"/>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val="false"/>
                <w:bCs w:val="false"/>
                <w:color w:val="1E2A30"/>
                <w:sz w:val="19"/>
                <w:szCs w:val="19"/>
              </w:rPr>
              <w:t xml:space="preserve">La Base de Datos de Indicadores Clave usa los códigos oficiales cuando existen</w:t>
            </w:r>
          </w:p>
        </w:tc>
      </w:tr>
    </w:tbl>
    <w:p>
      <w:pPr>
        <w:spacing w:after="160" w:before="0" w:line="120"/>
      </w:pPr>
    </w:p>
    <w:p>
      <w:r>
        <w:br w:type="page"/>
      </w:r>
    </w:p>
    <w:p>
      <w:pPr>
        <w:pStyle w:val="Heading1"/>
      </w:pPr>
      <w:r>
        <w:t xml:space="preserve">4. El Núcleo de Autenticidad: de dónde sale cada cifra</w:t>
      </w:r>
    </w:p>
    <w:p>
      <w:pPr>
        <w:spacing w:after="140" w:line="300"/>
      </w:pPr>
      <w:r>
        <w:t xml:space="preserve">El Núcleo de Autenticidad es el conjunto de reglas que rige cada cifra del estudio. Dicho de forma sencilla: </w:t>
      </w:r>
      <w:r>
        <w:rPr>
          <w:b/>
          <w:bCs/>
        </w:rPr>
        <w:t xml:space="preserve">el agente informa cifras oficiales; no las crea.</w:t>
      </w:r>
      <w:r>
        <w:t xml:space="preserve"> Todas las cifras pasan por un registro central, el Registro de Cifras Verificadas, y todos los documentos leen de ese registro. Esto es lo que mantiene los tres entregables coherentes entre sí y con las fuentes oficiales.</w:t>
      </w:r>
    </w:p>
    <w:p>
      <w:pPr>
        <w:keepNext/>
        <w:spacing w:after="60" w:before="120"/>
        <w:jc w:val="left"/>
      </w:pPr>
      <w:r>
        <w:drawing>
          <wp:inline distT="0" distB="0" distL="0" distR="0">
            <wp:extent cx="5762625" cy="3248025"/>
            <wp:effectExtent t="0" r="0" b="0" l="0"/>
            <wp:docPr id="1" name="sources" descr="sources" title="sou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62625" cy="3248025"/>
                    </a:xfrm>
                    <a:prstGeom prst="rect">
                      <a:avLst/>
                    </a:prstGeom>
                  </pic:spPr>
                </pic:pic>
              </a:graphicData>
            </a:graphic>
          </wp:inline>
        </w:drawing>
      </w:r>
    </w:p>
    <w:p>
      <w:pPr>
        <w:spacing w:after="240"/>
        <w:jc w:val="center"/>
      </w:pPr>
      <w:r>
        <w:rPr>
          <w:i/>
          <w:iCs/>
          <w:color w:val="5B6770"/>
          <w:sz w:val="17"/>
          <w:szCs w:val="17"/>
        </w:rPr>
        <w:t xml:space="preserve">Figura 1. Cómo viajan las cifras desde las fuentes oficiales hasta los tres entregables</w:t>
      </w:r>
    </w:p>
    <w:p>
      <w:pPr>
        <w:pStyle w:val="Heading2"/>
      </w:pPr>
      <w:r>
        <w:t xml:space="preserve">4.1 Las cinco reglas</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3"/>
        <w:gridCol w:w="6169"/>
      </w:tblGrid>
      <w:tr>
        <w:trPr>
          <w:tblHeader/>
        </w:trPr>
        <w:tc>
          <w:tcPr>
            <w:tcW w:type="dxa" w:w="2903"/>
            <w:tcBorders>
              <w:top w:val="single" w:color="12343B" w:sz="4"/>
              <w:left w:val="single" w:color="12343B" w:sz="4"/>
              <w:bottom w:val="single" w:color="12343B" w:sz="4"/>
              <w:right w:val="single" w:color="12343B" w:sz="4"/>
            </w:tcBorders>
            <w:shd w:fill="12343B" w:color="auto" w:val="clear"/>
            <w:tcMar>
              <w:top w:type="dxa" w:w="90"/>
              <w:left w:type="dxa" w:w="120"/>
              <w:bottom w:type="dxa" w:w="90"/>
              <w:right w:type="dxa" w:w="120"/>
            </w:tcMar>
            <w:vAlign w:val="top"/>
          </w:tcPr>
          <w:p>
            <w:r>
              <w:rPr>
                <w:b/>
                <w:bCs/>
                <w:color w:val="FFFFFF"/>
                <w:sz w:val="19"/>
                <w:szCs w:val="19"/>
              </w:rPr>
              <w:t xml:space="preserve">Regla</w:t>
            </w:r>
          </w:p>
        </w:tc>
        <w:tc>
          <w:tcPr>
            <w:tcW w:type="dxa" w:w="6169"/>
            <w:tcBorders>
              <w:top w:val="single" w:color="12343B" w:sz="4"/>
              <w:left w:val="single" w:color="12343B" w:sz="4"/>
              <w:bottom w:val="single" w:color="12343B" w:sz="4"/>
              <w:right w:val="single" w:color="12343B" w:sz="4"/>
            </w:tcBorders>
            <w:shd w:fill="12343B" w:color="auto" w:val="clear"/>
            <w:tcMar>
              <w:top w:type="dxa" w:w="90"/>
              <w:left w:type="dxa" w:w="120"/>
              <w:bottom w:type="dxa" w:w="90"/>
              <w:right w:type="dxa" w:w="120"/>
            </w:tcMar>
            <w:vAlign w:val="top"/>
          </w:tcPr>
          <w:p>
            <w:r>
              <w:rPr>
                <w:b/>
                <w:bCs/>
                <w:color w:val="FFFFFF"/>
                <w:sz w:val="19"/>
                <w:szCs w:val="19"/>
              </w:rPr>
              <w:t xml:space="preserve">Qué significa en la práctica</w:t>
            </w:r>
          </w:p>
        </w:tc>
      </w:tr>
      <w:tr>
        <w:trPr>
          <w:cantSplit/>
        </w:trPr>
        <w:tc>
          <w:tcPr>
            <w:tcW w:type="dxa" w:w="2903"/>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bCs/>
                <w:color w:val="12343B"/>
                <w:sz w:val="19"/>
                <w:szCs w:val="19"/>
              </w:rPr>
              <w:t xml:space="preserve">1. Sin fuente, no hay cifra</w:t>
            </w:r>
          </w:p>
        </w:tc>
        <w:tc>
          <w:tcPr>
            <w:tcW w:type="dxa" w:w="6169"/>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val="false"/>
                <w:bCs w:val="false"/>
                <w:color w:val="1E2A30"/>
                <w:sz w:val="19"/>
                <w:szCs w:val="19"/>
              </w:rPr>
              <w:t xml:space="preserve">Una cifra sin fuente oficial, enlace y fecha no se usa en ningún documento.</w:t>
            </w:r>
          </w:p>
        </w:tc>
      </w:tr>
      <w:tr>
        <w:trPr>
          <w:cantSplit/>
        </w:trPr>
        <w:tc>
          <w:tcPr>
            <w:tcW w:type="dxa" w:w="2903"/>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bCs/>
                <w:color w:val="12343B"/>
                <w:sz w:val="19"/>
                <w:szCs w:val="19"/>
              </w:rPr>
              <w:t xml:space="preserve">2. Una cifra, la misma en todas partes</w:t>
            </w:r>
          </w:p>
        </w:tc>
        <w:tc>
          <w:tcPr>
            <w:tcW w:type="dxa" w:w="6169"/>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val="false"/>
                <w:bCs w:val="false"/>
                <w:color w:val="1E2A30"/>
                <w:sz w:val="19"/>
                <w:szCs w:val="19"/>
              </w:rPr>
              <w:t xml:space="preserve">Cada cifra se decide una sola vez. Si el registro indica un valor de inflación para un año, el informe, la matriz y el archivo de datos muestran ese mismo valor.</w:t>
            </w:r>
          </w:p>
        </w:tc>
      </w:tr>
      <w:tr>
        <w:trPr>
          <w:cantSplit/>
        </w:trPr>
        <w:tc>
          <w:tcPr>
            <w:tcW w:type="dxa" w:w="2903"/>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bCs/>
                <w:color w:val="12343B"/>
                <w:sz w:val="19"/>
                <w:szCs w:val="19"/>
              </w:rPr>
              <w:t xml:space="preserve">3. Real o proyectada, siempre indicado</w:t>
            </w:r>
          </w:p>
        </w:tc>
        <w:tc>
          <w:tcPr>
            <w:tcW w:type="dxa" w:w="6169"/>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val="false"/>
                <w:bCs w:val="false"/>
                <w:color w:val="1E2A30"/>
                <w:sz w:val="19"/>
                <w:szCs w:val="19"/>
              </w:rPr>
              <w:t xml:space="preserve">Una proyección nunca se presenta como un resultado definitivo.</w:t>
            </w:r>
          </w:p>
        </w:tc>
      </w:tr>
      <w:tr>
        <w:trPr>
          <w:cantSplit/>
        </w:trPr>
        <w:tc>
          <w:tcPr>
            <w:tcW w:type="dxa" w:w="2903"/>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bCs/>
                <w:color w:val="12343B"/>
                <w:sz w:val="19"/>
                <w:szCs w:val="19"/>
              </w:rPr>
              <w:t xml:space="preserve">4. Primero las fuentes oficiales</w:t>
            </w:r>
          </w:p>
        </w:tc>
        <w:tc>
          <w:tcPr>
            <w:tcW w:type="dxa" w:w="6169"/>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val="false"/>
                <w:bCs w:val="false"/>
                <w:color w:val="1E2A30"/>
                <w:sz w:val="19"/>
                <w:szCs w:val="19"/>
              </w:rPr>
              <w:t xml:space="preserve">Los datos del FMI, el Banco Mundial, el banco central y el instituto nacional de estadística tienen prioridad sobre cualquier fuente secundaria. Los documentos del cliente aportan contexto, pero nunca sustituyen a los datos oficiales salvo que el cliente lo pida expresamente; en ese caso, la cifra se etiqueta como «aportada por el cliente».</w:t>
            </w:r>
          </w:p>
        </w:tc>
      </w:tr>
      <w:tr>
        <w:trPr>
          <w:cantSplit/>
        </w:trPr>
        <w:tc>
          <w:tcPr>
            <w:tcW w:type="dxa" w:w="2903"/>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bCs/>
                <w:color w:val="12343B"/>
                <w:sz w:val="19"/>
                <w:szCs w:val="19"/>
              </w:rPr>
              <w:t xml:space="preserve">5. Los vacíos se muestran, no se rellenan</w:t>
            </w:r>
          </w:p>
        </w:tc>
        <w:tc>
          <w:tcPr>
            <w:tcW w:type="dxa" w:w="6169"/>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val="false"/>
                <w:bCs w:val="false"/>
                <w:color w:val="1E2A30"/>
                <w:sz w:val="19"/>
                <w:szCs w:val="19"/>
              </w:rPr>
              <w:t xml:space="preserve">Si falta una cifra o no supera los controles, el documento lo indica. Cuando realmente se necesita una estimación, se etiqueta como «estimación del analista» y se explica el método.</w:t>
            </w:r>
          </w:p>
        </w:tc>
      </w:tr>
    </w:tbl>
    <w:p>
      <w:pPr>
        <w:spacing w:after="160" w:before="0" w:line="120"/>
      </w:pPr>
    </w:p>
    <w:p>
      <w:pPr>
        <w:pStyle w:val="Heading2"/>
      </w:pPr>
      <w:r>
        <w:t xml:space="preserve">4.2 Cuando dos fuentes oficiales no coinciden</w:t>
      </w:r>
    </w:p>
    <w:p>
      <w:pPr>
        <w:spacing w:after="140" w:line="300"/>
      </w:pPr>
      <w:r>
        <w:t xml:space="preserve">A veces las fuentes oficiales publican valores distintos para el mismo indicador, por ejemplo por diferencias en fechas de publicación o en definiciones. El agente no los promedia ni elige uno en silencio. Aplica un orden de prioridad fijo y deja constancia del valor alternativo en el registro de fuentes. El orden exacto de prioridad es una decisión de la fase de arquitectura (ver Sección 10); la regla de que la elección siempre queda registrada es fija.</w:t>
      </w:r>
    </w:p>
    <w:p>
      <w:pPr>
        <w:pStyle w:val="Heading2"/>
      </w:pPr>
      <w:r>
        <w:t xml:space="preserve">4.3 Por qué el agente está impedido estructuralmente de inventar cifras</w:t>
      </w:r>
    </w:p>
    <w:p>
      <w:pPr>
        <w:keepNext/>
        <w:spacing w:after="60" w:before="120"/>
        <w:jc w:val="left"/>
      </w:pPr>
      <w:r>
        <w:drawing>
          <wp:inline distT="0" distB="0" distL="0" distR="0">
            <wp:extent cx="5762625" cy="3019425"/>
            <wp:effectExtent t="0" r="0" b="0" l="0"/>
            <wp:docPr id="2" name="layers" descr="layers" title="lay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2625" cy="3019425"/>
                    </a:xfrm>
                    <a:prstGeom prst="rect">
                      <a:avLst/>
                    </a:prstGeom>
                  </pic:spPr>
                </pic:pic>
              </a:graphicData>
            </a:graphic>
          </wp:inline>
        </w:drawing>
      </w:r>
    </w:p>
    <w:p>
      <w:pPr>
        <w:spacing w:after="240"/>
        <w:jc w:val="center"/>
      </w:pPr>
      <w:r>
        <w:rPr>
          <w:i/>
          <w:iCs/>
          <w:color w:val="5B6770"/>
          <w:sz w:val="17"/>
          <w:szCs w:val="17"/>
        </w:rPr>
        <w:t xml:space="preserve">Figura 2. Controles en capas entre los datos y el cliente</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72"/>
      </w:tblGrid>
      <w:tr>
        <w:tc>
          <w:tcPr>
            <w:tcW w:type="dxa" w:w="9072"/>
            <w:tcBorders>
              <w:top w:val="none" w:color="FFFFFF" w:sz="0"/>
              <w:left w:val="none" w:color="FFFFFF" w:sz="0"/>
              <w:bottom w:val="none" w:color="FFFFFF" w:sz="0"/>
              <w:right w:val="none" w:color="FFFFFF" w:sz="0"/>
            </w:tcBorders>
            <w:shd w:fill="F6EBD3" w:color="auto" w:val="clear"/>
            <w:tcMar>
              <w:top w:type="dxa" w:w="200"/>
              <w:left w:type="dxa" w:w="240"/>
              <w:bottom w:type="dxa" w:w="200"/>
              <w:right w:type="dxa" w:w="240"/>
            </w:tcMar>
            <w:vAlign w:val="top"/>
          </w:tcPr>
          <w:p>
            <w:pPr>
              <w:spacing w:after="80"/>
            </w:pPr>
            <w:r>
              <w:rPr>
                <w:b/>
                <w:bCs/>
                <w:color w:val="12343B"/>
                <w:sz w:val="21"/>
                <w:szCs w:val="21"/>
              </w:rPr>
              <w:t xml:space="preserve">Una nota clara sobre las garantías</w:t>
            </w:r>
          </w:p>
          <w:p>
            <w:pPr>
              <w:spacing w:line="290"/>
            </w:pPr>
            <w:r>
              <w:rPr>
                <w:color w:val="1E2A30"/>
                <w:sz w:val="20"/>
                <w:szCs w:val="20"/>
              </w:rPr>
              <w:t xml:space="preserve">Estos controles están diseñados para que ninguna cifra inventada o alterada llegue a un documento del cliente sin ser detectada. Ningún sistema automatizado está completamente libre de errores; por eso los controles funcionan en capas y recomendamos que un analista designado apruebe cada estudio antes de su entrega. Lo que sí podemos afirmar con seguridad es que el agente no tiene otra vía para incluir una cifra en un documento que no sea el Registro de Cifras Verificadas.</w:t>
            </w:r>
          </w:p>
        </w:tc>
      </w:tr>
    </w:tbl>
    <w:p>
      <w:pPr>
        <w:spacing w:after="200" w:before="0" w:line="120"/>
      </w:pPr>
    </w:p>
    <w:p>
      <w:r>
        <w:br w:type="page"/>
      </w:r>
    </w:p>
    <w:p>
      <w:pPr>
        <w:pStyle w:val="Heading1"/>
      </w:pPr>
      <w:r>
        <w:t xml:space="preserve">5. Lo que aporta el cliente (datos de entrada)</w:t>
      </w:r>
    </w:p>
    <w:p>
      <w:pPr>
        <w:spacing w:after="140" w:line="300"/>
      </w:pPr>
      <w:r>
        <w:t xml:space="preserve">El agente necesita poca información para funcionar. Cuatro datos son obligatorios. Sin ellos, el estudio se basaría en suposiciones, por lo que el agente se detiene y solicita el dato faltante en lugar de asumir un valor por defecto.</w:t>
      </w:r>
    </w:p>
    <w:p>
      <w:pPr>
        <w:pStyle w:val="Heading2"/>
      </w:pPr>
      <w:r>
        <w:t xml:space="preserve">5.1 Datos obligatorios</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33"/>
        <w:gridCol w:w="2722"/>
        <w:gridCol w:w="1814"/>
        <w:gridCol w:w="2903"/>
      </w:tblGrid>
      <w:tr>
        <w:trPr>
          <w:tblHeader/>
        </w:trPr>
        <w:tc>
          <w:tcPr>
            <w:tcW w:type="dxa" w:w="1633"/>
            <w:tcBorders>
              <w:top w:val="single" w:color="1F7A7A" w:sz="4"/>
              <w:left w:val="single" w:color="1F7A7A" w:sz="4"/>
              <w:bottom w:val="single" w:color="1F7A7A" w:sz="4"/>
              <w:right w:val="single" w:color="1F7A7A" w:sz="4"/>
            </w:tcBorders>
            <w:shd w:fill="1F7A7A" w:color="auto" w:val="clear"/>
            <w:tcMar>
              <w:top w:type="dxa" w:w="90"/>
              <w:left w:type="dxa" w:w="120"/>
              <w:bottom w:type="dxa" w:w="90"/>
              <w:right w:type="dxa" w:w="120"/>
            </w:tcMar>
            <w:vAlign w:val="top"/>
          </w:tcPr>
          <w:p>
            <w:r>
              <w:rPr>
                <w:b/>
                <w:bCs/>
                <w:color w:val="FFFFFF"/>
                <w:sz w:val="19"/>
                <w:szCs w:val="19"/>
              </w:rPr>
              <w:t xml:space="preserve">Dato</w:t>
            </w:r>
          </w:p>
        </w:tc>
        <w:tc>
          <w:tcPr>
            <w:tcW w:type="dxa" w:w="2722"/>
            <w:tcBorders>
              <w:top w:val="single" w:color="1F7A7A" w:sz="4"/>
              <w:left w:val="single" w:color="1F7A7A" w:sz="4"/>
              <w:bottom w:val="single" w:color="1F7A7A" w:sz="4"/>
              <w:right w:val="single" w:color="1F7A7A" w:sz="4"/>
            </w:tcBorders>
            <w:shd w:fill="1F7A7A" w:color="auto" w:val="clear"/>
            <w:tcMar>
              <w:top w:type="dxa" w:w="90"/>
              <w:left w:type="dxa" w:w="120"/>
              <w:bottom w:type="dxa" w:w="90"/>
              <w:right w:type="dxa" w:w="120"/>
            </w:tcMar>
            <w:vAlign w:val="top"/>
          </w:tcPr>
          <w:p>
            <w:r>
              <w:rPr>
                <w:b/>
                <w:bCs/>
                <w:color w:val="FFFFFF"/>
                <w:sz w:val="19"/>
                <w:szCs w:val="19"/>
              </w:rPr>
              <w:t xml:space="preserve">Qué es</w:t>
            </w:r>
          </w:p>
        </w:tc>
        <w:tc>
          <w:tcPr>
            <w:tcW w:type="dxa" w:w="1814"/>
            <w:tcBorders>
              <w:top w:val="single" w:color="1F7A7A" w:sz="4"/>
              <w:left w:val="single" w:color="1F7A7A" w:sz="4"/>
              <w:bottom w:val="single" w:color="1F7A7A" w:sz="4"/>
              <w:right w:val="single" w:color="1F7A7A" w:sz="4"/>
            </w:tcBorders>
            <w:shd w:fill="1F7A7A" w:color="auto" w:val="clear"/>
            <w:tcMar>
              <w:top w:type="dxa" w:w="90"/>
              <w:left w:type="dxa" w:w="120"/>
              <w:bottom w:type="dxa" w:w="90"/>
              <w:right w:type="dxa" w:w="120"/>
            </w:tcMar>
            <w:vAlign w:val="top"/>
          </w:tcPr>
          <w:p>
            <w:r>
              <w:rPr>
                <w:b/>
                <w:bCs/>
                <w:color w:val="FFFFFF"/>
                <w:sz w:val="19"/>
                <w:szCs w:val="19"/>
              </w:rPr>
              <w:t xml:space="preserve">Ejemplo</w:t>
            </w:r>
          </w:p>
        </w:tc>
        <w:tc>
          <w:tcPr>
            <w:tcW w:type="dxa" w:w="2903"/>
            <w:tcBorders>
              <w:top w:val="single" w:color="1F7A7A" w:sz="4"/>
              <w:left w:val="single" w:color="1F7A7A" w:sz="4"/>
              <w:bottom w:val="single" w:color="1F7A7A" w:sz="4"/>
              <w:right w:val="single" w:color="1F7A7A" w:sz="4"/>
            </w:tcBorders>
            <w:shd w:fill="1F7A7A" w:color="auto" w:val="clear"/>
            <w:tcMar>
              <w:top w:type="dxa" w:w="90"/>
              <w:left w:type="dxa" w:w="120"/>
              <w:bottom w:type="dxa" w:w="90"/>
              <w:right w:type="dxa" w:w="120"/>
            </w:tcMar>
            <w:vAlign w:val="top"/>
          </w:tcPr>
          <w:p>
            <w:r>
              <w:rPr>
                <w:b/>
                <w:bCs/>
                <w:color w:val="FFFFFF"/>
                <w:sz w:val="19"/>
                <w:szCs w:val="19"/>
              </w:rPr>
              <w:t xml:space="preserve">Por qué es obligatorio</w:t>
            </w:r>
          </w:p>
        </w:tc>
      </w:tr>
      <w:tr>
        <w:trPr>
          <w:cantSplit/>
        </w:trPr>
        <w:tc>
          <w:tcPr>
            <w:tcW w:type="dxa" w:w="1633"/>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bCs/>
                <w:color w:val="12343B"/>
                <w:sz w:val="19"/>
                <w:szCs w:val="19"/>
              </w:rPr>
              <w:t xml:space="preserve">País objetivo</w:t>
            </w:r>
          </w:p>
        </w:tc>
        <w:tc>
          <w:tcPr>
            <w:tcW w:type="dxa" w:w="2722"/>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val="false"/>
                <w:bCs w:val="false"/>
                <w:color w:val="1E2A30"/>
                <w:sz w:val="19"/>
                <w:szCs w:val="19"/>
              </w:rPr>
              <w:t xml:space="preserve">La economía que se va a estudiar</w:t>
            </w:r>
          </w:p>
        </w:tc>
        <w:tc>
          <w:tcPr>
            <w:tcW w:type="dxa" w:w="1814"/>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val="false"/>
                <w:bCs w:val="false"/>
                <w:color w:val="1E2A30"/>
                <w:sz w:val="19"/>
                <w:szCs w:val="19"/>
              </w:rPr>
              <w:t xml:space="preserve">Chile</w:t>
            </w:r>
          </w:p>
        </w:tc>
        <w:tc>
          <w:tcPr>
            <w:tcW w:type="dxa" w:w="2903"/>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val="false"/>
                <w:bCs w:val="false"/>
                <w:color w:val="1E2A30"/>
                <w:sz w:val="19"/>
                <w:szCs w:val="19"/>
              </w:rPr>
              <w:t xml:space="preserve">Determina qué fuentes y series oficiales se recopilan</w:t>
            </w:r>
          </w:p>
        </w:tc>
      </w:tr>
      <w:tr>
        <w:trPr>
          <w:cantSplit/>
        </w:trPr>
        <w:tc>
          <w:tcPr>
            <w:tcW w:type="dxa" w:w="1633"/>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bCs/>
                <w:color w:val="12343B"/>
                <w:sz w:val="19"/>
                <w:szCs w:val="19"/>
              </w:rPr>
              <w:t xml:space="preserve">Moneda de reporte</w:t>
            </w:r>
          </w:p>
        </w:tc>
        <w:tc>
          <w:tcPr>
            <w:tcW w:type="dxa" w:w="2722"/>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val="false"/>
                <w:bCs w:val="false"/>
                <w:color w:val="1E2A30"/>
                <w:sz w:val="19"/>
                <w:szCs w:val="19"/>
              </w:rPr>
              <w:t xml:space="preserve">La moneda de todas las cifras monetarias</w:t>
            </w:r>
          </w:p>
        </w:tc>
        <w:tc>
          <w:tcPr>
            <w:tcW w:type="dxa" w:w="1814"/>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val="false"/>
                <w:bCs w:val="false"/>
                <w:color w:val="1E2A30"/>
                <w:sz w:val="19"/>
                <w:szCs w:val="19"/>
              </w:rPr>
              <w:t xml:space="preserve">Peso chileno (CLP) o dólar estadounidense (USD)</w:t>
            </w:r>
          </w:p>
        </w:tc>
        <w:tc>
          <w:tcPr>
            <w:tcW w:type="dxa" w:w="2903"/>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val="false"/>
                <w:bCs w:val="false"/>
                <w:color w:val="1E2A30"/>
                <w:sz w:val="19"/>
                <w:szCs w:val="19"/>
              </w:rPr>
              <w:t xml:space="preserve">Evita mezclar monedas; toda conversión usa un tipo de cambio oficial</w:t>
            </w:r>
          </w:p>
        </w:tc>
      </w:tr>
      <w:tr>
        <w:trPr>
          <w:cantSplit/>
        </w:trPr>
        <w:tc>
          <w:tcPr>
            <w:tcW w:type="dxa" w:w="1633"/>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bCs/>
                <w:color w:val="12343B"/>
                <w:sz w:val="19"/>
                <w:szCs w:val="19"/>
              </w:rPr>
              <w:t xml:space="preserve">Sector</w:t>
            </w:r>
          </w:p>
        </w:tc>
        <w:tc>
          <w:tcPr>
            <w:tcW w:type="dxa" w:w="2722"/>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val="false"/>
                <w:bCs w:val="false"/>
                <w:color w:val="1E2A30"/>
                <w:sz w:val="19"/>
                <w:szCs w:val="19"/>
              </w:rPr>
              <w:t xml:space="preserve">La actividad del cliente</w:t>
            </w:r>
          </w:p>
        </w:tc>
        <w:tc>
          <w:tcPr>
            <w:tcW w:type="dxa" w:w="1814"/>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val="false"/>
                <w:bCs w:val="false"/>
                <w:color w:val="1E2A30"/>
                <w:sz w:val="19"/>
                <w:szCs w:val="19"/>
              </w:rPr>
              <w:t xml:space="preserve">Comercio minorista, minería, agricultura</w:t>
            </w:r>
          </w:p>
        </w:tc>
        <w:tc>
          <w:tcPr>
            <w:tcW w:type="dxa" w:w="2903"/>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val="false"/>
                <w:bCs w:val="false"/>
                <w:color w:val="1E2A30"/>
                <w:sz w:val="19"/>
                <w:szCs w:val="19"/>
              </w:rPr>
              <w:t xml:space="preserve">Centra el análisis en las variables que afectan a ese sector</w:t>
            </w:r>
          </w:p>
        </w:tc>
      </w:tr>
      <w:tr>
        <w:trPr>
          <w:cantSplit/>
        </w:trPr>
        <w:tc>
          <w:tcPr>
            <w:tcW w:type="dxa" w:w="1633"/>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bCs/>
                <w:color w:val="12343B"/>
                <w:sz w:val="19"/>
                <w:szCs w:val="19"/>
              </w:rPr>
              <w:t xml:space="preserve">Horizonte temporal</w:t>
            </w:r>
          </w:p>
        </w:tc>
        <w:tc>
          <w:tcPr>
            <w:tcW w:type="dxa" w:w="2722"/>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val="false"/>
                <w:bCs w:val="false"/>
                <w:color w:val="1E2A30"/>
                <w:sz w:val="19"/>
                <w:szCs w:val="19"/>
              </w:rPr>
              <w:t xml:space="preserve">El período que cubre el estudio</w:t>
            </w:r>
          </w:p>
        </w:tc>
        <w:tc>
          <w:tcPr>
            <w:tcW w:type="dxa" w:w="1814"/>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val="false"/>
                <w:bCs w:val="false"/>
                <w:color w:val="1E2A30"/>
                <w:sz w:val="19"/>
                <w:szCs w:val="19"/>
              </w:rPr>
              <w:t xml:space="preserve">2026–2030</w:t>
            </w:r>
          </w:p>
        </w:tc>
        <w:tc>
          <w:tcPr>
            <w:tcW w:type="dxa" w:w="2903"/>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val="false"/>
                <w:bCs w:val="false"/>
                <w:color w:val="1E2A30"/>
                <w:sz w:val="19"/>
                <w:szCs w:val="19"/>
              </w:rPr>
              <w:t xml:space="preserve">Define cuántos años de historia y de proyección se incluyen</w:t>
            </w:r>
          </w:p>
        </w:tc>
      </w:tr>
    </w:tbl>
    <w:p>
      <w:pPr>
        <w:spacing w:after="160" w:before="0" w:line="120"/>
      </w:pP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72"/>
      </w:tblGrid>
      <w:tr>
        <w:tc>
          <w:tcPr>
            <w:tcW w:type="dxa" w:w="9072"/>
            <w:tcBorders>
              <w:top w:val="none" w:color="FFFFFF" w:sz="0"/>
              <w:left w:val="none" w:color="FFFFFF" w:sz="0"/>
              <w:bottom w:val="none" w:color="FFFFFF" w:sz="0"/>
              <w:right w:val="none" w:color="FFFFFF" w:sz="0"/>
            </w:tcBorders>
            <w:shd w:fill="F6EBD3" w:color="auto" w:val="clear"/>
            <w:tcMar>
              <w:top w:type="dxa" w:w="200"/>
              <w:left w:type="dxa" w:w="240"/>
              <w:bottom w:type="dxa" w:w="200"/>
              <w:right w:type="dxa" w:w="240"/>
            </w:tcMar>
            <w:vAlign w:val="top"/>
          </w:tcPr>
          <w:p>
            <w:pPr>
              <w:spacing w:after="80"/>
            </w:pPr>
            <w:r>
              <w:rPr>
                <w:b/>
                <w:bCs/>
                <w:color w:val="12343B"/>
                <w:sz w:val="21"/>
                <w:szCs w:val="21"/>
              </w:rPr>
              <w:t xml:space="preserve">Límite del horizonte temporal</w:t>
            </w:r>
          </w:p>
          <w:p>
            <w:pPr>
              <w:spacing w:line="290"/>
            </w:pPr>
            <w:r>
              <w:rPr>
                <w:color w:val="1E2A30"/>
                <w:sz w:val="20"/>
                <w:szCs w:val="20"/>
              </w:rPr>
              <w:t xml:space="preserve">Las proyecciones oficiales, como las de Perspectivas de la economía mundial del FMI, llegan a unos cinco años. Si un cliente pide un horizonte más largo, los años que queden fuera del rango oficial no pueden completarse con datos oficiales, y el agente lo indicará en lugar de extender las cifras por su cuenta.</w:t>
            </w:r>
          </w:p>
        </w:tc>
      </w:tr>
    </w:tbl>
    <w:p>
      <w:pPr>
        <w:spacing w:after="200" w:before="0" w:line="120"/>
      </w:pPr>
    </w:p>
    <w:p>
      <w:pPr>
        <w:pStyle w:val="Heading2"/>
      </w:pPr>
      <w:r>
        <w:t xml:space="preserve">5.2 Datos opcionales</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77"/>
        <w:gridCol w:w="3266"/>
        <w:gridCol w:w="3629"/>
      </w:tblGrid>
      <w:tr>
        <w:trPr>
          <w:tblHeader/>
        </w:trPr>
        <w:tc>
          <w:tcPr>
            <w:tcW w:type="dxa" w:w="2177"/>
            <w:tcBorders>
              <w:top w:val="single" w:color="12343B" w:sz="4"/>
              <w:left w:val="single" w:color="12343B" w:sz="4"/>
              <w:bottom w:val="single" w:color="12343B" w:sz="4"/>
              <w:right w:val="single" w:color="12343B" w:sz="4"/>
            </w:tcBorders>
            <w:shd w:fill="12343B" w:color="auto" w:val="clear"/>
            <w:tcMar>
              <w:top w:type="dxa" w:w="90"/>
              <w:left w:type="dxa" w:w="120"/>
              <w:bottom w:type="dxa" w:w="90"/>
              <w:right w:type="dxa" w:w="120"/>
            </w:tcMar>
            <w:vAlign w:val="top"/>
          </w:tcPr>
          <w:p>
            <w:r>
              <w:rPr>
                <w:b/>
                <w:bCs/>
                <w:color w:val="FFFFFF"/>
                <w:sz w:val="19"/>
                <w:szCs w:val="19"/>
              </w:rPr>
              <w:t xml:space="preserve">Dato</w:t>
            </w:r>
          </w:p>
        </w:tc>
        <w:tc>
          <w:tcPr>
            <w:tcW w:type="dxa" w:w="3266"/>
            <w:tcBorders>
              <w:top w:val="single" w:color="12343B" w:sz="4"/>
              <w:left w:val="single" w:color="12343B" w:sz="4"/>
              <w:bottom w:val="single" w:color="12343B" w:sz="4"/>
              <w:right w:val="single" w:color="12343B" w:sz="4"/>
            </w:tcBorders>
            <w:shd w:fill="12343B" w:color="auto" w:val="clear"/>
            <w:tcMar>
              <w:top w:type="dxa" w:w="90"/>
              <w:left w:type="dxa" w:w="120"/>
              <w:bottom w:type="dxa" w:w="90"/>
              <w:right w:type="dxa" w:w="120"/>
            </w:tcMar>
            <w:vAlign w:val="top"/>
          </w:tcPr>
          <w:p>
            <w:r>
              <w:rPr>
                <w:b/>
                <w:bCs/>
                <w:color w:val="FFFFFF"/>
                <w:sz w:val="19"/>
                <w:szCs w:val="19"/>
              </w:rPr>
              <w:t xml:space="preserve">Qué aporta</w:t>
            </w:r>
          </w:p>
        </w:tc>
        <w:tc>
          <w:tcPr>
            <w:tcW w:type="dxa" w:w="3629"/>
            <w:tcBorders>
              <w:top w:val="single" w:color="12343B" w:sz="4"/>
              <w:left w:val="single" w:color="12343B" w:sz="4"/>
              <w:bottom w:val="single" w:color="12343B" w:sz="4"/>
              <w:right w:val="single" w:color="12343B" w:sz="4"/>
            </w:tcBorders>
            <w:shd w:fill="12343B" w:color="auto" w:val="clear"/>
            <w:tcMar>
              <w:top w:type="dxa" w:w="90"/>
              <w:left w:type="dxa" w:w="120"/>
              <w:bottom w:type="dxa" w:w="90"/>
              <w:right w:type="dxa" w:w="120"/>
            </w:tcMar>
            <w:vAlign w:val="top"/>
          </w:tcPr>
          <w:p>
            <w:r>
              <w:rPr>
                <w:b/>
                <w:bCs/>
                <w:color w:val="FFFFFF"/>
                <w:sz w:val="19"/>
                <w:szCs w:val="19"/>
              </w:rPr>
              <w:t xml:space="preserve">Cómo se trata</w:t>
            </w:r>
          </w:p>
        </w:tc>
      </w:tr>
      <w:tr>
        <w:trPr>
          <w:cantSplit/>
        </w:trPr>
        <w:tc>
          <w:tcPr>
            <w:tcW w:type="dxa" w:w="2177"/>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bCs/>
                <w:color w:val="12343B"/>
                <w:sz w:val="19"/>
                <w:szCs w:val="19"/>
              </w:rPr>
              <w:t xml:space="preserve">Informes internos o PDF</w:t>
            </w:r>
          </w:p>
        </w:tc>
        <w:tc>
          <w:tcPr>
            <w:tcW w:type="dxa" w:w="3266"/>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val="false"/>
                <w:bCs w:val="false"/>
                <w:color w:val="1E2A30"/>
                <w:sz w:val="19"/>
                <w:szCs w:val="19"/>
              </w:rPr>
              <w:t xml:space="preserve">Estudios sectoriales, informes de mercado o análisis previos que dan contexto</w:t>
            </w:r>
          </w:p>
        </w:tc>
        <w:tc>
          <w:tcPr>
            <w:tcW w:type="dxa" w:w="3629"/>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val="false"/>
                <w:bCs w:val="false"/>
                <w:color w:val="1E2A30"/>
                <w:sz w:val="19"/>
                <w:szCs w:val="19"/>
              </w:rPr>
              <w:t xml:space="preserve">Cada cifra extraída se cita con la página de origen y se confirma con el cliente antes de usarla</w:t>
            </w:r>
          </w:p>
        </w:tc>
      </w:tr>
      <w:tr>
        <w:trPr>
          <w:cantSplit/>
        </w:trPr>
        <w:tc>
          <w:tcPr>
            <w:tcW w:type="dxa" w:w="2177"/>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bCs/>
                <w:color w:val="12343B"/>
                <w:sz w:val="19"/>
                <w:szCs w:val="19"/>
              </w:rPr>
              <w:t xml:space="preserve">Supuestos financieros del cliente</w:t>
            </w:r>
          </w:p>
        </w:tc>
        <w:tc>
          <w:tcPr>
            <w:tcW w:type="dxa" w:w="3266"/>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val="false"/>
                <w:bCs w:val="false"/>
                <w:color w:val="1E2A30"/>
                <w:sz w:val="19"/>
                <w:szCs w:val="19"/>
              </w:rPr>
              <w:t xml:space="preserve">Los planes propios del cliente, como el tipo de cambio presupuestado o los aumentos de precio previstos</w:t>
            </w:r>
          </w:p>
        </w:tc>
        <w:tc>
          <w:tcPr>
            <w:tcW w:type="dxa" w:w="3629"/>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val="false"/>
                <w:bCs w:val="false"/>
                <w:color w:val="1E2A30"/>
                <w:sz w:val="19"/>
                <w:szCs w:val="19"/>
              </w:rPr>
              <w:t xml:space="preserve">Se usan para comparar el plan del cliente con las perspectivas oficiales; siempre se etiquetan como «supuesto del cliente»</w:t>
            </w:r>
          </w:p>
        </w:tc>
      </w:tr>
      <w:tr>
        <w:trPr>
          <w:cantSplit/>
        </w:trPr>
        <w:tc>
          <w:tcPr>
            <w:tcW w:type="dxa" w:w="2177"/>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bCs/>
                <w:color w:val="12343B"/>
                <w:sz w:val="19"/>
                <w:szCs w:val="19"/>
              </w:rPr>
              <w:t xml:space="preserve">Preocupaciones específicas</w:t>
            </w:r>
          </w:p>
        </w:tc>
        <w:tc>
          <w:tcPr>
            <w:tcW w:type="dxa" w:w="3266"/>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val="false"/>
                <w:bCs w:val="false"/>
                <w:color w:val="1E2A30"/>
                <w:sz w:val="19"/>
                <w:szCs w:val="19"/>
              </w:rPr>
              <w:t xml:space="preserve">Temas que el cliente quiere destacar, como su dependencia de insumos importados</w:t>
            </w:r>
          </w:p>
        </w:tc>
        <w:tc>
          <w:tcPr>
            <w:tcW w:type="dxa" w:w="3629"/>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val="false"/>
                <w:bCs w:val="false"/>
                <w:color w:val="1E2A30"/>
                <w:sz w:val="19"/>
                <w:szCs w:val="19"/>
              </w:rPr>
              <w:t xml:space="preserve">Se tratan con mayor profundidad en el informe y en la matriz de riesgos</w:t>
            </w:r>
          </w:p>
        </w:tc>
      </w:tr>
      <w:tr>
        <w:trPr>
          <w:cantSplit/>
        </w:trPr>
        <w:tc>
          <w:tcPr>
            <w:tcW w:type="dxa" w:w="2177"/>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bCs/>
                <w:color w:val="12343B"/>
                <w:sz w:val="19"/>
                <w:szCs w:val="19"/>
              </w:rPr>
              <w:t xml:space="preserve">Preferencias de entrega</w:t>
            </w:r>
          </w:p>
        </w:tc>
        <w:tc>
          <w:tcPr>
            <w:tcW w:type="dxa" w:w="3266"/>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val="false"/>
                <w:bCs w:val="false"/>
                <w:color w:val="1E2A30"/>
                <w:sz w:val="19"/>
                <w:szCs w:val="19"/>
              </w:rPr>
              <w:t xml:space="preserve">Idioma y formato de archivo (PDF o Word)</w:t>
            </w:r>
          </w:p>
        </w:tc>
        <w:tc>
          <w:tcPr>
            <w:tcW w:type="dxa" w:w="3629"/>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val="false"/>
                <w:bCs w:val="false"/>
                <w:color w:val="1E2A30"/>
                <w:sz w:val="19"/>
                <w:szCs w:val="19"/>
              </w:rPr>
              <w:t xml:space="preserve">Se aplican en la etapa de ensamblaje</w:t>
            </w:r>
          </w:p>
        </w:tc>
      </w:tr>
      <w:tr>
        <w:trPr>
          <w:cantSplit/>
        </w:trPr>
        <w:tc>
          <w:tcPr>
            <w:tcW w:type="dxa" w:w="2177"/>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bCs/>
                <w:color w:val="12343B"/>
                <w:sz w:val="19"/>
                <w:szCs w:val="19"/>
              </w:rPr>
              <w:t xml:space="preserve">Fecha de corte de los datos</w:t>
            </w:r>
          </w:p>
        </w:tc>
        <w:tc>
          <w:tcPr>
            <w:tcW w:type="dxa" w:w="3266"/>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val="false"/>
                <w:bCs w:val="false"/>
                <w:color w:val="1E2A30"/>
                <w:sz w:val="19"/>
                <w:szCs w:val="19"/>
              </w:rPr>
              <w:t xml:space="preserve">Qué edición de los datos oficiales usar</w:t>
            </w:r>
          </w:p>
        </w:tc>
        <w:tc>
          <w:tcPr>
            <w:tcW w:type="dxa" w:w="3629"/>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val="false"/>
                <w:bCs w:val="false"/>
                <w:color w:val="1E2A30"/>
                <w:sz w:val="19"/>
                <w:szCs w:val="19"/>
              </w:rPr>
              <w:t xml:space="preserve">Si no se indica, se usa la edición más reciente disponible</w:t>
            </w:r>
          </w:p>
        </w:tc>
      </w:tr>
    </w:tbl>
    <w:p>
      <w:pPr>
        <w:spacing w:after="160" w:before="0" w:line="120"/>
      </w:pPr>
    </w:p>
    <w:p>
      <w:pPr>
        <w:pStyle w:val="Heading1"/>
      </w:pPr>
      <w:r>
        <w:t xml:space="preserve">6. Lo que recibe el cliente (entregables)</w:t>
      </w:r>
    </w:p>
    <w:p>
      <w:pPr>
        <w:spacing w:after="140" w:line="300"/>
      </w:pPr>
      <w:r>
        <w:t xml:space="preserve">Cada solicitud produce tres documentos. Todos se construyen a partir del mismo Registro de Cifras Verificadas, por lo que una cifra que aparece en más de uno de ellos es siempre idéntica.</w:t>
      </w:r>
    </w:p>
    <w:p>
      <w:pPr>
        <w:keepNext/>
        <w:spacing w:after="60" w:before="120"/>
        <w:jc w:val="left"/>
      </w:pPr>
      <w:r>
        <w:drawing>
          <wp:inline distT="0" distB="0" distL="0" distR="0">
            <wp:extent cx="5762625" cy="1733550"/>
            <wp:effectExtent t="0" r="0" b="0" l="0"/>
            <wp:docPr id="3" name="deliverables" descr="deliverables" title="deliver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2625" cy="1733550"/>
                    </a:xfrm>
                    <a:prstGeom prst="rect">
                      <a:avLst/>
                    </a:prstGeom>
                  </pic:spPr>
                </pic:pic>
              </a:graphicData>
            </a:graphic>
          </wp:inline>
        </w:drawing>
      </w:r>
    </w:p>
    <w:p>
      <w:pPr>
        <w:spacing w:after="240"/>
        <w:jc w:val="center"/>
      </w:pPr>
      <w:r>
        <w:rPr>
          <w:i/>
          <w:iCs/>
          <w:color w:val="5B6770"/>
          <w:sz w:val="17"/>
          <w:szCs w:val="17"/>
        </w:rPr>
        <w:t xml:space="preserve">Figura 3. Los tres entregables (el número de páginas y filas son metas de diseño)</w:t>
      </w:r>
    </w:p>
    <w:p>
      <w:pPr>
        <w:pStyle w:val="Heading2"/>
      </w:pPr>
      <w:r>
        <w:t xml:space="preserve">6.1 Informe de Impacto Macroeconómico</w:t>
      </w:r>
    </w:p>
    <w:p>
      <w:pPr>
        <w:spacing w:after="140" w:line="300"/>
      </w:pPr>
      <w:r>
        <w:rPr>
          <w:b/>
          <w:bCs/>
        </w:rPr>
        <w:t xml:space="preserve">Qué es.</w:t>
      </w:r>
      <w:r>
        <w:t xml:space="preserve"> Un análisis escrito de las perspectivas económicas del país y de lo que significan para el sector del cliente. Sigue la secuencia del FMI: evolución reciente, perspectivas, riesgos e implicaciones.</w:t>
      </w:r>
    </w:p>
    <w:p>
      <w:pPr>
        <w:spacing w:after="140" w:line="300"/>
      </w:pPr>
      <w:r>
        <w:rPr>
          <w:b/>
          <w:bCs/>
        </w:rPr>
        <w:t xml:space="preserve">Valor para el negocio.</w:t>
      </w:r>
      <w:r>
        <w:t xml:space="preserve"> Ofrece a la dirección del cliente una visión única y con fuentes de la economía en la que opera, como apoyo a decisiones como entrar en un mercado, expandirse, fijar precios o elaborar un presupuesto.</w:t>
      </w:r>
    </w:p>
    <w:p>
      <w:pPr>
        <w:spacing w:after="140" w:line="300"/>
      </w:pPr>
      <w:r>
        <w:rPr>
          <w:b/>
          <w:bCs/>
        </w:rPr>
        <w:t xml:space="preserve">Contenido principal.</w:t>
      </w:r>
      <w:r>
        <w:t xml:space="preserve"> Panorama económico; crecimiento (PIB), incluido el sector del cliente; inflación y su efecto en los costos; tasas de interés y política del banco central; finanzas públicas e impuestos; tipo de cambio y comercio exterior; impacto específico en el sector; escenarios base, optimista y pesimista; conclusiones. Estructura completa en el Anexo A.</w:t>
      </w:r>
    </w:p>
    <w:p>
      <w:pPr>
        <w:pStyle w:val="Heading2"/>
      </w:pPr>
      <w:r>
        <w:t xml:space="preserve">6.2 Matriz de Riesgos y Oportunidades</w:t>
      </w:r>
    </w:p>
    <w:p>
      <w:pPr>
        <w:spacing w:after="140" w:line="300"/>
      </w:pPr>
      <w:r>
        <w:rPr>
          <w:b/>
          <w:bCs/>
        </w:rPr>
        <w:t xml:space="preserve">Qué es.</w:t>
      </w:r>
      <w:r>
        <w:t xml:space="preserve"> Un plan de contingencia breve basado en la lógica de la Matriz de Evaluación de Riesgos del FMI. Cada riesgo se califica según su probabilidad y su posible daño, y cada uno tiene una respuesta prevista y una señal de alerta.</w:t>
      </w:r>
    </w:p>
    <w:p>
      <w:pPr>
        <w:spacing w:after="140" w:line="300"/>
      </w:pPr>
      <w:r>
        <w:rPr>
          <w:b/>
          <w:bCs/>
        </w:rPr>
        <w:t xml:space="preserve">Valor para el negocio.</w:t>
      </w:r>
      <w:r>
        <w:t xml:space="preserve"> Convierte las perspectivas económicas en un plan práctico: qué puede salir mal, qué puede salir bien, cómo prepararse y qué indicador le dice al cliente que es momento de actuar.</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22"/>
        <w:gridCol w:w="6350"/>
      </w:tblGrid>
      <w:tr>
        <w:trPr>
          <w:tblHeader/>
        </w:trPr>
        <w:tc>
          <w:tcPr>
            <w:tcW w:type="dxa" w:w="2722"/>
            <w:tcBorders>
              <w:top w:val="single" w:color="12343B" w:sz="4"/>
              <w:left w:val="single" w:color="12343B" w:sz="4"/>
              <w:bottom w:val="single" w:color="12343B" w:sz="4"/>
              <w:right w:val="single" w:color="12343B" w:sz="4"/>
            </w:tcBorders>
            <w:shd w:fill="12343B" w:color="auto" w:val="clear"/>
            <w:tcMar>
              <w:top w:type="dxa" w:w="90"/>
              <w:left w:type="dxa" w:w="120"/>
              <w:bottom w:type="dxa" w:w="90"/>
              <w:right w:type="dxa" w:w="120"/>
            </w:tcMar>
            <w:vAlign w:val="top"/>
          </w:tcPr>
          <w:p>
            <w:r>
              <w:rPr>
                <w:b/>
                <w:bCs/>
                <w:color w:val="FFFFFF"/>
                <w:sz w:val="19"/>
                <w:szCs w:val="19"/>
              </w:rPr>
              <w:t xml:space="preserve">Columna</w:t>
            </w:r>
          </w:p>
        </w:tc>
        <w:tc>
          <w:tcPr>
            <w:tcW w:type="dxa" w:w="6350"/>
            <w:tcBorders>
              <w:top w:val="single" w:color="12343B" w:sz="4"/>
              <w:left w:val="single" w:color="12343B" w:sz="4"/>
              <w:bottom w:val="single" w:color="12343B" w:sz="4"/>
              <w:right w:val="single" w:color="12343B" w:sz="4"/>
            </w:tcBorders>
            <w:shd w:fill="12343B" w:color="auto" w:val="clear"/>
            <w:tcMar>
              <w:top w:type="dxa" w:w="90"/>
              <w:left w:type="dxa" w:w="120"/>
              <w:bottom w:type="dxa" w:w="90"/>
              <w:right w:type="dxa" w:w="120"/>
            </w:tcMar>
            <w:vAlign w:val="top"/>
          </w:tcPr>
          <w:p>
            <w:r>
              <w:rPr>
                <w:b/>
                <w:bCs/>
                <w:color w:val="FFFFFF"/>
                <w:sz w:val="19"/>
                <w:szCs w:val="19"/>
              </w:rPr>
              <w:t xml:space="preserve">Qué registra</w:t>
            </w:r>
          </w:p>
        </w:tc>
      </w:tr>
      <w:tr>
        <w:trPr>
          <w:cantSplit/>
        </w:trPr>
        <w:tc>
          <w:tcPr>
            <w:tcW w:type="dxa" w:w="2722"/>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bCs/>
                <w:color w:val="12343B"/>
                <w:sz w:val="19"/>
                <w:szCs w:val="19"/>
              </w:rPr>
              <w:t xml:space="preserve">Riesgo</w:t>
            </w:r>
          </w:p>
        </w:tc>
        <w:tc>
          <w:tcPr>
            <w:tcW w:type="dxa" w:w="6350"/>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val="false"/>
                <w:bCs w:val="false"/>
                <w:color w:val="1E2A30"/>
                <w:sz w:val="19"/>
                <w:szCs w:val="19"/>
              </w:rPr>
              <w:t xml:space="preserve">Qué podría ocurrir y por qué (por ejemplo inflación, devaluación, tasas de interés, política tributaria, costos de insumos, menor demanda)</w:t>
            </w:r>
          </w:p>
        </w:tc>
      </w:tr>
      <w:tr>
        <w:trPr>
          <w:cantSplit/>
        </w:trPr>
        <w:tc>
          <w:tcPr>
            <w:tcW w:type="dxa" w:w="2722"/>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bCs/>
                <w:color w:val="12343B"/>
                <w:sz w:val="19"/>
                <w:szCs w:val="19"/>
              </w:rPr>
              <w:t xml:space="preserve">Probabilidad</w:t>
            </w:r>
          </w:p>
        </w:tc>
        <w:tc>
          <w:tcPr>
            <w:tcW w:type="dxa" w:w="6350"/>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val="false"/>
                <w:bCs w:val="false"/>
                <w:color w:val="1E2A30"/>
                <w:sz w:val="19"/>
                <w:szCs w:val="19"/>
              </w:rPr>
              <w:t xml:space="preserve">Baja, media o alta, según una escala definida al inicio del documento</w:t>
            </w:r>
          </w:p>
        </w:tc>
      </w:tr>
      <w:tr>
        <w:trPr>
          <w:cantSplit/>
        </w:trPr>
        <w:tc>
          <w:tcPr>
            <w:tcW w:type="dxa" w:w="2722"/>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bCs/>
                <w:color w:val="12343B"/>
                <w:sz w:val="19"/>
                <w:szCs w:val="19"/>
              </w:rPr>
              <w:t xml:space="preserve">Impacto esperado</w:t>
            </w:r>
          </w:p>
        </w:tc>
        <w:tc>
          <w:tcPr>
            <w:tcW w:type="dxa" w:w="6350"/>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val="false"/>
                <w:bCs w:val="false"/>
                <w:color w:val="1E2A30"/>
                <w:sz w:val="19"/>
                <w:szCs w:val="19"/>
              </w:rPr>
              <w:t xml:space="preserve">Bajo, medio o alto, con la magnitud del efecto cuando los datos lo permitan</w:t>
            </w:r>
          </w:p>
        </w:tc>
      </w:tr>
      <w:tr>
        <w:trPr>
          <w:cantSplit/>
        </w:trPr>
        <w:tc>
          <w:tcPr>
            <w:tcW w:type="dxa" w:w="2722"/>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bCs/>
                <w:color w:val="12343B"/>
                <w:sz w:val="19"/>
                <w:szCs w:val="19"/>
              </w:rPr>
              <w:t xml:space="preserve">Horizonte temporal</w:t>
            </w:r>
          </w:p>
        </w:tc>
        <w:tc>
          <w:tcPr>
            <w:tcW w:type="dxa" w:w="6350"/>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val="false"/>
                <w:bCs w:val="false"/>
                <w:color w:val="1E2A30"/>
                <w:sz w:val="19"/>
                <w:szCs w:val="19"/>
              </w:rPr>
              <w:t xml:space="preserve">Corto, mediano o largo plazo</w:t>
            </w:r>
          </w:p>
        </w:tc>
      </w:tr>
      <w:tr>
        <w:trPr>
          <w:cantSplit/>
        </w:trPr>
        <w:tc>
          <w:tcPr>
            <w:tcW w:type="dxa" w:w="2722"/>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bCs/>
                <w:color w:val="12343B"/>
                <w:sz w:val="19"/>
                <w:szCs w:val="19"/>
              </w:rPr>
              <w:t xml:space="preserve">Respuesta</w:t>
            </w:r>
          </w:p>
        </w:tc>
        <w:tc>
          <w:tcPr>
            <w:tcW w:type="dxa" w:w="6350"/>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val="false"/>
                <w:bCs w:val="false"/>
                <w:color w:val="1E2A30"/>
                <w:sz w:val="19"/>
                <w:szCs w:val="19"/>
              </w:rPr>
              <w:t xml:space="preserve">La acción práctica, por ejemplo cláusulas de precio, cobertura cambiaria natural, deuda a tasa fija o variable</w:t>
            </w:r>
          </w:p>
        </w:tc>
      </w:tr>
      <w:tr>
        <w:trPr>
          <w:cantSplit/>
        </w:trPr>
        <w:tc>
          <w:tcPr>
            <w:tcW w:type="dxa" w:w="2722"/>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bCs/>
                <w:color w:val="12343B"/>
                <w:sz w:val="19"/>
                <w:szCs w:val="19"/>
              </w:rPr>
              <w:t xml:space="preserve">Señal de alerta temprana</w:t>
            </w:r>
          </w:p>
        </w:tc>
        <w:tc>
          <w:tcPr>
            <w:tcW w:type="dxa" w:w="6350"/>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val="false"/>
                <w:bCs w:val="false"/>
                <w:color w:val="1E2A30"/>
                <w:sz w:val="19"/>
                <w:szCs w:val="19"/>
              </w:rPr>
              <w:t xml:space="preserve">El indicador que se debe vigilar y el nivel que debe activar la respuesta</w:t>
            </w:r>
          </w:p>
        </w:tc>
      </w:tr>
    </w:tbl>
    <w:p>
      <w:pPr>
        <w:spacing w:after="160" w:before="0" w:line="120"/>
      </w:pPr>
    </w:p>
    <w:p>
      <w:pPr>
        <w:keepNext/>
        <w:spacing w:after="60" w:before="120"/>
        <w:jc w:val="center"/>
      </w:pPr>
      <w:r>
        <w:drawing>
          <wp:inline distT="0" distB="0" distL="0" distR="0">
            <wp:extent cx="4019550" cy="2743200"/>
            <wp:effectExtent t="0" r="0" b="0" l="0"/>
            <wp:docPr id="4" name="ram" descr="ram" title="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19550" cy="2743200"/>
                    </a:xfrm>
                    <a:prstGeom prst="rect">
                      <a:avLst/>
                    </a:prstGeom>
                  </pic:spPr>
                </pic:pic>
              </a:graphicData>
            </a:graphic>
          </wp:inline>
        </w:drawing>
      </w:r>
    </w:p>
    <w:p>
      <w:pPr>
        <w:spacing w:after="240"/>
        <w:jc w:val="center"/>
      </w:pPr>
      <w:r>
        <w:rPr>
          <w:i/>
          <w:iCs/>
          <w:color w:val="5B6770"/>
          <w:sz w:val="17"/>
          <w:szCs w:val="17"/>
        </w:rPr>
        <w:t xml:space="preserve">Figura 4. Cómo se ubican los riesgos en la matriz (solo formato, sin datos)</w:t>
      </w:r>
    </w:p>
    <w:p>
      <w:pPr>
        <w:pStyle w:val="Heading2"/>
      </w:pPr>
      <w:r>
        <w:t xml:space="preserve">6.3 Base de Datos de Indicadores Clave</w:t>
      </w:r>
    </w:p>
    <w:p>
      <w:pPr>
        <w:spacing w:after="140" w:line="300"/>
      </w:pPr>
      <w:r>
        <w:rPr>
          <w:b/>
          <w:bCs/>
        </w:rPr>
        <w:t xml:space="preserve">Qué es.</w:t>
      </w:r>
      <w:r>
        <w:t xml:space="preserve"> Un archivo Excel con las cifras económicas históricas y proyectadas usadas en el estudio, con una meta de más de 100 filas. Se construye directamente desde el Registro de Cifras Verificadas mediante reglas fijas; no lo redacta la IA.</w:t>
      </w:r>
    </w:p>
    <w:p>
      <w:pPr>
        <w:spacing w:after="140" w:line="300"/>
      </w:pPr>
      <w:r>
        <w:rPr>
          <w:b/>
          <w:bCs/>
        </w:rPr>
        <w:t xml:space="preserve">Valor para el negocio.</w:t>
      </w:r>
      <w:r>
        <w:t xml:space="preserve"> Es la información de entrada limpia para las fases financieras posteriores, por ejemplo el cálculo del costo de capital. Las cifras de los modelos coincidirán con las del informe, sin volver a digitarlas.</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68"/>
        <w:gridCol w:w="6804"/>
      </w:tblGrid>
      <w:tr>
        <w:trPr>
          <w:tblHeader/>
        </w:trPr>
        <w:tc>
          <w:tcPr>
            <w:tcW w:type="dxa" w:w="2268"/>
            <w:tcBorders>
              <w:top w:val="single" w:color="12343B" w:sz="4"/>
              <w:left w:val="single" w:color="12343B" w:sz="4"/>
              <w:bottom w:val="single" w:color="12343B" w:sz="4"/>
              <w:right w:val="single" w:color="12343B" w:sz="4"/>
            </w:tcBorders>
            <w:shd w:fill="12343B" w:color="auto" w:val="clear"/>
            <w:tcMar>
              <w:top w:type="dxa" w:w="90"/>
              <w:left w:type="dxa" w:w="120"/>
              <w:bottom w:type="dxa" w:w="90"/>
              <w:right w:type="dxa" w:w="120"/>
            </w:tcMar>
            <w:vAlign w:val="top"/>
          </w:tcPr>
          <w:p>
            <w:r>
              <w:rPr>
                <w:b/>
                <w:bCs/>
                <w:color w:val="FFFFFF"/>
                <w:sz w:val="19"/>
                <w:szCs w:val="19"/>
              </w:rPr>
              <w:t xml:space="preserve">Hoja</w:t>
            </w:r>
          </w:p>
        </w:tc>
        <w:tc>
          <w:tcPr>
            <w:tcW w:type="dxa" w:w="6804"/>
            <w:tcBorders>
              <w:top w:val="single" w:color="12343B" w:sz="4"/>
              <w:left w:val="single" w:color="12343B" w:sz="4"/>
              <w:bottom w:val="single" w:color="12343B" w:sz="4"/>
              <w:right w:val="single" w:color="12343B" w:sz="4"/>
            </w:tcBorders>
            <w:shd w:fill="12343B" w:color="auto" w:val="clear"/>
            <w:tcMar>
              <w:top w:type="dxa" w:w="90"/>
              <w:left w:type="dxa" w:w="120"/>
              <w:bottom w:type="dxa" w:w="90"/>
              <w:right w:type="dxa" w:w="120"/>
            </w:tcMar>
            <w:vAlign w:val="top"/>
          </w:tcPr>
          <w:p>
            <w:r>
              <w:rPr>
                <w:b/>
                <w:bCs/>
                <w:color w:val="FFFFFF"/>
                <w:sz w:val="19"/>
                <w:szCs w:val="19"/>
              </w:rPr>
              <w:t xml:space="preserve">Contenido</w:t>
            </w:r>
          </w:p>
        </w:tc>
      </w:tr>
      <w:tr>
        <w:trPr>
          <w:cantSplit/>
        </w:trPr>
        <w:tc>
          <w:tcPr>
            <w:tcW w:type="dxa" w:w="2268"/>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bCs/>
                <w:color w:val="12343B"/>
                <w:sz w:val="19"/>
                <w:szCs w:val="19"/>
              </w:rPr>
              <w:t xml:space="preserve">Indicadores</w:t>
            </w:r>
          </w:p>
        </w:tc>
        <w:tc>
          <w:tcPr>
            <w:tcW w:type="dxa" w:w="6804"/>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val="false"/>
                <w:bCs w:val="false"/>
                <w:color w:val="1E2A30"/>
                <w:sz w:val="19"/>
                <w:szCs w:val="19"/>
              </w:rPr>
              <w:t xml:space="preserve">Una fila por indicador y año: nombre, código oficial, año, valor, unidad, real o proyectado, fuente</w:t>
            </w:r>
          </w:p>
        </w:tc>
      </w:tr>
      <w:tr>
        <w:trPr>
          <w:cantSplit/>
        </w:trPr>
        <w:tc>
          <w:tcPr>
            <w:tcW w:type="dxa" w:w="2268"/>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bCs/>
                <w:color w:val="12343B"/>
                <w:sz w:val="19"/>
                <w:szCs w:val="19"/>
              </w:rPr>
              <w:t xml:space="preserve">Fuentes</w:t>
            </w:r>
          </w:p>
        </w:tc>
        <w:tc>
          <w:tcPr>
            <w:tcW w:type="dxa" w:w="6804"/>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val="false"/>
                <w:bCs w:val="false"/>
                <w:color w:val="1E2A30"/>
                <w:sz w:val="19"/>
                <w:szCs w:val="19"/>
              </w:rPr>
              <w:t xml:space="preserve">Cada publicador, enlace y fecha de consulta: la pista de auditoría</w:t>
            </w:r>
          </w:p>
        </w:tc>
      </w:tr>
      <w:tr>
        <w:trPr>
          <w:cantSplit/>
        </w:trPr>
        <w:tc>
          <w:tcPr>
            <w:tcW w:type="dxa" w:w="2268"/>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bCs/>
                <w:color w:val="12343B"/>
                <w:sz w:val="19"/>
                <w:szCs w:val="19"/>
              </w:rPr>
              <w:t xml:space="preserve">Metadatos</w:t>
            </w:r>
          </w:p>
        </w:tc>
        <w:tc>
          <w:tcPr>
            <w:tcW w:type="dxa" w:w="6804"/>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val="false"/>
                <w:bCs w:val="false"/>
                <w:color w:val="1E2A30"/>
                <w:sz w:val="19"/>
                <w:szCs w:val="19"/>
              </w:rPr>
              <w:t xml:space="preserve">País, moneda, edición de los datos, fecha de elaboración y definición de cada indicador</w:t>
            </w:r>
          </w:p>
        </w:tc>
      </w:tr>
    </w:tbl>
    <w:p>
      <w:pPr>
        <w:spacing w:after="160" w:before="0" w:line="120"/>
      </w:pP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40"/>
        <w:gridCol w:w="6532"/>
      </w:tblGrid>
      <w:tr>
        <w:trPr>
          <w:tblHeader/>
        </w:trPr>
        <w:tc>
          <w:tcPr>
            <w:tcW w:type="dxa" w:w="2540"/>
            <w:tcBorders>
              <w:top w:val="single" w:color="12343B" w:sz="4"/>
              <w:left w:val="single" w:color="12343B" w:sz="4"/>
              <w:bottom w:val="single" w:color="12343B" w:sz="4"/>
              <w:right w:val="single" w:color="12343B" w:sz="4"/>
            </w:tcBorders>
            <w:shd w:fill="12343B" w:color="auto" w:val="clear"/>
            <w:tcMar>
              <w:top w:type="dxa" w:w="90"/>
              <w:left w:type="dxa" w:w="120"/>
              <w:bottom w:type="dxa" w:w="90"/>
              <w:right w:type="dxa" w:w="120"/>
            </w:tcMar>
            <w:vAlign w:val="top"/>
          </w:tcPr>
          <w:p>
            <w:r>
              <w:rPr>
                <w:b/>
                <w:bCs/>
                <w:color w:val="FFFFFF"/>
                <w:sz w:val="19"/>
                <w:szCs w:val="19"/>
              </w:rPr>
              <w:t xml:space="preserve">Grupo de indicadores</w:t>
            </w:r>
          </w:p>
        </w:tc>
        <w:tc>
          <w:tcPr>
            <w:tcW w:type="dxa" w:w="6532"/>
            <w:tcBorders>
              <w:top w:val="single" w:color="12343B" w:sz="4"/>
              <w:left w:val="single" w:color="12343B" w:sz="4"/>
              <w:bottom w:val="single" w:color="12343B" w:sz="4"/>
              <w:right w:val="single" w:color="12343B" w:sz="4"/>
            </w:tcBorders>
            <w:shd w:fill="12343B" w:color="auto" w:val="clear"/>
            <w:tcMar>
              <w:top w:type="dxa" w:w="90"/>
              <w:left w:type="dxa" w:w="120"/>
              <w:bottom w:type="dxa" w:w="90"/>
              <w:right w:type="dxa" w:w="120"/>
            </w:tcMar>
            <w:vAlign w:val="top"/>
          </w:tcPr>
          <w:p>
            <w:r>
              <w:rPr>
                <w:b/>
                <w:bCs/>
                <w:color w:val="FFFFFF"/>
                <w:sz w:val="19"/>
                <w:szCs w:val="19"/>
              </w:rPr>
              <w:t xml:space="preserve">Ejemplos</w:t>
            </w:r>
          </w:p>
        </w:tc>
      </w:tr>
      <w:tr>
        <w:trPr>
          <w:cantSplit/>
        </w:trPr>
        <w:tc>
          <w:tcPr>
            <w:tcW w:type="dxa" w:w="2540"/>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bCs/>
                <w:color w:val="12343B"/>
                <w:sz w:val="19"/>
                <w:szCs w:val="19"/>
              </w:rPr>
              <w:t xml:space="preserve">Cuentas nacionales</w:t>
            </w:r>
          </w:p>
        </w:tc>
        <w:tc>
          <w:tcPr>
            <w:tcW w:type="dxa" w:w="6532"/>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val="false"/>
                <w:bCs w:val="false"/>
                <w:color w:val="1E2A30"/>
                <w:sz w:val="19"/>
                <w:szCs w:val="19"/>
              </w:rPr>
              <w:t xml:space="preserve">Crecimiento del PIB real, PIB nominal, PIB per cápita, PIB sectorial, inversión, consumo de los hogares</w:t>
            </w:r>
          </w:p>
        </w:tc>
      </w:tr>
      <w:tr>
        <w:trPr>
          <w:cantSplit/>
        </w:trPr>
        <w:tc>
          <w:tcPr>
            <w:tcW w:type="dxa" w:w="2540"/>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bCs/>
                <w:color w:val="12343B"/>
                <w:sz w:val="19"/>
                <w:szCs w:val="19"/>
              </w:rPr>
              <w:t xml:space="preserve">Precios</w:t>
            </w:r>
          </w:p>
        </w:tc>
        <w:tc>
          <w:tcPr>
            <w:tcW w:type="dxa" w:w="6532"/>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val="false"/>
                <w:bCs w:val="false"/>
                <w:color w:val="1E2A30"/>
                <w:sz w:val="19"/>
                <w:szCs w:val="19"/>
              </w:rPr>
              <w:t xml:space="preserve">Inflación al consumidor, inflación subyacente, precios al productor</w:t>
            </w:r>
          </w:p>
        </w:tc>
      </w:tr>
      <w:tr>
        <w:trPr>
          <w:cantSplit/>
        </w:trPr>
        <w:tc>
          <w:tcPr>
            <w:tcW w:type="dxa" w:w="2540"/>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bCs/>
                <w:color w:val="12343B"/>
                <w:sz w:val="19"/>
                <w:szCs w:val="19"/>
              </w:rPr>
              <w:t xml:space="preserve">Monetarios</w:t>
            </w:r>
          </w:p>
        </w:tc>
        <w:tc>
          <w:tcPr>
            <w:tcW w:type="dxa" w:w="6532"/>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val="false"/>
                <w:bCs w:val="false"/>
                <w:color w:val="1E2A30"/>
                <w:sz w:val="19"/>
                <w:szCs w:val="19"/>
              </w:rPr>
              <w:t xml:space="preserve">Tasa de política monetaria, tasas activas y pasivas, oferta monetaria, reservas internacionales</w:t>
            </w:r>
          </w:p>
        </w:tc>
      </w:tr>
      <w:tr>
        <w:trPr>
          <w:cantSplit/>
        </w:trPr>
        <w:tc>
          <w:tcPr>
            <w:tcW w:type="dxa" w:w="2540"/>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bCs/>
                <w:color w:val="12343B"/>
                <w:sz w:val="19"/>
                <w:szCs w:val="19"/>
              </w:rPr>
              <w:t xml:space="preserve">Finanzas públicas</w:t>
            </w:r>
          </w:p>
        </w:tc>
        <w:tc>
          <w:tcPr>
            <w:tcW w:type="dxa" w:w="6532"/>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val="false"/>
                <w:bCs w:val="false"/>
                <w:color w:val="1E2A30"/>
                <w:sz w:val="19"/>
                <w:szCs w:val="19"/>
              </w:rPr>
              <w:t xml:space="preserve">Balance fiscal, deuda pública, ingresos, gastos</w:t>
            </w:r>
          </w:p>
        </w:tc>
      </w:tr>
      <w:tr>
        <w:trPr>
          <w:cantSplit/>
        </w:trPr>
        <w:tc>
          <w:tcPr>
            <w:tcW w:type="dxa" w:w="2540"/>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bCs/>
                <w:color w:val="12343B"/>
                <w:sz w:val="19"/>
                <w:szCs w:val="19"/>
              </w:rPr>
              <w:t xml:space="preserve">Sector externo</w:t>
            </w:r>
          </w:p>
        </w:tc>
        <w:tc>
          <w:tcPr>
            <w:tcW w:type="dxa" w:w="6532"/>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val="false"/>
                <w:bCs w:val="false"/>
                <w:color w:val="1E2A30"/>
                <w:sz w:val="19"/>
                <w:szCs w:val="19"/>
              </w:rPr>
              <w:t xml:space="preserve">Tipo de cambio frente al dólar, cuenta corriente, balanza comercial, exportaciones, importaciones</w:t>
            </w:r>
          </w:p>
        </w:tc>
      </w:tr>
      <w:tr>
        <w:trPr>
          <w:cantSplit/>
        </w:trPr>
        <w:tc>
          <w:tcPr>
            <w:tcW w:type="dxa" w:w="2540"/>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bCs/>
                <w:color w:val="12343B"/>
                <w:sz w:val="19"/>
                <w:szCs w:val="19"/>
              </w:rPr>
              <w:t xml:space="preserve">Trabajo y población</w:t>
            </w:r>
          </w:p>
        </w:tc>
        <w:tc>
          <w:tcPr>
            <w:tcW w:type="dxa" w:w="6532"/>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val="false"/>
                <w:bCs w:val="false"/>
                <w:color w:val="1E2A30"/>
                <w:sz w:val="19"/>
                <w:szCs w:val="19"/>
              </w:rPr>
              <w:t xml:space="preserve">Tasa de desempleo, fuerza laboral, población</w:t>
            </w:r>
          </w:p>
        </w:tc>
      </w:tr>
    </w:tbl>
    <w:p>
      <w:pPr>
        <w:spacing w:after="160" w:before="0" w:line="120"/>
      </w:pPr>
    </w:p>
    <w:p>
      <w:pPr>
        <w:pStyle w:val="Heading1"/>
      </w:pPr>
      <w:r>
        <w:t xml:space="preserve">7. Cómo funciona el agente, paso a paso</w:t>
      </w:r>
    </w:p>
    <w:p>
      <w:pPr>
        <w:spacing w:after="140" w:line="300"/>
      </w:pPr>
      <w:r>
        <w:t xml:space="preserve">El proceso se describe a nivel de dirección. El diseño técnico corresponde a la fase de arquitectura.</w:t>
      </w:r>
    </w:p>
    <w:p>
      <w:pPr>
        <w:keepNext/>
        <w:spacing w:after="60" w:before="120"/>
        <w:jc w:val="left"/>
      </w:pPr>
      <w:r>
        <w:drawing>
          <wp:inline distT="0" distB="0" distL="0" distR="0">
            <wp:extent cx="5762625" cy="1924050"/>
            <wp:effectExtent t="0" r="0" b="0" l="0"/>
            <wp:docPr id="5" name="flow" descr="flow" title="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62625" cy="1924050"/>
                    </a:xfrm>
                    <a:prstGeom prst="rect">
                      <a:avLst/>
                    </a:prstGeom>
                  </pic:spPr>
                </pic:pic>
              </a:graphicData>
            </a:graphic>
          </wp:inline>
        </w:drawing>
      </w:r>
    </w:p>
    <w:p>
      <w:pPr>
        <w:spacing w:after="240"/>
        <w:jc w:val="center"/>
      </w:pPr>
      <w:r>
        <w:rPr>
          <w:i/>
          <w:iCs/>
          <w:color w:val="5B6770"/>
          <w:sz w:val="17"/>
          <w:szCs w:val="17"/>
        </w:rPr>
        <w:t xml:space="preserve">Figura 5. El proceso de seis pasos, desde la solicitud del cliente hasta la entrega</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96"/>
        <w:gridCol w:w="3992"/>
        <w:gridCol w:w="3084"/>
      </w:tblGrid>
      <w:tr>
        <w:trPr>
          <w:tblHeader/>
        </w:trPr>
        <w:tc>
          <w:tcPr>
            <w:tcW w:type="dxa" w:w="1996"/>
            <w:tcBorders>
              <w:top w:val="single" w:color="12343B" w:sz="4"/>
              <w:left w:val="single" w:color="12343B" w:sz="4"/>
              <w:bottom w:val="single" w:color="12343B" w:sz="4"/>
              <w:right w:val="single" w:color="12343B" w:sz="4"/>
            </w:tcBorders>
            <w:shd w:fill="12343B" w:color="auto" w:val="clear"/>
            <w:tcMar>
              <w:top w:type="dxa" w:w="90"/>
              <w:left w:type="dxa" w:w="120"/>
              <w:bottom w:type="dxa" w:w="90"/>
              <w:right w:type="dxa" w:w="120"/>
            </w:tcMar>
            <w:vAlign w:val="top"/>
          </w:tcPr>
          <w:p>
            <w:r>
              <w:rPr>
                <w:b/>
                <w:bCs/>
                <w:color w:val="FFFFFF"/>
                <w:sz w:val="19"/>
                <w:szCs w:val="19"/>
              </w:rPr>
              <w:t xml:space="preserve">Paso</w:t>
            </w:r>
          </w:p>
        </w:tc>
        <w:tc>
          <w:tcPr>
            <w:tcW w:type="dxa" w:w="3992"/>
            <w:tcBorders>
              <w:top w:val="single" w:color="12343B" w:sz="4"/>
              <w:left w:val="single" w:color="12343B" w:sz="4"/>
              <w:bottom w:val="single" w:color="12343B" w:sz="4"/>
              <w:right w:val="single" w:color="12343B" w:sz="4"/>
            </w:tcBorders>
            <w:shd w:fill="12343B" w:color="auto" w:val="clear"/>
            <w:tcMar>
              <w:top w:type="dxa" w:w="90"/>
              <w:left w:type="dxa" w:w="120"/>
              <w:bottom w:type="dxa" w:w="90"/>
              <w:right w:type="dxa" w:w="120"/>
            </w:tcMar>
            <w:vAlign w:val="top"/>
          </w:tcPr>
          <w:p>
            <w:r>
              <w:rPr>
                <w:b/>
                <w:bCs/>
                <w:color w:val="FFFFFF"/>
                <w:sz w:val="19"/>
                <w:szCs w:val="19"/>
              </w:rPr>
              <w:t xml:space="preserve">Qué ocurre</w:t>
            </w:r>
          </w:p>
        </w:tc>
        <w:tc>
          <w:tcPr>
            <w:tcW w:type="dxa" w:w="3084"/>
            <w:tcBorders>
              <w:top w:val="single" w:color="12343B" w:sz="4"/>
              <w:left w:val="single" w:color="12343B" w:sz="4"/>
              <w:bottom w:val="single" w:color="12343B" w:sz="4"/>
              <w:right w:val="single" w:color="12343B" w:sz="4"/>
            </w:tcBorders>
            <w:shd w:fill="12343B" w:color="auto" w:val="clear"/>
            <w:tcMar>
              <w:top w:type="dxa" w:w="90"/>
              <w:left w:type="dxa" w:w="120"/>
              <w:bottom w:type="dxa" w:w="90"/>
              <w:right w:type="dxa" w:w="120"/>
            </w:tcMar>
            <w:vAlign w:val="top"/>
          </w:tcPr>
          <w:p>
            <w:r>
              <w:rPr>
                <w:b/>
                <w:bCs/>
                <w:color w:val="FFFFFF"/>
                <w:sz w:val="19"/>
                <w:szCs w:val="19"/>
              </w:rPr>
              <w:t xml:space="preserve">En qué puede confiar la dirección</w:t>
            </w:r>
          </w:p>
        </w:tc>
      </w:tr>
      <w:tr>
        <w:trPr>
          <w:cantSplit/>
        </w:trPr>
        <w:tc>
          <w:tcPr>
            <w:tcW w:type="dxa" w:w="1996"/>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bCs/>
                <w:color w:val="12343B"/>
                <w:sz w:val="19"/>
                <w:szCs w:val="19"/>
              </w:rPr>
              <w:t xml:space="preserve">1. Captura de datos del cliente</w:t>
            </w:r>
          </w:p>
        </w:tc>
        <w:tc>
          <w:tcPr>
            <w:tcW w:type="dxa" w:w="3992"/>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val="false"/>
                <w:bCs w:val="false"/>
                <w:color w:val="1E2A30"/>
                <w:sz w:val="19"/>
                <w:szCs w:val="19"/>
              </w:rPr>
              <w:t xml:space="preserve">El agente recibe la solicitud y comprueba que los cuatro datos obligatorios estén presentes y sean claros.</w:t>
            </w:r>
          </w:p>
        </w:tc>
        <w:tc>
          <w:tcPr>
            <w:tcW w:type="dxa" w:w="3084"/>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val="false"/>
                <w:bCs w:val="false"/>
                <w:color w:val="1E2A30"/>
                <w:sz w:val="19"/>
                <w:szCs w:val="19"/>
              </w:rPr>
              <w:t xml:space="preserve">Ningún estudio empieza sobre una suposición.</w:t>
            </w:r>
          </w:p>
        </w:tc>
      </w:tr>
      <w:tr>
        <w:trPr>
          <w:cantSplit/>
        </w:trPr>
        <w:tc>
          <w:tcPr>
            <w:tcW w:type="dxa" w:w="1996"/>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bCs/>
                <w:color w:val="12343B"/>
                <w:sz w:val="19"/>
                <w:szCs w:val="19"/>
              </w:rPr>
              <w:t xml:space="preserve">2. Extracción de fuentes oficiales</w:t>
            </w:r>
          </w:p>
        </w:tc>
        <w:tc>
          <w:tcPr>
            <w:tcW w:type="dxa" w:w="3992"/>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val="false"/>
                <w:bCs w:val="false"/>
                <w:color w:val="1E2A30"/>
                <w:sz w:val="19"/>
                <w:szCs w:val="19"/>
              </w:rPr>
              <w:t xml:space="preserve">Se obtienen las cifras del FMI, el Banco Mundial, el banco central y el instituto nacional de estadística. Si hay documentos del cliente, también se leen.</w:t>
            </w:r>
          </w:p>
        </w:tc>
        <w:tc>
          <w:tcPr>
            <w:tcW w:type="dxa" w:w="3084"/>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val="false"/>
                <w:bCs w:val="false"/>
                <w:color w:val="1E2A30"/>
                <w:sz w:val="19"/>
                <w:szCs w:val="19"/>
              </w:rPr>
              <w:t xml:space="preserve">Los datos provienen de las instituciones que los propios gobiernos citan.</w:t>
            </w:r>
          </w:p>
        </w:tc>
      </w:tr>
      <w:tr>
        <w:trPr>
          <w:cantSplit/>
        </w:trPr>
        <w:tc>
          <w:tcPr>
            <w:tcW w:type="dxa" w:w="1996"/>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bCs/>
                <w:color w:val="12343B"/>
                <w:sz w:val="19"/>
                <w:szCs w:val="19"/>
              </w:rPr>
              <w:t xml:space="preserve">3. Auditoría de autenticidad de las cifras</w:t>
            </w:r>
          </w:p>
        </w:tc>
        <w:tc>
          <w:tcPr>
            <w:tcW w:type="dxa" w:w="3992"/>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val="false"/>
                <w:bCs w:val="false"/>
                <w:color w:val="1E2A30"/>
                <w:sz w:val="19"/>
                <w:szCs w:val="19"/>
              </w:rPr>
              <w:t xml:space="preserve">Cada cifra recibe su fuente, fecha, unidad y etiqueta de real/proyectada, pasa un control de verosimilitud, y se registra un valor por indicador y año en el Registro de Cifras Verificadas.</w:t>
            </w:r>
          </w:p>
        </w:tc>
        <w:tc>
          <w:tcPr>
            <w:tcW w:type="dxa" w:w="3084"/>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val="false"/>
                <w:bCs w:val="false"/>
                <w:color w:val="1E2A30"/>
                <w:sz w:val="19"/>
                <w:szCs w:val="19"/>
              </w:rPr>
              <w:t xml:space="preserve">Una cifra acordada por indicador, con su origen documentado.</w:t>
            </w:r>
          </w:p>
        </w:tc>
      </w:tr>
      <w:tr>
        <w:trPr>
          <w:cantSplit/>
        </w:trPr>
        <w:tc>
          <w:tcPr>
            <w:tcW w:type="dxa" w:w="1996"/>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bCs/>
                <w:color w:val="12343B"/>
                <w:sz w:val="19"/>
                <w:szCs w:val="19"/>
              </w:rPr>
              <w:t xml:space="preserve">4. Redacción del análisis</w:t>
            </w:r>
          </w:p>
        </w:tc>
        <w:tc>
          <w:tcPr>
            <w:tcW w:type="dxa" w:w="3992"/>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val="false"/>
                <w:bCs w:val="false"/>
                <w:color w:val="1E2A30"/>
                <w:sz w:val="19"/>
                <w:szCs w:val="19"/>
              </w:rPr>
              <w:t xml:space="preserve">El informe y la matriz de riesgos se redactan usando solo las cifras del registro.</w:t>
            </w:r>
          </w:p>
        </w:tc>
        <w:tc>
          <w:tcPr>
            <w:tcW w:type="dxa" w:w="3084"/>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val="false"/>
                <w:bCs w:val="false"/>
                <w:color w:val="1E2A30"/>
                <w:sz w:val="19"/>
                <w:szCs w:val="19"/>
              </w:rPr>
              <w:t xml:space="preserve">La etapa de redacción no tiene otra fuente de cifras.</w:t>
            </w:r>
          </w:p>
        </w:tc>
      </w:tr>
      <w:tr>
        <w:trPr>
          <w:cantSplit/>
        </w:trPr>
        <w:tc>
          <w:tcPr>
            <w:tcW w:type="dxa" w:w="1996"/>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bCs/>
                <w:color w:val="12343B"/>
                <w:sz w:val="19"/>
                <w:szCs w:val="19"/>
              </w:rPr>
              <w:t xml:space="preserve">5. Control de coherencia y citas</w:t>
            </w:r>
          </w:p>
        </w:tc>
        <w:tc>
          <w:tcPr>
            <w:tcW w:type="dxa" w:w="3992"/>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val="false"/>
                <w:bCs w:val="false"/>
                <w:color w:val="1E2A30"/>
                <w:sz w:val="19"/>
                <w:szCs w:val="19"/>
              </w:rPr>
              <w:t xml:space="preserve">Cada número del texto se compara con el registro y cada enlace se verifica contra las fuentes aprobadas.</w:t>
            </w:r>
          </w:p>
        </w:tc>
        <w:tc>
          <w:tcPr>
            <w:tcW w:type="dxa" w:w="3084"/>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val="false"/>
                <w:bCs w:val="false"/>
                <w:color w:val="1E2A30"/>
                <w:sz w:val="19"/>
                <w:szCs w:val="19"/>
              </w:rPr>
              <w:t xml:space="preserve">Cualquier discrepancia bloquea la entrega.</w:t>
            </w:r>
          </w:p>
        </w:tc>
      </w:tr>
      <w:tr>
        <w:trPr>
          <w:cantSplit/>
        </w:trPr>
        <w:tc>
          <w:tcPr>
            <w:tcW w:type="dxa" w:w="1996"/>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bCs/>
                <w:color w:val="12343B"/>
                <w:sz w:val="19"/>
                <w:szCs w:val="19"/>
              </w:rPr>
              <w:t xml:space="preserve">6. Ensamblaje final</w:t>
            </w:r>
          </w:p>
        </w:tc>
        <w:tc>
          <w:tcPr>
            <w:tcW w:type="dxa" w:w="3992"/>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val="false"/>
                <w:bCs w:val="false"/>
                <w:color w:val="1E2A30"/>
                <w:sz w:val="19"/>
                <w:szCs w:val="19"/>
              </w:rPr>
              <w:t xml:space="preserve">Se generan los tres entregables. El archivo de datos se construye directamente desde el registro. El estudio pasa a un analista para su aprobación.</w:t>
            </w:r>
          </w:p>
        </w:tc>
        <w:tc>
          <w:tcPr>
            <w:tcW w:type="dxa" w:w="3084"/>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val="false"/>
                <w:bCs w:val="false"/>
                <w:color w:val="1E2A30"/>
                <w:sz w:val="19"/>
                <w:szCs w:val="19"/>
              </w:rPr>
              <w:t xml:space="preserve">Tres documentos que coinciden entre sí.</w:t>
            </w:r>
          </w:p>
        </w:tc>
      </w:tr>
    </w:tbl>
    <w:p>
      <w:pPr>
        <w:spacing w:after="160" w:before="0" w:line="120"/>
      </w:pPr>
    </w:p>
    <w:p>
      <w:pPr>
        <w:pStyle w:val="Heading1"/>
      </w:pPr>
      <w:r>
        <w:t xml:space="preserve">8. Alcance: lo que el agente hará y lo que no hará</w:t>
      </w:r>
    </w:p>
    <w:p>
      <w:pPr>
        <w:spacing w:after="140" w:line="300"/>
      </w:pPr>
      <w:r>
        <w:t xml:space="preserve">Estos límites definen el plano de trabajo para el equipo de desarrollo. Cualquier cosa fuera de ellos requeriría una decisión aparte.</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536"/>
        <w:gridCol w:w="4536"/>
      </w:tblGrid>
      <w:tr>
        <w:tc>
          <w:tcPr>
            <w:tcW w:type="dxa" w:w="4536"/>
            <w:tcBorders>
              <w:top w:val="single" w:color="1F7A7A" w:sz="4"/>
              <w:left w:val="single" w:color="1F7A7A" w:sz="4"/>
              <w:bottom w:val="single" w:color="1F7A7A" w:sz="4"/>
              <w:right w:val="single" w:color="1F7A7A" w:sz="4"/>
            </w:tcBorders>
            <w:shd w:fill="1F7A7A" w:color="auto" w:val="clear"/>
            <w:tcMar>
              <w:top w:type="dxa" w:w="120"/>
              <w:left w:type="dxa" w:w="160"/>
              <w:bottom w:type="dxa" w:w="120"/>
              <w:right w:type="dxa" w:w="160"/>
            </w:tcMar>
            <w:vAlign w:val="top"/>
          </w:tcPr>
          <w:p>
            <w:r>
              <w:rPr>
                <w:b/>
                <w:bCs/>
                <w:color w:val="FFFFFF"/>
                <w:sz w:val="21"/>
                <w:szCs w:val="21"/>
              </w:rPr>
              <w:t xml:space="preserve">El agente SÍ</w:t>
            </w:r>
          </w:p>
        </w:tc>
        <w:tc>
          <w:tcPr>
            <w:tcW w:type="dxa" w:w="4536"/>
            <w:tcBorders>
              <w:top w:val="single" w:color="A8443A" w:sz="4"/>
              <w:left w:val="single" w:color="A8443A" w:sz="4"/>
              <w:bottom w:val="single" w:color="A8443A" w:sz="4"/>
              <w:right w:val="single" w:color="A8443A" w:sz="4"/>
            </w:tcBorders>
            <w:shd w:fill="A8443A" w:color="auto" w:val="clear"/>
            <w:tcMar>
              <w:top w:type="dxa" w:w="120"/>
              <w:left w:type="dxa" w:w="160"/>
              <w:bottom w:type="dxa" w:w="120"/>
              <w:right w:type="dxa" w:w="160"/>
            </w:tcMar>
            <w:vAlign w:val="top"/>
          </w:tcPr>
          <w:p>
            <w:r>
              <w:rPr>
                <w:b/>
                <w:bCs/>
                <w:color w:val="FFFFFF"/>
                <w:sz w:val="21"/>
                <w:szCs w:val="21"/>
              </w:rPr>
              <w:t xml:space="preserve">El agente NO</w:t>
            </w:r>
          </w:p>
        </w:tc>
      </w:tr>
      <w:tr>
        <w:tc>
          <w:tcPr>
            <w:tcW w:type="dxa" w:w="4536"/>
            <w:tcBorders>
              <w:top w:val="single" w:color="EFF6F5" w:sz="4"/>
              <w:left w:val="single" w:color="EFF6F5" w:sz="4"/>
              <w:bottom w:val="single" w:color="EFF6F5" w:sz="4"/>
              <w:right w:val="single" w:color="EFF6F5" w:sz="4"/>
            </w:tcBorders>
            <w:shd w:fill="EFF6F5" w:color="auto" w:val="clear"/>
            <w:tcMar>
              <w:top w:type="dxa" w:w="160"/>
              <w:left w:type="dxa" w:w="160"/>
              <w:bottom w:type="dxa" w:w="100"/>
              <w:right w:type="dxa" w:w="160"/>
            </w:tcMar>
            <w:vAlign w:val="top"/>
          </w:tcPr>
          <w:p>
            <w:pPr>
              <w:tabs>
                <w:tab w:val="left" w:pos="340"/>
              </w:tabs>
              <w:spacing w:after="110" w:line="276"/>
              <w:ind w:left="340" w:hanging="340"/>
            </w:pPr>
            <w:r>
              <w:rPr>
                <w:rFonts w:ascii="Segoe UI Symbol" w:cs="Segoe UI Symbol" w:eastAsia="Segoe UI Symbol" w:hAnsi="Segoe UI Symbol"/>
                <w:b/>
                <w:bCs/>
                <w:color w:val="1F7A7A"/>
                <w:sz w:val="20"/>
                <w:szCs w:val="20"/>
              </w:rPr>
              <w:t xml:space="preserve">✓	</w:t>
            </w:r>
            <w:r>
              <w:rPr>
                <w:sz w:val="19"/>
                <w:szCs w:val="19"/>
              </w:rPr>
              <w:t xml:space="preserve">Elabora un estudio económico de un país objetivo por solicitud</w:t>
            </w:r>
          </w:p>
          <w:p>
            <w:pPr>
              <w:tabs>
                <w:tab w:val="left" w:pos="340"/>
              </w:tabs>
              <w:spacing w:after="110" w:line="276"/>
              <w:ind w:left="340" w:hanging="340"/>
            </w:pPr>
            <w:r>
              <w:rPr>
                <w:rFonts w:ascii="Segoe UI Symbol" w:cs="Segoe UI Symbol" w:eastAsia="Segoe UI Symbol" w:hAnsi="Segoe UI Symbol"/>
                <w:b/>
                <w:bCs/>
                <w:color w:val="1F7A7A"/>
                <w:sz w:val="20"/>
                <w:szCs w:val="20"/>
              </w:rPr>
              <w:t xml:space="preserve">✓	</w:t>
            </w:r>
            <w:r>
              <w:rPr>
                <w:sz w:val="19"/>
                <w:szCs w:val="19"/>
              </w:rPr>
              <w:t xml:space="preserve">Usa solo fuentes oficiales para todas las cifras económicas</w:t>
            </w:r>
          </w:p>
          <w:p>
            <w:pPr>
              <w:tabs>
                <w:tab w:val="left" w:pos="340"/>
              </w:tabs>
              <w:spacing w:after="110" w:line="276"/>
              <w:ind w:left="340" w:hanging="340"/>
            </w:pPr>
            <w:r>
              <w:rPr>
                <w:rFonts w:ascii="Segoe UI Symbol" w:cs="Segoe UI Symbol" w:eastAsia="Segoe UI Symbol" w:hAnsi="Segoe UI Symbol"/>
                <w:b/>
                <w:bCs/>
                <w:color w:val="1F7A7A"/>
                <w:sz w:val="20"/>
                <w:szCs w:val="20"/>
              </w:rPr>
              <w:t xml:space="preserve">✓	</w:t>
            </w:r>
            <w:r>
              <w:rPr>
                <w:sz w:val="19"/>
                <w:szCs w:val="19"/>
              </w:rPr>
              <w:t xml:space="preserve">Entrega el informe, la matriz de riesgos y el archivo de datos, coherentes entre sí</w:t>
            </w:r>
          </w:p>
          <w:p>
            <w:pPr>
              <w:tabs>
                <w:tab w:val="left" w:pos="340"/>
              </w:tabs>
              <w:spacing w:after="110" w:line="276"/>
              <w:ind w:left="340" w:hanging="340"/>
            </w:pPr>
            <w:r>
              <w:rPr>
                <w:rFonts w:ascii="Segoe UI Symbol" w:cs="Segoe UI Symbol" w:eastAsia="Segoe UI Symbol" w:hAnsi="Segoe UI Symbol"/>
                <w:b/>
                <w:bCs/>
                <w:color w:val="1F7A7A"/>
                <w:sz w:val="20"/>
                <w:szCs w:val="20"/>
              </w:rPr>
              <w:t xml:space="preserve">✓	</w:t>
            </w:r>
            <w:r>
              <w:rPr>
                <w:sz w:val="19"/>
                <w:szCs w:val="19"/>
              </w:rPr>
              <w:t xml:space="preserve">Etiqueta cada cifra con su fuente, fecha y condición de real o proyectada</w:t>
            </w:r>
          </w:p>
          <w:p>
            <w:pPr>
              <w:tabs>
                <w:tab w:val="left" w:pos="340"/>
              </w:tabs>
              <w:spacing w:after="110" w:line="276"/>
              <w:ind w:left="340" w:hanging="340"/>
            </w:pPr>
            <w:r>
              <w:rPr>
                <w:rFonts w:ascii="Segoe UI Symbol" w:cs="Segoe UI Symbol" w:eastAsia="Segoe UI Symbol" w:hAnsi="Segoe UI Symbol"/>
                <w:b/>
                <w:bCs/>
                <w:color w:val="1F7A7A"/>
                <w:sz w:val="20"/>
                <w:szCs w:val="20"/>
              </w:rPr>
              <w:t xml:space="preserve">✓	</w:t>
            </w:r>
            <w:r>
              <w:rPr>
                <w:sz w:val="19"/>
                <w:szCs w:val="19"/>
              </w:rPr>
              <w:t xml:space="preserve">Indica abiertamente cuando una cifra falta o no pudo verificarse</w:t>
            </w:r>
          </w:p>
          <w:p>
            <w:pPr>
              <w:tabs>
                <w:tab w:val="left" w:pos="340"/>
              </w:tabs>
              <w:spacing w:after="110" w:line="276"/>
              <w:ind w:left="340" w:hanging="340"/>
            </w:pPr>
            <w:r>
              <w:rPr>
                <w:rFonts w:ascii="Segoe UI Symbol" w:cs="Segoe UI Symbol" w:eastAsia="Segoe UI Symbol" w:hAnsi="Segoe UI Symbol"/>
                <w:b/>
                <w:bCs/>
                <w:color w:val="1F7A7A"/>
                <w:sz w:val="20"/>
                <w:szCs w:val="20"/>
              </w:rPr>
              <w:t xml:space="preserve">✓	</w:t>
            </w:r>
            <w:r>
              <w:rPr>
                <w:sz w:val="19"/>
                <w:szCs w:val="19"/>
              </w:rPr>
              <w:t xml:space="preserve">Usa los documentos y supuestos del cliente como contexto claramente etiquetado</w:t>
            </w:r>
          </w:p>
          <w:p>
            <w:pPr>
              <w:tabs>
                <w:tab w:val="left" w:pos="340"/>
              </w:tabs>
              <w:spacing w:after="110" w:line="276"/>
              <w:ind w:left="340" w:hanging="340"/>
            </w:pPr>
            <w:r>
              <w:rPr>
                <w:rFonts w:ascii="Segoe UI Symbol" w:cs="Segoe UI Symbol" w:eastAsia="Segoe UI Symbol" w:hAnsi="Segoe UI Symbol"/>
                <w:b/>
                <w:bCs/>
                <w:color w:val="1F7A7A"/>
                <w:sz w:val="20"/>
                <w:szCs w:val="20"/>
              </w:rPr>
              <w:t xml:space="preserve">✓	</w:t>
            </w:r>
            <w:r>
              <w:rPr>
                <w:sz w:val="19"/>
                <w:szCs w:val="19"/>
              </w:rPr>
              <w:t xml:space="preserve">Explica cómo las perspectivas económicas pueden afectar al sector del cliente</w:t>
            </w:r>
          </w:p>
          <w:p>
            <w:pPr>
              <w:tabs>
                <w:tab w:val="left" w:pos="340"/>
              </w:tabs>
              <w:spacing w:after="110" w:line="276"/>
              <w:ind w:left="340" w:hanging="340"/>
            </w:pPr>
            <w:r>
              <w:rPr>
                <w:rFonts w:ascii="Segoe UI Symbol" w:cs="Segoe UI Symbol" w:eastAsia="Segoe UI Symbol" w:hAnsi="Segoe UI Symbol"/>
                <w:b/>
                <w:bCs/>
                <w:color w:val="1F7A7A"/>
                <w:sz w:val="20"/>
                <w:szCs w:val="20"/>
              </w:rPr>
              <w:t xml:space="preserve">✓	</w:t>
            </w:r>
            <w:r>
              <w:rPr>
                <w:sz w:val="19"/>
                <w:szCs w:val="19"/>
              </w:rPr>
              <w:t xml:space="preserve">Se detiene y pregunta cuando falta un dato obligatorio</w:t>
            </w:r>
          </w:p>
        </w:tc>
        <w:tc>
          <w:tcPr>
            <w:tcW w:type="dxa" w:w="4536"/>
            <w:tcBorders>
              <w:top w:val="single" w:color="F6E1DD" w:sz="4"/>
              <w:left w:val="single" w:color="F6E1DD" w:sz="4"/>
              <w:bottom w:val="single" w:color="F6E1DD" w:sz="4"/>
              <w:right w:val="single" w:color="F6E1DD" w:sz="4"/>
            </w:tcBorders>
            <w:shd w:fill="F6E1DD" w:color="auto" w:val="clear"/>
            <w:tcMar>
              <w:top w:type="dxa" w:w="160"/>
              <w:left w:type="dxa" w:w="160"/>
              <w:bottom w:type="dxa" w:w="100"/>
              <w:right w:type="dxa" w:w="160"/>
            </w:tcMar>
            <w:vAlign w:val="top"/>
          </w:tcPr>
          <w:p>
            <w:pPr>
              <w:tabs>
                <w:tab w:val="left" w:pos="340"/>
              </w:tabs>
              <w:spacing w:after="110" w:line="276"/>
              <w:ind w:left="340" w:hanging="340"/>
            </w:pPr>
            <w:r>
              <w:rPr>
                <w:rFonts w:ascii="Segoe UI Symbol" w:cs="Segoe UI Symbol" w:eastAsia="Segoe UI Symbol" w:hAnsi="Segoe UI Symbol"/>
                <w:b/>
                <w:bCs/>
                <w:color w:val="A8443A"/>
                <w:sz w:val="20"/>
                <w:szCs w:val="20"/>
              </w:rPr>
              <w:t xml:space="preserve">✕	</w:t>
            </w:r>
            <w:r>
              <w:rPr>
                <w:sz w:val="19"/>
                <w:szCs w:val="19"/>
              </w:rPr>
              <w:t xml:space="preserve">Inventa, adivina ni estima en silencio ninguna cifra</w:t>
            </w:r>
          </w:p>
          <w:p>
            <w:pPr>
              <w:tabs>
                <w:tab w:val="left" w:pos="340"/>
              </w:tabs>
              <w:spacing w:after="110" w:line="276"/>
              <w:ind w:left="340" w:hanging="340"/>
            </w:pPr>
            <w:r>
              <w:rPr>
                <w:rFonts w:ascii="Segoe UI Symbol" w:cs="Segoe UI Symbol" w:eastAsia="Segoe UI Symbol" w:hAnsi="Segoe UI Symbol"/>
                <w:b/>
                <w:bCs/>
                <w:color w:val="A8443A"/>
                <w:sz w:val="20"/>
                <w:szCs w:val="20"/>
              </w:rPr>
              <w:t xml:space="preserve">✕	</w:t>
            </w:r>
            <w:r>
              <w:rPr>
                <w:sz w:val="19"/>
                <w:szCs w:val="19"/>
              </w:rPr>
              <w:t xml:space="preserve">Usa sitios de noticias, blogs, redes sociales ni agregadores no oficiales como fuente de datos</w:t>
            </w:r>
          </w:p>
          <w:p>
            <w:pPr>
              <w:tabs>
                <w:tab w:val="left" w:pos="340"/>
              </w:tabs>
              <w:spacing w:after="110" w:line="276"/>
              <w:ind w:left="340" w:hanging="340"/>
            </w:pPr>
            <w:r>
              <w:rPr>
                <w:rFonts w:ascii="Segoe UI Symbol" w:cs="Segoe UI Symbol" w:eastAsia="Segoe UI Symbol" w:hAnsi="Segoe UI Symbol"/>
                <w:b/>
                <w:bCs/>
                <w:color w:val="A8443A"/>
                <w:sz w:val="20"/>
                <w:szCs w:val="20"/>
              </w:rPr>
              <w:t xml:space="preserve">✕	</w:t>
            </w:r>
            <w:r>
              <w:rPr>
                <w:sz w:val="19"/>
                <w:szCs w:val="19"/>
              </w:rPr>
              <w:t xml:space="preserve">Presenta sus propias estimaciones como proyecciones oficiales</w:t>
            </w:r>
          </w:p>
          <w:p>
            <w:pPr>
              <w:tabs>
                <w:tab w:val="left" w:pos="340"/>
              </w:tabs>
              <w:spacing w:after="110" w:line="276"/>
              <w:ind w:left="340" w:hanging="340"/>
            </w:pPr>
            <w:r>
              <w:rPr>
                <w:rFonts w:ascii="Segoe UI Symbol" w:cs="Segoe UI Symbol" w:eastAsia="Segoe UI Symbol" w:hAnsi="Segoe UI Symbol"/>
                <w:b/>
                <w:bCs/>
                <w:color w:val="A8443A"/>
                <w:sz w:val="20"/>
                <w:szCs w:val="20"/>
              </w:rPr>
              <w:t xml:space="preserve">✕	</w:t>
            </w:r>
            <w:r>
              <w:rPr>
                <w:sz w:val="19"/>
                <w:szCs w:val="19"/>
              </w:rPr>
              <w:t xml:space="preserve">Extiende proyecciones más allá del horizonte que cubren las fuentes oficiales</w:t>
            </w:r>
          </w:p>
          <w:p>
            <w:pPr>
              <w:tabs>
                <w:tab w:val="left" w:pos="340"/>
              </w:tabs>
              <w:spacing w:after="110" w:line="276"/>
              <w:ind w:left="340" w:hanging="340"/>
            </w:pPr>
            <w:r>
              <w:rPr>
                <w:rFonts w:ascii="Segoe UI Symbol" w:cs="Segoe UI Symbol" w:eastAsia="Segoe UI Symbol" w:hAnsi="Segoe UI Symbol"/>
                <w:b/>
                <w:bCs/>
                <w:color w:val="A8443A"/>
                <w:sz w:val="20"/>
                <w:szCs w:val="20"/>
              </w:rPr>
              <w:t xml:space="preserve">✕	</w:t>
            </w:r>
            <w:r>
              <w:rPr>
                <w:sz w:val="19"/>
                <w:szCs w:val="19"/>
              </w:rPr>
              <w:t xml:space="preserve">Da asesoría de inversión, legal, tributaria o contable, ni recomienda operaciones financieras concretas</w:t>
            </w:r>
          </w:p>
          <w:p>
            <w:pPr>
              <w:tabs>
                <w:tab w:val="left" w:pos="340"/>
              </w:tabs>
              <w:spacing w:after="110" w:line="276"/>
              <w:ind w:left="340" w:hanging="340"/>
            </w:pPr>
            <w:r>
              <w:rPr>
                <w:rFonts w:ascii="Segoe UI Symbol" w:cs="Segoe UI Symbol" w:eastAsia="Segoe UI Symbol" w:hAnsi="Segoe UI Symbol"/>
                <w:b/>
                <w:bCs/>
                <w:color w:val="A8443A"/>
                <w:sz w:val="20"/>
                <w:szCs w:val="20"/>
              </w:rPr>
              <w:t xml:space="preserve">✕	</w:t>
            </w:r>
            <w:r>
              <w:rPr>
                <w:sz w:val="19"/>
                <w:szCs w:val="19"/>
              </w:rPr>
              <w:t xml:space="preserve">Realiza valoraciones de empresas ni modelos financieros (corresponden a las fases posteriores)</w:t>
            </w:r>
          </w:p>
          <w:p>
            <w:pPr>
              <w:tabs>
                <w:tab w:val="left" w:pos="340"/>
              </w:tabs>
              <w:spacing w:after="110" w:line="276"/>
              <w:ind w:left="340" w:hanging="340"/>
            </w:pPr>
            <w:r>
              <w:rPr>
                <w:rFonts w:ascii="Segoe UI Symbol" w:cs="Segoe UI Symbol" w:eastAsia="Segoe UI Symbol" w:hAnsi="Segoe UI Symbol"/>
                <w:b/>
                <w:bCs/>
                <w:color w:val="A8443A"/>
                <w:sz w:val="20"/>
                <w:szCs w:val="20"/>
              </w:rPr>
              <w:t xml:space="preserve">✕	</w:t>
            </w:r>
            <w:r>
              <w:rPr>
                <w:sz w:val="19"/>
                <w:szCs w:val="19"/>
              </w:rPr>
              <w:t xml:space="preserve">Ofrece datos de mercado en tiempo real ni monitoreo continuo</w:t>
            </w:r>
          </w:p>
          <w:p>
            <w:pPr>
              <w:tabs>
                <w:tab w:val="left" w:pos="340"/>
              </w:tabs>
              <w:spacing w:after="110" w:line="276"/>
              <w:ind w:left="340" w:hanging="340"/>
            </w:pPr>
            <w:r>
              <w:rPr>
                <w:rFonts w:ascii="Segoe UI Symbol" w:cs="Segoe UI Symbol" w:eastAsia="Segoe UI Symbol" w:hAnsi="Segoe UI Symbol"/>
                <w:b/>
                <w:bCs/>
                <w:color w:val="A8443A"/>
                <w:sz w:val="20"/>
                <w:szCs w:val="20"/>
              </w:rPr>
              <w:t xml:space="preserve">✕	</w:t>
            </w:r>
            <w:r>
              <w:rPr>
                <w:sz w:val="19"/>
                <w:szCs w:val="19"/>
              </w:rPr>
              <w:t xml:space="preserve">Sustituye la revisión y aprobación de un analista calificado</w:t>
            </w:r>
          </w:p>
        </w:tc>
      </w:tr>
    </w:tbl>
    <w:p>
      <w:pPr>
        <w:spacing w:after="200" w:before="0" w:line="120"/>
      </w:pPr>
    </w:p>
    <w:p>
      <w:pPr>
        <w:pStyle w:val="Heading1"/>
      </w:pPr>
      <w:r>
        <w:t xml:space="preserve">9. Criterios de éxito</w:t>
      </w:r>
    </w:p>
    <w:p>
      <w:pPr>
        <w:spacing w:after="140" w:line="300"/>
      </w:pPr>
      <w:r>
        <w:t xml:space="preserve">El equipo de desarrollo y la dirección pueden usar estos criterios para juzgar si el agente construido cumple con este documento.</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25"/>
        <w:gridCol w:w="3447"/>
      </w:tblGrid>
      <w:tr>
        <w:trPr>
          <w:tblHeader/>
        </w:trPr>
        <w:tc>
          <w:tcPr>
            <w:tcW w:type="dxa" w:w="5625"/>
            <w:tcBorders>
              <w:top w:val="single" w:color="12343B" w:sz="4"/>
              <w:left w:val="single" w:color="12343B" w:sz="4"/>
              <w:bottom w:val="single" w:color="12343B" w:sz="4"/>
              <w:right w:val="single" w:color="12343B" w:sz="4"/>
            </w:tcBorders>
            <w:shd w:fill="12343B" w:color="auto" w:val="clear"/>
            <w:tcMar>
              <w:top w:type="dxa" w:w="90"/>
              <w:left w:type="dxa" w:w="120"/>
              <w:bottom w:type="dxa" w:w="90"/>
              <w:right w:type="dxa" w:w="120"/>
            </w:tcMar>
            <w:vAlign w:val="top"/>
          </w:tcPr>
          <w:p>
            <w:r>
              <w:rPr>
                <w:b/>
                <w:bCs/>
                <w:color w:val="FFFFFF"/>
                <w:sz w:val="19"/>
                <w:szCs w:val="19"/>
              </w:rPr>
              <w:t xml:space="preserve">Criterio</w:t>
            </w:r>
          </w:p>
        </w:tc>
        <w:tc>
          <w:tcPr>
            <w:tcW w:type="dxa" w:w="3447"/>
            <w:tcBorders>
              <w:top w:val="single" w:color="12343B" w:sz="4"/>
              <w:left w:val="single" w:color="12343B" w:sz="4"/>
              <w:bottom w:val="single" w:color="12343B" w:sz="4"/>
              <w:right w:val="single" w:color="12343B" w:sz="4"/>
            </w:tcBorders>
            <w:shd w:fill="12343B" w:color="auto" w:val="clear"/>
            <w:tcMar>
              <w:top w:type="dxa" w:w="90"/>
              <w:left w:type="dxa" w:w="120"/>
              <w:bottom w:type="dxa" w:w="90"/>
              <w:right w:type="dxa" w:w="120"/>
            </w:tcMar>
            <w:vAlign w:val="top"/>
          </w:tcPr>
          <w:p>
            <w:r>
              <w:rPr>
                <w:b/>
                <w:bCs/>
                <w:color w:val="FFFFFF"/>
                <w:sz w:val="19"/>
                <w:szCs w:val="19"/>
              </w:rPr>
              <w:t xml:space="preserve">Meta</w:t>
            </w:r>
          </w:p>
        </w:tc>
      </w:tr>
      <w:tr>
        <w:trPr>
          <w:cantSplit/>
        </w:trPr>
        <w:tc>
          <w:tcPr>
            <w:tcW w:type="dxa" w:w="5625"/>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bCs/>
                <w:color w:val="12343B"/>
                <w:sz w:val="19"/>
                <w:szCs w:val="19"/>
              </w:rPr>
              <w:t xml:space="preserve">Cifras de todos los entregables que muestran su fuente y fecha</w:t>
            </w:r>
          </w:p>
        </w:tc>
        <w:tc>
          <w:tcPr>
            <w:tcW w:type="dxa" w:w="3447"/>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val="false"/>
                <w:bCs w:val="false"/>
                <w:color w:val="1E2A30"/>
                <w:sz w:val="19"/>
                <w:szCs w:val="19"/>
              </w:rPr>
              <w:t xml:space="preserve">100%</w:t>
            </w:r>
          </w:p>
        </w:tc>
      </w:tr>
      <w:tr>
        <w:trPr>
          <w:cantSplit/>
        </w:trPr>
        <w:tc>
          <w:tcPr>
            <w:tcW w:type="dxa" w:w="5625"/>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bCs/>
                <w:color w:val="12343B"/>
                <w:sz w:val="19"/>
                <w:szCs w:val="19"/>
              </w:rPr>
              <w:t xml:space="preserve">Estimaciones o cifras del cliente sin su etiqueta correspondiente</w:t>
            </w:r>
          </w:p>
        </w:tc>
        <w:tc>
          <w:tcPr>
            <w:tcW w:type="dxa" w:w="3447"/>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val="false"/>
                <w:bCs w:val="false"/>
                <w:color w:val="1E2A30"/>
                <w:sz w:val="19"/>
                <w:szCs w:val="19"/>
              </w:rPr>
              <w:t xml:space="preserve">Cero</w:t>
            </w:r>
          </w:p>
        </w:tc>
      </w:tr>
      <w:tr>
        <w:trPr>
          <w:cantSplit/>
        </w:trPr>
        <w:tc>
          <w:tcPr>
            <w:tcW w:type="dxa" w:w="5625"/>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bCs/>
                <w:color w:val="12343B"/>
                <w:sz w:val="19"/>
                <w:szCs w:val="19"/>
              </w:rPr>
              <w:t xml:space="preserve">Diferencias en una misma cifra entre el informe, la matriz y el archivo de datos</w:t>
            </w:r>
          </w:p>
        </w:tc>
        <w:tc>
          <w:tcPr>
            <w:tcW w:type="dxa" w:w="3447"/>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val="false"/>
                <w:bCs w:val="false"/>
                <w:color w:val="1E2A30"/>
                <w:sz w:val="19"/>
                <w:szCs w:val="19"/>
              </w:rPr>
              <w:t xml:space="preserve">Cero</w:t>
            </w:r>
          </w:p>
        </w:tc>
      </w:tr>
      <w:tr>
        <w:trPr>
          <w:cantSplit/>
        </w:trPr>
        <w:tc>
          <w:tcPr>
            <w:tcW w:type="dxa" w:w="5625"/>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bCs/>
                <w:color w:val="12343B"/>
                <w:sz w:val="19"/>
                <w:szCs w:val="19"/>
              </w:rPr>
              <w:t xml:space="preserve">Cifras etiquetadas como reales o proyectadas</w:t>
            </w:r>
          </w:p>
        </w:tc>
        <w:tc>
          <w:tcPr>
            <w:tcW w:type="dxa" w:w="3447"/>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val="false"/>
                <w:bCs w:val="false"/>
                <w:color w:val="1E2A30"/>
                <w:sz w:val="19"/>
                <w:szCs w:val="19"/>
              </w:rPr>
              <w:t xml:space="preserve">100%</w:t>
            </w:r>
          </w:p>
        </w:tc>
      </w:tr>
      <w:tr>
        <w:trPr>
          <w:cantSplit/>
        </w:trPr>
        <w:tc>
          <w:tcPr>
            <w:tcW w:type="dxa" w:w="5625"/>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bCs/>
                <w:color w:val="12343B"/>
                <w:sz w:val="19"/>
                <w:szCs w:val="19"/>
              </w:rPr>
              <w:t xml:space="preserve">Ejecuciones con un dato obligatorio faltante que se detienen antes del análisis</w:t>
            </w:r>
          </w:p>
        </w:tc>
        <w:tc>
          <w:tcPr>
            <w:tcW w:type="dxa" w:w="3447"/>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val="false"/>
                <w:bCs w:val="false"/>
                <w:color w:val="1E2A30"/>
                <w:sz w:val="19"/>
                <w:szCs w:val="19"/>
              </w:rPr>
              <w:t xml:space="preserve">100%</w:t>
            </w:r>
          </w:p>
        </w:tc>
      </w:tr>
      <w:tr>
        <w:trPr>
          <w:cantSplit/>
        </w:trPr>
        <w:tc>
          <w:tcPr>
            <w:tcW w:type="dxa" w:w="5625"/>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bCs/>
                <w:color w:val="12343B"/>
                <w:sz w:val="19"/>
                <w:szCs w:val="19"/>
              </w:rPr>
              <w:t xml:space="preserve">Filas en la Base de Datos de Indicadores Clave, en seis grupos de indicadores</w:t>
            </w:r>
          </w:p>
        </w:tc>
        <w:tc>
          <w:tcPr>
            <w:tcW w:type="dxa" w:w="3447"/>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val="false"/>
                <w:bCs w:val="false"/>
                <w:color w:val="1E2A30"/>
                <w:sz w:val="19"/>
                <w:szCs w:val="19"/>
              </w:rPr>
              <w:t xml:space="preserve">100 o más</w:t>
            </w:r>
          </w:p>
        </w:tc>
      </w:tr>
      <w:tr>
        <w:trPr>
          <w:cantSplit/>
        </w:trPr>
        <w:tc>
          <w:tcPr>
            <w:tcW w:type="dxa" w:w="5625"/>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bCs/>
                <w:color w:val="12343B"/>
                <w:sz w:val="19"/>
                <w:szCs w:val="19"/>
              </w:rPr>
              <w:t xml:space="preserve">Estudios entregados sin aprobación de un analista</w:t>
            </w:r>
          </w:p>
        </w:tc>
        <w:tc>
          <w:tcPr>
            <w:tcW w:type="dxa" w:w="3447"/>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val="false"/>
                <w:bCs w:val="false"/>
                <w:color w:val="1E2A30"/>
                <w:sz w:val="19"/>
                <w:szCs w:val="19"/>
              </w:rPr>
              <w:t xml:space="preserve">Ninguno</w:t>
            </w:r>
          </w:p>
        </w:tc>
      </w:tr>
    </w:tbl>
    <w:p>
      <w:pPr>
        <w:spacing w:after="160" w:before="0" w:line="120"/>
      </w:pPr>
    </w:p>
    <w:p>
      <w:pPr>
        <w:pStyle w:val="Heading1"/>
      </w:pPr>
      <w:r>
        <w:t xml:space="preserve">10. Decisiones solicitadas y próximos pasos</w:t>
      </w:r>
    </w:p>
    <w:p>
      <w:pPr>
        <w:pStyle w:val="Heading3"/>
      </w:pPr>
      <w:r>
        <w:t xml:space="preserve">Para el Directorio</w:t>
      </w:r>
    </w:p>
    <w:p>
      <w:pPr>
        <w:pStyle w:val="ListParagraph"/>
        <w:numPr>
          <w:ilvl w:val="0"/>
          <w:numId w:val="4"/>
        </w:numPr>
        <w:spacing w:after="100" w:line="290"/>
      </w:pPr>
      <w:r>
        <w:t xml:space="preserve">Aprobar el alcance de la Sección 8.</w:t>
      </w:r>
    </w:p>
    <w:p>
      <w:pPr>
        <w:pStyle w:val="ListParagraph"/>
        <w:numPr>
          <w:ilvl w:val="0"/>
          <w:numId w:val="4"/>
        </w:numPr>
        <w:spacing w:after="100" w:line="290"/>
      </w:pPr>
      <w:r>
        <w:t xml:space="preserve">Confirmar el Núcleo de Autenticidad como requisito fijo.</w:t>
      </w:r>
    </w:p>
    <w:p>
      <w:pPr>
        <w:pStyle w:val="ListParagraph"/>
        <w:numPr>
          <w:ilvl w:val="0"/>
          <w:numId w:val="4"/>
        </w:numPr>
        <w:spacing w:after="100" w:line="290"/>
      </w:pPr>
      <w:r>
        <w:t xml:space="preserve">Autorizar al equipo de desarrollo a iniciar el diseño de arquitectura con base en este documento.</w:t>
      </w:r>
    </w:p>
    <w:p>
      <w:pPr>
        <w:spacing w:after="80" w:before="0" w:line="120"/>
      </w:pPr>
    </w:p>
    <w:p>
      <w:pPr>
        <w:pStyle w:val="Heading3"/>
      </w:pPr>
      <w:r>
        <w:t xml:space="preserve">Puntos abiertos que se resolverán en el diseño de arquitectura</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29"/>
        <w:gridCol w:w="5443"/>
      </w:tblGrid>
      <w:tr>
        <w:trPr>
          <w:tblHeader/>
        </w:trPr>
        <w:tc>
          <w:tcPr>
            <w:tcW w:type="dxa" w:w="3629"/>
            <w:tcBorders>
              <w:top w:val="single" w:color="12343B" w:sz="4"/>
              <w:left w:val="single" w:color="12343B" w:sz="4"/>
              <w:bottom w:val="single" w:color="12343B" w:sz="4"/>
              <w:right w:val="single" w:color="12343B" w:sz="4"/>
            </w:tcBorders>
            <w:shd w:fill="12343B" w:color="auto" w:val="clear"/>
            <w:tcMar>
              <w:top w:type="dxa" w:w="90"/>
              <w:left w:type="dxa" w:w="120"/>
              <w:bottom w:type="dxa" w:w="90"/>
              <w:right w:type="dxa" w:w="120"/>
            </w:tcMar>
            <w:vAlign w:val="top"/>
          </w:tcPr>
          <w:p>
            <w:r>
              <w:rPr>
                <w:b/>
                <w:bCs/>
                <w:color w:val="FFFFFF"/>
                <w:sz w:val="19"/>
                <w:szCs w:val="19"/>
              </w:rPr>
              <w:t xml:space="preserve">Punto abierto</w:t>
            </w:r>
          </w:p>
        </w:tc>
        <w:tc>
          <w:tcPr>
            <w:tcW w:type="dxa" w:w="5443"/>
            <w:tcBorders>
              <w:top w:val="single" w:color="12343B" w:sz="4"/>
              <w:left w:val="single" w:color="12343B" w:sz="4"/>
              <w:bottom w:val="single" w:color="12343B" w:sz="4"/>
              <w:right w:val="single" w:color="12343B" w:sz="4"/>
            </w:tcBorders>
            <w:shd w:fill="12343B" w:color="auto" w:val="clear"/>
            <w:tcMar>
              <w:top w:type="dxa" w:w="90"/>
              <w:left w:type="dxa" w:w="120"/>
              <w:bottom w:type="dxa" w:w="90"/>
              <w:right w:type="dxa" w:w="120"/>
            </w:tcMar>
            <w:vAlign w:val="top"/>
          </w:tcPr>
          <w:p>
            <w:r>
              <w:rPr>
                <w:b/>
                <w:bCs/>
                <w:color w:val="FFFFFF"/>
                <w:sz w:val="19"/>
                <w:szCs w:val="19"/>
              </w:rPr>
              <w:t xml:space="preserve">Por qué importa</w:t>
            </w:r>
          </w:p>
        </w:tc>
      </w:tr>
      <w:tr>
        <w:trPr>
          <w:cantSplit/>
        </w:trPr>
        <w:tc>
          <w:tcPr>
            <w:tcW w:type="dxa" w:w="3629"/>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bCs/>
                <w:color w:val="12343B"/>
                <w:sz w:val="19"/>
                <w:szCs w:val="19"/>
              </w:rPr>
              <w:t xml:space="preserve">Orden de prioridad cuando dos fuentes oficiales no coinciden</w:t>
            </w:r>
          </w:p>
        </w:tc>
        <w:tc>
          <w:tcPr>
            <w:tcW w:type="dxa" w:w="5443"/>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val="false"/>
                <w:bCs w:val="false"/>
                <w:color w:val="1E2A30"/>
                <w:sz w:val="19"/>
                <w:szCs w:val="19"/>
              </w:rPr>
              <w:t xml:space="preserve">Hace que la elección de cada cifra sea predecible y auditable</w:t>
            </w:r>
          </w:p>
        </w:tc>
      </w:tr>
      <w:tr>
        <w:trPr>
          <w:cantSplit/>
        </w:trPr>
        <w:tc>
          <w:tcPr>
            <w:tcW w:type="dxa" w:w="3629"/>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bCs/>
                <w:color w:val="12343B"/>
                <w:sz w:val="19"/>
                <w:szCs w:val="19"/>
              </w:rPr>
              <w:t xml:space="preserve">Países y sectores del primer piloto</w:t>
            </w:r>
          </w:p>
        </w:tc>
        <w:tc>
          <w:tcPr>
            <w:tcW w:type="dxa" w:w="5443"/>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val="false"/>
                <w:bCs w:val="false"/>
                <w:color w:val="1E2A30"/>
                <w:sz w:val="19"/>
                <w:szCs w:val="19"/>
              </w:rPr>
              <w:t xml:space="preserve">La cobertura de datos oficiales varía según el país</w:t>
            </w:r>
          </w:p>
        </w:tc>
      </w:tr>
      <w:tr>
        <w:trPr>
          <w:cantSplit/>
        </w:trPr>
        <w:tc>
          <w:tcPr>
            <w:tcW w:type="dxa" w:w="3629"/>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bCs/>
                <w:color w:val="12343B"/>
                <w:sz w:val="19"/>
                <w:szCs w:val="19"/>
              </w:rPr>
              <w:t xml:space="preserve">Quién aprueba cada estudio antes de su entrega</w:t>
            </w:r>
          </w:p>
        </w:tc>
        <w:tc>
          <w:tcPr>
            <w:tcW w:type="dxa" w:w="5443"/>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val="false"/>
                <w:bCs w:val="false"/>
                <w:color w:val="1E2A30"/>
                <w:sz w:val="19"/>
                <w:szCs w:val="19"/>
              </w:rPr>
              <w:t xml:space="preserve">Define la responsabilidad sobre el trabajo para clientes</w:t>
            </w:r>
          </w:p>
        </w:tc>
      </w:tr>
      <w:tr>
        <w:trPr>
          <w:cantSplit/>
        </w:trPr>
        <w:tc>
          <w:tcPr>
            <w:tcW w:type="dxa" w:w="3629"/>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bCs/>
                <w:color w:val="12343B"/>
                <w:sz w:val="19"/>
                <w:szCs w:val="19"/>
              </w:rPr>
              <w:t xml:space="preserve">Idiomas de los entregables</w:t>
            </w:r>
          </w:p>
        </w:tc>
        <w:tc>
          <w:tcPr>
            <w:tcW w:type="dxa" w:w="5443"/>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val="false"/>
                <w:bCs w:val="false"/>
                <w:color w:val="1E2A30"/>
                <w:sz w:val="19"/>
                <w:szCs w:val="19"/>
              </w:rPr>
              <w:t xml:space="preserve">Afecta a las plantillas de los informes y a su revisión</w:t>
            </w:r>
          </w:p>
        </w:tc>
      </w:tr>
      <w:tr>
        <w:trPr>
          <w:cantSplit/>
        </w:trPr>
        <w:tc>
          <w:tcPr>
            <w:tcW w:type="dxa" w:w="3629"/>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bCs/>
                <w:color w:val="12343B"/>
                <w:sz w:val="19"/>
                <w:szCs w:val="19"/>
              </w:rPr>
              <w:t xml:space="preserve">Umbrales de verosimilitud para cada indicador</w:t>
            </w:r>
          </w:p>
        </w:tc>
        <w:tc>
          <w:tcPr>
            <w:tcW w:type="dxa" w:w="5443"/>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val="false"/>
                <w:bCs w:val="false"/>
                <w:color w:val="1E2A30"/>
                <w:sz w:val="19"/>
                <w:szCs w:val="19"/>
              </w:rPr>
              <w:t xml:space="preserve">Define qué se considera un valor imposible</w:t>
            </w:r>
          </w:p>
        </w:tc>
      </w:tr>
    </w:tbl>
    <w:p>
      <w:pPr>
        <w:spacing w:after="160" w:before="0" w:line="120"/>
      </w:pPr>
    </w:p>
    <w:p>
      <w:r>
        <w:br w:type="page"/>
      </w:r>
    </w:p>
    <w:p>
      <w:pPr>
        <w:pStyle w:val="Heading1"/>
      </w:pPr>
      <w:r>
        <w:t xml:space="preserve">Anexo A. Estructura de los dos informes</w:t>
      </w:r>
    </w:p>
    <w:p>
      <w:pPr>
        <w:pStyle w:val="Heading3"/>
      </w:pPr>
      <w:r>
        <w:t xml:space="preserve">Informe de Impacto Macroeconómico</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29"/>
        <w:gridCol w:w="5443"/>
      </w:tblGrid>
      <w:tr>
        <w:trPr>
          <w:cantSplit/>
        </w:trPr>
        <w:tc>
          <w:tcPr>
            <w:tcW w:type="dxa" w:w="3629"/>
            <w:tcBorders>
              <w:top w:val="none" w:color="FFFFFF" w:sz="0"/>
              <w:left w:val="none" w:color="FFFFFF" w:sz="0"/>
              <w:bottom w:val="single" w:color="C9D3D6" w:sz="4"/>
              <w:right w:val="none" w:color="FFFFFF" w:sz="0"/>
            </w:tcBorders>
            <w:tcMar>
              <w:top w:type="dxa" w:w="70"/>
              <w:left w:type="dxa" w:w="60"/>
              <w:bottom w:type="dxa" w:w="70"/>
              <w:right w:type="dxa" w:w="120"/>
            </w:tcMar>
            <w:vAlign w:val="top"/>
          </w:tcPr>
          <w:p>
            <w:r>
              <w:rPr>
                <w:b/>
                <w:bCs/>
                <w:color w:val="12343B"/>
                <w:sz w:val="19"/>
                <w:szCs w:val="19"/>
              </w:rPr>
              <w:t xml:space="preserve">Portada y control del documento</w:t>
            </w:r>
          </w:p>
        </w:tc>
        <w:tc>
          <w:tcPr>
            <w:tcW w:type="dxa" w:w="5443"/>
            <w:tcBorders>
              <w:top w:val="none" w:color="FFFFFF" w:sz="0"/>
              <w:left w:val="none" w:color="FFFFFF" w:sz="0"/>
              <w:bottom w:val="single" w:color="C9D3D6" w:sz="4"/>
              <w:right w:val="none" w:color="FFFFFF" w:sz="0"/>
            </w:tcBorders>
            <w:tcMar>
              <w:top w:type="dxa" w:w="70"/>
              <w:left w:type="dxa" w:w="60"/>
              <w:bottom w:type="dxa" w:w="70"/>
              <w:right w:type="dxa" w:w="60"/>
            </w:tcMar>
            <w:vAlign w:val="top"/>
          </w:tcPr>
          <w:p>
            <w:r>
              <w:rPr>
                <w:color w:val="5B6770"/>
                <w:sz w:val="19"/>
                <w:szCs w:val="19"/>
              </w:rPr>
              <w:t xml:space="preserve">País, moneda, edición de los datos, fuentes, aviso legal</w:t>
            </w:r>
          </w:p>
        </w:tc>
      </w:tr>
      <w:tr>
        <w:trPr>
          <w:cantSplit/>
        </w:trPr>
        <w:tc>
          <w:tcPr>
            <w:tcW w:type="dxa" w:w="3629"/>
            <w:tcBorders>
              <w:top w:val="none" w:color="FFFFFF" w:sz="0"/>
              <w:left w:val="none" w:color="FFFFFF" w:sz="0"/>
              <w:bottom w:val="single" w:color="C9D3D6" w:sz="4"/>
              <w:right w:val="none" w:color="FFFFFF" w:sz="0"/>
            </w:tcBorders>
            <w:tcMar>
              <w:top w:type="dxa" w:w="70"/>
              <w:left w:type="dxa" w:w="60"/>
              <w:bottom w:type="dxa" w:w="70"/>
              <w:right w:type="dxa" w:w="120"/>
            </w:tcMar>
            <w:vAlign w:val="top"/>
          </w:tcPr>
          <w:p>
            <w:r>
              <w:rPr>
                <w:b/>
                <w:bCs/>
                <w:color w:val="12343B"/>
                <w:sz w:val="19"/>
                <w:szCs w:val="19"/>
              </w:rPr>
              <w:t xml:space="preserve">Resumen ejecutivo</w:t>
            </w:r>
          </w:p>
        </w:tc>
        <w:tc>
          <w:tcPr>
            <w:tcW w:type="dxa" w:w="5443"/>
            <w:tcBorders>
              <w:top w:val="none" w:color="FFFFFF" w:sz="0"/>
              <w:left w:val="none" w:color="FFFFFF" w:sz="0"/>
              <w:bottom w:val="single" w:color="C9D3D6" w:sz="4"/>
              <w:right w:val="none" w:color="FFFFFF" w:sz="0"/>
            </w:tcBorders>
            <w:tcMar>
              <w:top w:type="dxa" w:w="70"/>
              <w:left w:type="dxa" w:w="60"/>
              <w:bottom w:type="dxa" w:w="70"/>
              <w:right w:type="dxa" w:w="60"/>
            </w:tcMar>
            <w:vAlign w:val="top"/>
          </w:tcPr>
          <w:p>
            <w:r>
              <w:rPr>
                <w:color w:val="5B6770"/>
                <w:sz w:val="19"/>
                <w:szCs w:val="19"/>
              </w:rPr>
              <w:t xml:space="preserve">Crecimiento, inflación, tasas de interés y riesgos clave en una página</w:t>
            </w:r>
          </w:p>
        </w:tc>
      </w:tr>
      <w:tr>
        <w:trPr>
          <w:cantSplit/>
        </w:trPr>
        <w:tc>
          <w:tcPr>
            <w:tcW w:type="dxa" w:w="3629"/>
            <w:tcBorders>
              <w:top w:val="none" w:color="FFFFFF" w:sz="0"/>
              <w:left w:val="none" w:color="FFFFFF" w:sz="0"/>
              <w:bottom w:val="single" w:color="C9D3D6" w:sz="4"/>
              <w:right w:val="none" w:color="FFFFFF" w:sz="0"/>
            </w:tcBorders>
            <w:tcMar>
              <w:top w:type="dxa" w:w="70"/>
              <w:left w:type="dxa" w:w="60"/>
              <w:bottom w:type="dxa" w:w="70"/>
              <w:right w:type="dxa" w:w="120"/>
            </w:tcMar>
            <w:vAlign w:val="top"/>
          </w:tcPr>
          <w:p>
            <w:r>
              <w:rPr>
                <w:b/>
                <w:bCs/>
                <w:color w:val="12343B"/>
                <w:sz w:val="19"/>
                <w:szCs w:val="19"/>
              </w:rPr>
              <w:t xml:space="preserve">1. Introducción y alcance</w:t>
            </w:r>
          </w:p>
        </w:tc>
        <w:tc>
          <w:tcPr>
            <w:tcW w:type="dxa" w:w="5443"/>
            <w:tcBorders>
              <w:top w:val="none" w:color="FFFFFF" w:sz="0"/>
              <w:left w:val="none" w:color="FFFFFF" w:sz="0"/>
              <w:bottom w:val="single" w:color="C9D3D6" w:sz="4"/>
              <w:right w:val="none" w:color="FFFFFF" w:sz="0"/>
            </w:tcBorders>
            <w:tcMar>
              <w:top w:type="dxa" w:w="70"/>
              <w:left w:type="dxa" w:w="60"/>
              <w:bottom w:type="dxa" w:w="70"/>
              <w:right w:type="dxa" w:w="60"/>
            </w:tcMar>
            <w:vAlign w:val="top"/>
          </w:tcPr>
          <w:p>
            <w:r>
              <w:rPr>
                <w:color w:val="5B6770"/>
                <w:sz w:val="19"/>
                <w:szCs w:val="19"/>
              </w:rPr>
              <w:t xml:space="preserve">Propósito, país, sector, horizonte temporal, fuentes y método</w:t>
            </w:r>
          </w:p>
        </w:tc>
      </w:tr>
      <w:tr>
        <w:trPr>
          <w:cantSplit/>
        </w:trPr>
        <w:tc>
          <w:tcPr>
            <w:tcW w:type="dxa" w:w="3629"/>
            <w:tcBorders>
              <w:top w:val="none" w:color="FFFFFF" w:sz="0"/>
              <w:left w:val="none" w:color="FFFFFF" w:sz="0"/>
              <w:bottom w:val="single" w:color="C9D3D6" w:sz="4"/>
              <w:right w:val="none" w:color="FFFFFF" w:sz="0"/>
            </w:tcBorders>
            <w:tcMar>
              <w:top w:type="dxa" w:w="70"/>
              <w:left w:type="dxa" w:w="60"/>
              <w:bottom w:type="dxa" w:w="70"/>
              <w:right w:type="dxa" w:w="120"/>
            </w:tcMar>
            <w:vAlign w:val="top"/>
          </w:tcPr>
          <w:p>
            <w:r>
              <w:rPr>
                <w:b/>
                <w:bCs/>
                <w:color w:val="12343B"/>
                <w:sz w:val="19"/>
                <w:szCs w:val="19"/>
              </w:rPr>
              <w:t xml:space="preserve">2. Panorama económico</w:t>
            </w:r>
          </w:p>
        </w:tc>
        <w:tc>
          <w:tcPr>
            <w:tcW w:type="dxa" w:w="5443"/>
            <w:tcBorders>
              <w:top w:val="none" w:color="FFFFFF" w:sz="0"/>
              <w:left w:val="none" w:color="FFFFFF" w:sz="0"/>
              <w:bottom w:val="single" w:color="C9D3D6" w:sz="4"/>
              <w:right w:val="none" w:color="FFFFFF" w:sz="0"/>
            </w:tcBorders>
            <w:tcMar>
              <w:top w:type="dxa" w:w="70"/>
              <w:left w:type="dxa" w:w="60"/>
              <w:bottom w:type="dxa" w:w="70"/>
              <w:right w:type="dxa" w:w="60"/>
            </w:tcMar>
            <w:vAlign w:val="top"/>
          </w:tcPr>
          <w:p>
            <w:r>
              <w:rPr>
                <w:color w:val="5B6770"/>
                <w:sz w:val="19"/>
                <w:szCs w:val="19"/>
              </w:rPr>
              <w:t xml:space="preserve">Situación actual y los últimos tres a cinco años</w:t>
            </w:r>
          </w:p>
        </w:tc>
      </w:tr>
      <w:tr>
        <w:trPr>
          <w:cantSplit/>
        </w:trPr>
        <w:tc>
          <w:tcPr>
            <w:tcW w:type="dxa" w:w="3629"/>
            <w:tcBorders>
              <w:top w:val="none" w:color="FFFFFF" w:sz="0"/>
              <w:left w:val="none" w:color="FFFFFF" w:sz="0"/>
              <w:bottom w:val="single" w:color="C9D3D6" w:sz="4"/>
              <w:right w:val="none" w:color="FFFFFF" w:sz="0"/>
            </w:tcBorders>
            <w:tcMar>
              <w:top w:type="dxa" w:w="70"/>
              <w:left w:type="dxa" w:w="60"/>
              <w:bottom w:type="dxa" w:w="70"/>
              <w:right w:type="dxa" w:w="120"/>
            </w:tcMar>
            <w:vAlign w:val="top"/>
          </w:tcPr>
          <w:p>
            <w:r>
              <w:rPr>
                <w:b/>
                <w:bCs/>
                <w:color w:val="12343B"/>
                <w:sz w:val="19"/>
                <w:szCs w:val="19"/>
              </w:rPr>
              <w:t xml:space="preserve">3. Perspectivas de crecimiento</w:t>
            </w:r>
          </w:p>
        </w:tc>
        <w:tc>
          <w:tcPr>
            <w:tcW w:type="dxa" w:w="5443"/>
            <w:tcBorders>
              <w:top w:val="none" w:color="FFFFFF" w:sz="0"/>
              <w:left w:val="none" w:color="FFFFFF" w:sz="0"/>
              <w:bottom w:val="single" w:color="C9D3D6" w:sz="4"/>
              <w:right w:val="none" w:color="FFFFFF" w:sz="0"/>
            </w:tcBorders>
            <w:tcMar>
              <w:top w:type="dxa" w:w="70"/>
              <w:left w:type="dxa" w:w="60"/>
              <w:bottom w:type="dxa" w:w="70"/>
              <w:right w:type="dxa" w:w="60"/>
            </w:tcMar>
            <w:vAlign w:val="top"/>
          </w:tcPr>
          <w:p>
            <w:r>
              <w:rPr>
                <w:color w:val="5B6770"/>
                <w:sz w:val="19"/>
                <w:szCs w:val="19"/>
              </w:rPr>
              <w:t xml:space="preserve">Historia y proyección del PIB, sector del cliente, motores del crecimiento</w:t>
            </w:r>
          </w:p>
        </w:tc>
      </w:tr>
      <w:tr>
        <w:trPr>
          <w:cantSplit/>
        </w:trPr>
        <w:tc>
          <w:tcPr>
            <w:tcW w:type="dxa" w:w="3629"/>
            <w:tcBorders>
              <w:top w:val="none" w:color="FFFFFF" w:sz="0"/>
              <w:left w:val="none" w:color="FFFFFF" w:sz="0"/>
              <w:bottom w:val="single" w:color="C9D3D6" w:sz="4"/>
              <w:right w:val="none" w:color="FFFFFF" w:sz="0"/>
            </w:tcBorders>
            <w:tcMar>
              <w:top w:type="dxa" w:w="70"/>
              <w:left w:type="dxa" w:w="60"/>
              <w:bottom w:type="dxa" w:w="70"/>
              <w:right w:type="dxa" w:w="120"/>
            </w:tcMar>
            <w:vAlign w:val="top"/>
          </w:tcPr>
          <w:p>
            <w:r>
              <w:rPr>
                <w:b/>
                <w:bCs/>
                <w:color w:val="12343B"/>
                <w:sz w:val="19"/>
                <w:szCs w:val="19"/>
              </w:rPr>
              <w:t xml:space="preserve">4. Inflación</w:t>
            </w:r>
          </w:p>
        </w:tc>
        <w:tc>
          <w:tcPr>
            <w:tcW w:type="dxa" w:w="5443"/>
            <w:tcBorders>
              <w:top w:val="none" w:color="FFFFFF" w:sz="0"/>
              <w:left w:val="none" w:color="FFFFFF" w:sz="0"/>
              <w:bottom w:val="single" w:color="C9D3D6" w:sz="4"/>
              <w:right w:val="none" w:color="FFFFFF" w:sz="0"/>
            </w:tcBorders>
            <w:tcMar>
              <w:top w:type="dxa" w:w="70"/>
              <w:left w:type="dxa" w:w="60"/>
              <w:bottom w:type="dxa" w:w="70"/>
              <w:right w:type="dxa" w:w="60"/>
            </w:tcMar>
            <w:vAlign w:val="top"/>
          </w:tcPr>
          <w:p>
            <w:r>
              <w:rPr>
                <w:color w:val="5B6770"/>
                <w:sz w:val="19"/>
                <w:szCs w:val="19"/>
              </w:rPr>
              <w:t xml:space="preserve">Historia y proyección, efecto en los costos del cliente</w:t>
            </w:r>
          </w:p>
        </w:tc>
      </w:tr>
      <w:tr>
        <w:trPr>
          <w:cantSplit/>
        </w:trPr>
        <w:tc>
          <w:tcPr>
            <w:tcW w:type="dxa" w:w="3629"/>
            <w:tcBorders>
              <w:top w:val="none" w:color="FFFFFF" w:sz="0"/>
              <w:left w:val="none" w:color="FFFFFF" w:sz="0"/>
              <w:bottom w:val="single" w:color="C9D3D6" w:sz="4"/>
              <w:right w:val="none" w:color="FFFFFF" w:sz="0"/>
            </w:tcBorders>
            <w:tcMar>
              <w:top w:type="dxa" w:w="70"/>
              <w:left w:type="dxa" w:w="60"/>
              <w:bottom w:type="dxa" w:w="70"/>
              <w:right w:type="dxa" w:w="120"/>
            </w:tcMar>
            <w:vAlign w:val="top"/>
          </w:tcPr>
          <w:p>
            <w:r>
              <w:rPr>
                <w:b/>
                <w:bCs/>
                <w:color w:val="12343B"/>
                <w:sz w:val="19"/>
                <w:szCs w:val="19"/>
              </w:rPr>
              <w:t xml:space="preserve">5. Política monetaria y tasas de interés</w:t>
            </w:r>
          </w:p>
        </w:tc>
        <w:tc>
          <w:tcPr>
            <w:tcW w:type="dxa" w:w="5443"/>
            <w:tcBorders>
              <w:top w:val="none" w:color="FFFFFF" w:sz="0"/>
              <w:left w:val="none" w:color="FFFFFF" w:sz="0"/>
              <w:bottom w:val="single" w:color="C9D3D6" w:sz="4"/>
              <w:right w:val="none" w:color="FFFFFF" w:sz="0"/>
            </w:tcBorders>
            <w:tcMar>
              <w:top w:type="dxa" w:w="70"/>
              <w:left w:type="dxa" w:w="60"/>
              <w:bottom w:type="dxa" w:w="70"/>
              <w:right w:type="dxa" w:w="60"/>
            </w:tcMar>
            <w:vAlign w:val="top"/>
          </w:tcPr>
          <w:p>
            <w:r>
              <w:rPr>
                <w:color w:val="5B6770"/>
                <w:sz w:val="19"/>
                <w:szCs w:val="19"/>
              </w:rPr>
              <w:t xml:space="preserve">Tasa y postura del banco central, efecto en el costo del financiamiento</w:t>
            </w:r>
          </w:p>
        </w:tc>
      </w:tr>
      <w:tr>
        <w:trPr>
          <w:cantSplit/>
        </w:trPr>
        <w:tc>
          <w:tcPr>
            <w:tcW w:type="dxa" w:w="3629"/>
            <w:tcBorders>
              <w:top w:val="none" w:color="FFFFFF" w:sz="0"/>
              <w:left w:val="none" w:color="FFFFFF" w:sz="0"/>
              <w:bottom w:val="single" w:color="C9D3D6" w:sz="4"/>
              <w:right w:val="none" w:color="FFFFFF" w:sz="0"/>
            </w:tcBorders>
            <w:tcMar>
              <w:top w:type="dxa" w:w="70"/>
              <w:left w:type="dxa" w:w="60"/>
              <w:bottom w:type="dxa" w:w="70"/>
              <w:right w:type="dxa" w:w="120"/>
            </w:tcMar>
            <w:vAlign w:val="top"/>
          </w:tcPr>
          <w:p>
            <w:r>
              <w:rPr>
                <w:b/>
                <w:bCs/>
                <w:color w:val="12343B"/>
                <w:sz w:val="19"/>
                <w:szCs w:val="19"/>
              </w:rPr>
              <w:t xml:space="preserve">6. Finanzas públicas</w:t>
            </w:r>
          </w:p>
        </w:tc>
        <w:tc>
          <w:tcPr>
            <w:tcW w:type="dxa" w:w="5443"/>
            <w:tcBorders>
              <w:top w:val="none" w:color="FFFFFF" w:sz="0"/>
              <w:left w:val="none" w:color="FFFFFF" w:sz="0"/>
              <w:bottom w:val="single" w:color="C9D3D6" w:sz="4"/>
              <w:right w:val="none" w:color="FFFFFF" w:sz="0"/>
            </w:tcBorders>
            <w:tcMar>
              <w:top w:type="dxa" w:w="70"/>
              <w:left w:type="dxa" w:w="60"/>
              <w:bottom w:type="dxa" w:w="70"/>
              <w:right w:type="dxa" w:w="60"/>
            </w:tcMar>
            <w:vAlign w:val="top"/>
          </w:tcPr>
          <w:p>
            <w:r>
              <w:rPr>
                <w:color w:val="5B6770"/>
                <w:sz w:val="19"/>
                <w:szCs w:val="19"/>
              </w:rPr>
              <w:t xml:space="preserve">Balance fiscal, deuda pública, perspectivas tributarias, medidas que afectan al sector</w:t>
            </w:r>
          </w:p>
        </w:tc>
      </w:tr>
      <w:tr>
        <w:trPr>
          <w:cantSplit/>
        </w:trPr>
        <w:tc>
          <w:tcPr>
            <w:tcW w:type="dxa" w:w="3629"/>
            <w:tcBorders>
              <w:top w:val="none" w:color="FFFFFF" w:sz="0"/>
              <w:left w:val="none" w:color="FFFFFF" w:sz="0"/>
              <w:bottom w:val="single" w:color="C9D3D6" w:sz="4"/>
              <w:right w:val="none" w:color="FFFFFF" w:sz="0"/>
            </w:tcBorders>
            <w:tcMar>
              <w:top w:type="dxa" w:w="70"/>
              <w:left w:type="dxa" w:w="60"/>
              <w:bottom w:type="dxa" w:w="70"/>
              <w:right w:type="dxa" w:w="120"/>
            </w:tcMar>
            <w:vAlign w:val="top"/>
          </w:tcPr>
          <w:p>
            <w:r>
              <w:rPr>
                <w:b/>
                <w:bCs/>
                <w:color w:val="12343B"/>
                <w:sz w:val="19"/>
                <w:szCs w:val="19"/>
              </w:rPr>
              <w:t xml:space="preserve">7. Sector externo</w:t>
            </w:r>
          </w:p>
        </w:tc>
        <w:tc>
          <w:tcPr>
            <w:tcW w:type="dxa" w:w="5443"/>
            <w:tcBorders>
              <w:top w:val="none" w:color="FFFFFF" w:sz="0"/>
              <w:left w:val="none" w:color="FFFFFF" w:sz="0"/>
              <w:bottom w:val="single" w:color="C9D3D6" w:sz="4"/>
              <w:right w:val="none" w:color="FFFFFF" w:sz="0"/>
            </w:tcBorders>
            <w:tcMar>
              <w:top w:type="dxa" w:w="70"/>
              <w:left w:type="dxa" w:w="60"/>
              <w:bottom w:type="dxa" w:w="70"/>
              <w:right w:type="dxa" w:w="60"/>
            </w:tcMar>
            <w:vAlign w:val="top"/>
          </w:tcPr>
          <w:p>
            <w:r>
              <w:rPr>
                <w:color w:val="5B6770"/>
                <w:sz w:val="19"/>
                <w:szCs w:val="19"/>
              </w:rPr>
              <w:t xml:space="preserve">Perspectivas del tipo de cambio, comercio y cuenta corriente, reservas</w:t>
            </w:r>
          </w:p>
        </w:tc>
      </w:tr>
      <w:tr>
        <w:trPr>
          <w:cantSplit/>
        </w:trPr>
        <w:tc>
          <w:tcPr>
            <w:tcW w:type="dxa" w:w="3629"/>
            <w:tcBorders>
              <w:top w:val="none" w:color="FFFFFF" w:sz="0"/>
              <w:left w:val="none" w:color="FFFFFF" w:sz="0"/>
              <w:bottom w:val="single" w:color="C9D3D6" w:sz="4"/>
              <w:right w:val="none" w:color="FFFFFF" w:sz="0"/>
            </w:tcBorders>
            <w:tcMar>
              <w:top w:type="dxa" w:w="70"/>
              <w:left w:type="dxa" w:w="60"/>
              <w:bottom w:type="dxa" w:w="70"/>
              <w:right w:type="dxa" w:w="120"/>
            </w:tcMar>
            <w:vAlign w:val="top"/>
          </w:tcPr>
          <w:p>
            <w:r>
              <w:rPr>
                <w:b/>
                <w:bCs/>
                <w:color w:val="12343B"/>
                <w:sz w:val="19"/>
                <w:szCs w:val="19"/>
              </w:rPr>
              <w:t xml:space="preserve">8. Impacto en el sector</w:t>
            </w:r>
          </w:p>
        </w:tc>
        <w:tc>
          <w:tcPr>
            <w:tcW w:type="dxa" w:w="5443"/>
            <w:tcBorders>
              <w:top w:val="none" w:color="FFFFFF" w:sz="0"/>
              <w:left w:val="none" w:color="FFFFFF" w:sz="0"/>
              <w:bottom w:val="single" w:color="C9D3D6" w:sz="4"/>
              <w:right w:val="none" w:color="FFFFFF" w:sz="0"/>
            </w:tcBorders>
            <w:tcMar>
              <w:top w:type="dxa" w:w="70"/>
              <w:left w:type="dxa" w:w="60"/>
              <w:bottom w:type="dxa" w:w="70"/>
              <w:right w:type="dxa" w:w="60"/>
            </w:tcMar>
            <w:vAlign w:val="top"/>
          </w:tcPr>
          <w:p>
            <w:r>
              <w:rPr>
                <w:color w:val="5B6770"/>
                <w:sz w:val="19"/>
                <w:szCs w:val="19"/>
              </w:rPr>
              <w:t xml:space="preserve">Cómo llega cada variable a la demanda, los costos y los márgenes</w:t>
            </w:r>
          </w:p>
        </w:tc>
      </w:tr>
      <w:tr>
        <w:trPr>
          <w:cantSplit/>
        </w:trPr>
        <w:tc>
          <w:tcPr>
            <w:tcW w:type="dxa" w:w="3629"/>
            <w:tcBorders>
              <w:top w:val="none" w:color="FFFFFF" w:sz="0"/>
              <w:left w:val="none" w:color="FFFFFF" w:sz="0"/>
              <w:bottom w:val="single" w:color="C9D3D6" w:sz="4"/>
              <w:right w:val="none" w:color="FFFFFF" w:sz="0"/>
            </w:tcBorders>
            <w:tcMar>
              <w:top w:type="dxa" w:w="70"/>
              <w:left w:type="dxa" w:w="60"/>
              <w:bottom w:type="dxa" w:w="70"/>
              <w:right w:type="dxa" w:w="120"/>
            </w:tcMar>
            <w:vAlign w:val="top"/>
          </w:tcPr>
          <w:p>
            <w:r>
              <w:rPr>
                <w:b/>
                <w:bCs/>
                <w:color w:val="12343B"/>
                <w:sz w:val="19"/>
                <w:szCs w:val="19"/>
              </w:rPr>
              <w:t xml:space="preserve">9. Escenarios</w:t>
            </w:r>
          </w:p>
        </w:tc>
        <w:tc>
          <w:tcPr>
            <w:tcW w:type="dxa" w:w="5443"/>
            <w:tcBorders>
              <w:top w:val="none" w:color="FFFFFF" w:sz="0"/>
              <w:left w:val="none" w:color="FFFFFF" w:sz="0"/>
              <w:bottom w:val="single" w:color="C9D3D6" w:sz="4"/>
              <w:right w:val="none" w:color="FFFFFF" w:sz="0"/>
            </w:tcBorders>
            <w:tcMar>
              <w:top w:type="dxa" w:w="70"/>
              <w:left w:type="dxa" w:w="60"/>
              <w:bottom w:type="dxa" w:w="70"/>
              <w:right w:type="dxa" w:w="60"/>
            </w:tcMar>
            <w:vAlign w:val="top"/>
          </w:tcPr>
          <w:p>
            <w:r>
              <w:rPr>
                <w:color w:val="5B6770"/>
                <w:sz w:val="19"/>
                <w:szCs w:val="19"/>
              </w:rPr>
              <w:t xml:space="preserve">Base, optimista y pesimista</w:t>
            </w:r>
          </w:p>
        </w:tc>
      </w:tr>
      <w:tr>
        <w:trPr>
          <w:cantSplit/>
        </w:trPr>
        <w:tc>
          <w:tcPr>
            <w:tcW w:type="dxa" w:w="3629"/>
            <w:tcBorders>
              <w:top w:val="none" w:color="FFFFFF" w:sz="0"/>
              <w:left w:val="none" w:color="FFFFFF" w:sz="0"/>
              <w:bottom w:val="single" w:color="C9D3D6" w:sz="4"/>
              <w:right w:val="none" w:color="FFFFFF" w:sz="0"/>
            </w:tcBorders>
            <w:tcMar>
              <w:top w:type="dxa" w:w="70"/>
              <w:left w:type="dxa" w:w="60"/>
              <w:bottom w:type="dxa" w:w="70"/>
              <w:right w:type="dxa" w:w="120"/>
            </w:tcMar>
            <w:vAlign w:val="top"/>
          </w:tcPr>
          <w:p>
            <w:r>
              <w:rPr>
                <w:b/>
                <w:bCs/>
                <w:color w:val="12343B"/>
                <w:sz w:val="19"/>
                <w:szCs w:val="19"/>
              </w:rPr>
              <w:t xml:space="preserve">10. Conclusiones e implicaciones</w:t>
            </w:r>
          </w:p>
        </w:tc>
        <w:tc>
          <w:tcPr>
            <w:tcW w:type="dxa" w:w="5443"/>
            <w:tcBorders>
              <w:top w:val="none" w:color="FFFFFF" w:sz="0"/>
              <w:left w:val="none" w:color="FFFFFF" w:sz="0"/>
              <w:bottom w:val="single" w:color="C9D3D6" w:sz="4"/>
              <w:right w:val="none" w:color="FFFFFF" w:sz="0"/>
            </w:tcBorders>
            <w:tcMar>
              <w:top w:type="dxa" w:w="70"/>
              <w:left w:type="dxa" w:w="60"/>
              <w:bottom w:type="dxa" w:w="70"/>
              <w:right w:type="dxa" w:w="60"/>
            </w:tcMar>
            <w:vAlign w:val="top"/>
          </w:tcPr>
          <w:p>
            <w:r>
              <w:rPr>
                <w:color w:val="5B6770"/>
                <w:sz w:val="19"/>
                <w:szCs w:val="19"/>
              </w:rPr>
              <w:t xml:space="preserve">Lo que el cliente debe extraer del estudio</w:t>
            </w:r>
          </w:p>
        </w:tc>
      </w:tr>
      <w:tr>
        <w:trPr>
          <w:cantSplit/>
        </w:trPr>
        <w:tc>
          <w:tcPr>
            <w:tcW w:type="dxa" w:w="3629"/>
            <w:tcBorders>
              <w:top w:val="none" w:color="FFFFFF" w:sz="0"/>
              <w:left w:val="none" w:color="FFFFFF" w:sz="0"/>
              <w:bottom w:val="single" w:color="C9D3D6" w:sz="4"/>
              <w:right w:val="none" w:color="FFFFFF" w:sz="0"/>
            </w:tcBorders>
            <w:tcMar>
              <w:top w:type="dxa" w:w="70"/>
              <w:left w:type="dxa" w:w="60"/>
              <w:bottom w:type="dxa" w:w="70"/>
              <w:right w:type="dxa" w:w="120"/>
            </w:tcMar>
            <w:vAlign w:val="top"/>
          </w:tcPr>
          <w:p>
            <w:r>
              <w:rPr>
                <w:b/>
                <w:bCs/>
                <w:color w:val="12343B"/>
                <w:sz w:val="19"/>
                <w:szCs w:val="19"/>
              </w:rPr>
              <w:t xml:space="preserve">Anexos</w:t>
            </w:r>
          </w:p>
        </w:tc>
        <w:tc>
          <w:tcPr>
            <w:tcW w:type="dxa" w:w="5443"/>
            <w:tcBorders>
              <w:top w:val="none" w:color="FFFFFF" w:sz="0"/>
              <w:left w:val="none" w:color="FFFFFF" w:sz="0"/>
              <w:bottom w:val="single" w:color="C9D3D6" w:sz="4"/>
              <w:right w:val="none" w:color="FFFFFF" w:sz="0"/>
            </w:tcBorders>
            <w:tcMar>
              <w:top w:type="dxa" w:w="70"/>
              <w:left w:type="dxa" w:w="60"/>
              <w:bottom w:type="dxa" w:w="70"/>
              <w:right w:type="dxa" w:w="60"/>
            </w:tcMar>
            <w:vAlign w:val="top"/>
          </w:tcPr>
          <w:p>
            <w:r>
              <w:rPr>
                <w:color w:val="5B6770"/>
                <w:sz w:val="19"/>
                <w:szCs w:val="19"/>
              </w:rPr>
              <w:t xml:space="preserve">Tablas de datos, lista completa de fuentes, método y supuestos</w:t>
            </w:r>
          </w:p>
        </w:tc>
      </w:tr>
    </w:tbl>
    <w:p>
      <w:pPr>
        <w:spacing w:after="200" w:before="0" w:line="120"/>
      </w:pPr>
    </w:p>
    <w:p>
      <w:pPr>
        <w:pStyle w:val="Heading3"/>
      </w:pPr>
      <w:r>
        <w:t xml:space="preserve">Matriz de Riesgos y Oportunidades</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29"/>
        <w:gridCol w:w="5443"/>
      </w:tblGrid>
      <w:tr>
        <w:trPr>
          <w:cantSplit/>
        </w:trPr>
        <w:tc>
          <w:tcPr>
            <w:tcW w:type="dxa" w:w="3629"/>
            <w:tcBorders>
              <w:top w:val="none" w:color="FFFFFF" w:sz="0"/>
              <w:left w:val="none" w:color="FFFFFF" w:sz="0"/>
              <w:bottom w:val="single" w:color="C9D3D6" w:sz="4"/>
              <w:right w:val="none" w:color="FFFFFF" w:sz="0"/>
            </w:tcBorders>
            <w:tcMar>
              <w:top w:type="dxa" w:w="70"/>
              <w:left w:type="dxa" w:w="60"/>
              <w:bottom w:type="dxa" w:w="70"/>
              <w:right w:type="dxa" w:w="120"/>
            </w:tcMar>
            <w:vAlign w:val="top"/>
          </w:tcPr>
          <w:p>
            <w:r>
              <w:rPr>
                <w:b/>
                <w:bCs/>
                <w:color w:val="12343B"/>
                <w:sz w:val="19"/>
                <w:szCs w:val="19"/>
              </w:rPr>
              <w:t xml:space="preserve">Portada y control del documento</w:t>
            </w:r>
          </w:p>
        </w:tc>
        <w:tc>
          <w:tcPr>
            <w:tcW w:type="dxa" w:w="5443"/>
            <w:tcBorders>
              <w:top w:val="none" w:color="FFFFFF" w:sz="0"/>
              <w:left w:val="none" w:color="FFFFFF" w:sz="0"/>
              <w:bottom w:val="single" w:color="C9D3D6" w:sz="4"/>
              <w:right w:val="none" w:color="FFFFFF" w:sz="0"/>
            </w:tcBorders>
            <w:tcMar>
              <w:top w:type="dxa" w:w="70"/>
              <w:left w:type="dxa" w:w="60"/>
              <w:bottom w:type="dxa" w:w="70"/>
              <w:right w:type="dxa" w:w="60"/>
            </w:tcMar>
            <w:vAlign w:val="top"/>
          </w:tcPr>
          <w:p>
            <w:r>
              <w:rPr>
                <w:color w:val="5B6770"/>
                <w:sz w:val="19"/>
                <w:szCs w:val="19"/>
              </w:rPr>
              <w:t xml:space="preserve"/>
            </w:r>
          </w:p>
        </w:tc>
      </w:tr>
      <w:tr>
        <w:trPr>
          <w:cantSplit/>
        </w:trPr>
        <w:tc>
          <w:tcPr>
            <w:tcW w:type="dxa" w:w="3629"/>
            <w:tcBorders>
              <w:top w:val="none" w:color="FFFFFF" w:sz="0"/>
              <w:left w:val="none" w:color="FFFFFF" w:sz="0"/>
              <w:bottom w:val="single" w:color="C9D3D6" w:sz="4"/>
              <w:right w:val="none" w:color="FFFFFF" w:sz="0"/>
            </w:tcBorders>
            <w:tcMar>
              <w:top w:type="dxa" w:w="70"/>
              <w:left w:type="dxa" w:w="60"/>
              <w:bottom w:type="dxa" w:w="70"/>
              <w:right w:type="dxa" w:w="120"/>
            </w:tcMar>
            <w:vAlign w:val="top"/>
          </w:tcPr>
          <w:p>
            <w:r>
              <w:rPr>
                <w:b/>
                <w:bCs/>
                <w:color w:val="12343B"/>
                <w:sz w:val="19"/>
                <w:szCs w:val="19"/>
              </w:rPr>
              <w:t xml:space="preserve">1. Cómo leer esta matriz</w:t>
            </w:r>
          </w:p>
        </w:tc>
        <w:tc>
          <w:tcPr>
            <w:tcW w:type="dxa" w:w="5443"/>
            <w:tcBorders>
              <w:top w:val="none" w:color="FFFFFF" w:sz="0"/>
              <w:left w:val="none" w:color="FFFFFF" w:sz="0"/>
              <w:bottom w:val="single" w:color="C9D3D6" w:sz="4"/>
              <w:right w:val="none" w:color="FFFFFF" w:sz="0"/>
            </w:tcBorders>
            <w:tcMar>
              <w:top w:type="dxa" w:w="70"/>
              <w:left w:type="dxa" w:w="60"/>
              <w:bottom w:type="dxa" w:w="70"/>
              <w:right w:type="dxa" w:w="60"/>
            </w:tcMar>
            <w:vAlign w:val="top"/>
          </w:tcPr>
          <w:p>
            <w:r>
              <w:rPr>
                <w:color w:val="5B6770"/>
                <w:sz w:val="19"/>
                <w:szCs w:val="19"/>
              </w:rPr>
              <w:t xml:space="preserve">Definición de las escalas de probabilidad e impacto</w:t>
            </w:r>
          </w:p>
        </w:tc>
      </w:tr>
      <w:tr>
        <w:trPr>
          <w:cantSplit/>
        </w:trPr>
        <w:tc>
          <w:tcPr>
            <w:tcW w:type="dxa" w:w="3629"/>
            <w:tcBorders>
              <w:top w:val="none" w:color="FFFFFF" w:sz="0"/>
              <w:left w:val="none" w:color="FFFFFF" w:sz="0"/>
              <w:bottom w:val="single" w:color="C9D3D6" w:sz="4"/>
              <w:right w:val="none" w:color="FFFFFF" w:sz="0"/>
            </w:tcBorders>
            <w:tcMar>
              <w:top w:type="dxa" w:w="70"/>
              <w:left w:type="dxa" w:w="60"/>
              <w:bottom w:type="dxa" w:w="70"/>
              <w:right w:type="dxa" w:w="120"/>
            </w:tcMar>
            <w:vAlign w:val="top"/>
          </w:tcPr>
          <w:p>
            <w:r>
              <w:rPr>
                <w:b/>
                <w:bCs/>
                <w:color w:val="12343B"/>
                <w:sz w:val="19"/>
                <w:szCs w:val="19"/>
              </w:rPr>
              <w:t xml:space="preserve">2. Matriz de riesgos</w:t>
            </w:r>
          </w:p>
        </w:tc>
        <w:tc>
          <w:tcPr>
            <w:tcW w:type="dxa" w:w="5443"/>
            <w:tcBorders>
              <w:top w:val="none" w:color="FFFFFF" w:sz="0"/>
              <w:left w:val="none" w:color="FFFFFF" w:sz="0"/>
              <w:bottom w:val="single" w:color="C9D3D6" w:sz="4"/>
              <w:right w:val="none" w:color="FFFFFF" w:sz="0"/>
            </w:tcBorders>
            <w:tcMar>
              <w:top w:type="dxa" w:w="70"/>
              <w:left w:type="dxa" w:w="60"/>
              <w:bottom w:type="dxa" w:w="70"/>
              <w:right w:type="dxa" w:w="60"/>
            </w:tcMar>
            <w:vAlign w:val="top"/>
          </w:tcPr>
          <w:p>
            <w:r>
              <w:rPr>
                <w:color w:val="5B6770"/>
                <w:sz w:val="19"/>
                <w:szCs w:val="19"/>
              </w:rPr>
              <w:t xml:space="preserve">Inflación, tipo de cambio, tasas de interés, impuestos y políticas, costos de insumos, demanda</w:t>
            </w:r>
          </w:p>
        </w:tc>
      </w:tr>
      <w:tr>
        <w:trPr>
          <w:cantSplit/>
        </w:trPr>
        <w:tc>
          <w:tcPr>
            <w:tcW w:type="dxa" w:w="3629"/>
            <w:tcBorders>
              <w:top w:val="none" w:color="FFFFFF" w:sz="0"/>
              <w:left w:val="none" w:color="FFFFFF" w:sz="0"/>
              <w:bottom w:val="single" w:color="C9D3D6" w:sz="4"/>
              <w:right w:val="none" w:color="FFFFFF" w:sz="0"/>
            </w:tcBorders>
            <w:tcMar>
              <w:top w:type="dxa" w:w="70"/>
              <w:left w:type="dxa" w:w="60"/>
              <w:bottom w:type="dxa" w:w="70"/>
              <w:right w:type="dxa" w:w="120"/>
            </w:tcMar>
            <w:vAlign w:val="top"/>
          </w:tcPr>
          <w:p>
            <w:r>
              <w:rPr>
                <w:b/>
                <w:bCs/>
                <w:color w:val="12343B"/>
                <w:sz w:val="19"/>
                <w:szCs w:val="19"/>
              </w:rPr>
              <w:t xml:space="preserve">3. Oportunidades</w:t>
            </w:r>
          </w:p>
        </w:tc>
        <w:tc>
          <w:tcPr>
            <w:tcW w:type="dxa" w:w="5443"/>
            <w:tcBorders>
              <w:top w:val="none" w:color="FFFFFF" w:sz="0"/>
              <w:left w:val="none" w:color="FFFFFF" w:sz="0"/>
              <w:bottom w:val="single" w:color="C9D3D6" w:sz="4"/>
              <w:right w:val="none" w:color="FFFFFF" w:sz="0"/>
            </w:tcBorders>
            <w:tcMar>
              <w:top w:type="dxa" w:w="70"/>
              <w:left w:type="dxa" w:w="60"/>
              <w:bottom w:type="dxa" w:w="70"/>
              <w:right w:type="dxa" w:w="60"/>
            </w:tcMar>
            <w:vAlign w:val="top"/>
          </w:tcPr>
          <w:p>
            <w:r>
              <w:rPr>
                <w:color w:val="5B6770"/>
                <w:sz w:val="19"/>
                <w:szCs w:val="19"/>
              </w:rPr>
              <w:t xml:space="preserve">Escenarios favorables y cómo aprovecharlos</w:t>
            </w:r>
          </w:p>
        </w:tc>
      </w:tr>
      <w:tr>
        <w:trPr>
          <w:cantSplit/>
        </w:trPr>
        <w:tc>
          <w:tcPr>
            <w:tcW w:type="dxa" w:w="3629"/>
            <w:tcBorders>
              <w:top w:val="none" w:color="FFFFFF" w:sz="0"/>
              <w:left w:val="none" w:color="FFFFFF" w:sz="0"/>
              <w:bottom w:val="single" w:color="C9D3D6" w:sz="4"/>
              <w:right w:val="none" w:color="FFFFFF" w:sz="0"/>
            </w:tcBorders>
            <w:tcMar>
              <w:top w:type="dxa" w:w="70"/>
              <w:left w:type="dxa" w:w="60"/>
              <w:bottom w:type="dxa" w:w="70"/>
              <w:right w:type="dxa" w:w="120"/>
            </w:tcMar>
            <w:vAlign w:val="top"/>
          </w:tcPr>
          <w:p>
            <w:r>
              <w:rPr>
                <w:b/>
                <w:bCs/>
                <w:color w:val="12343B"/>
                <w:sz w:val="19"/>
                <w:szCs w:val="19"/>
              </w:rPr>
              <w:t xml:space="preserve">4. Plan de contingencia</w:t>
            </w:r>
          </w:p>
        </w:tc>
        <w:tc>
          <w:tcPr>
            <w:tcW w:type="dxa" w:w="5443"/>
            <w:tcBorders>
              <w:top w:val="none" w:color="FFFFFF" w:sz="0"/>
              <w:left w:val="none" w:color="FFFFFF" w:sz="0"/>
              <w:bottom w:val="single" w:color="C9D3D6" w:sz="4"/>
              <w:right w:val="none" w:color="FFFFFF" w:sz="0"/>
            </w:tcBorders>
            <w:tcMar>
              <w:top w:type="dxa" w:w="70"/>
              <w:left w:type="dxa" w:w="60"/>
              <w:bottom w:type="dxa" w:w="70"/>
              <w:right w:type="dxa" w:w="60"/>
            </w:tcMar>
            <w:vAlign w:val="top"/>
          </w:tcPr>
          <w:p>
            <w:r>
              <w:rPr>
                <w:color w:val="5B6770"/>
                <w:sz w:val="19"/>
                <w:szCs w:val="19"/>
              </w:rPr>
              <w:t xml:space="preserve">Respuestas ante los riesgos de inflación, tipo de cambio y tasas de interés</w:t>
            </w:r>
          </w:p>
        </w:tc>
      </w:tr>
      <w:tr>
        <w:trPr>
          <w:cantSplit/>
        </w:trPr>
        <w:tc>
          <w:tcPr>
            <w:tcW w:type="dxa" w:w="3629"/>
            <w:tcBorders>
              <w:top w:val="none" w:color="FFFFFF" w:sz="0"/>
              <w:left w:val="none" w:color="FFFFFF" w:sz="0"/>
              <w:bottom w:val="single" w:color="C9D3D6" w:sz="4"/>
              <w:right w:val="none" w:color="FFFFFF" w:sz="0"/>
            </w:tcBorders>
            <w:tcMar>
              <w:top w:type="dxa" w:w="70"/>
              <w:left w:type="dxa" w:w="60"/>
              <w:bottom w:type="dxa" w:w="70"/>
              <w:right w:type="dxa" w:w="120"/>
            </w:tcMar>
            <w:vAlign w:val="top"/>
          </w:tcPr>
          <w:p>
            <w:r>
              <w:rPr>
                <w:b/>
                <w:bCs/>
                <w:color w:val="12343B"/>
                <w:sz w:val="19"/>
                <w:szCs w:val="19"/>
              </w:rPr>
              <w:t xml:space="preserve">5. Indicadores de alerta temprana</w:t>
            </w:r>
          </w:p>
        </w:tc>
        <w:tc>
          <w:tcPr>
            <w:tcW w:type="dxa" w:w="5443"/>
            <w:tcBorders>
              <w:top w:val="none" w:color="FFFFFF" w:sz="0"/>
              <w:left w:val="none" w:color="FFFFFF" w:sz="0"/>
              <w:bottom w:val="single" w:color="C9D3D6" w:sz="4"/>
              <w:right w:val="none" w:color="FFFFFF" w:sz="0"/>
            </w:tcBorders>
            <w:tcMar>
              <w:top w:type="dxa" w:w="70"/>
              <w:left w:type="dxa" w:w="60"/>
              <w:bottom w:type="dxa" w:w="70"/>
              <w:right w:type="dxa" w:w="60"/>
            </w:tcMar>
            <w:vAlign w:val="top"/>
          </w:tcPr>
          <w:p>
            <w:r>
              <w:rPr>
                <w:color w:val="5B6770"/>
                <w:sz w:val="19"/>
                <w:szCs w:val="19"/>
              </w:rPr>
              <w:t xml:space="preserve">Qué vigilar y los niveles de activación</w:t>
            </w:r>
          </w:p>
        </w:tc>
      </w:tr>
      <w:tr>
        <w:trPr>
          <w:cantSplit/>
        </w:trPr>
        <w:tc>
          <w:tcPr>
            <w:tcW w:type="dxa" w:w="3629"/>
            <w:tcBorders>
              <w:top w:val="none" w:color="FFFFFF" w:sz="0"/>
              <w:left w:val="none" w:color="FFFFFF" w:sz="0"/>
              <w:bottom w:val="single" w:color="C9D3D6" w:sz="4"/>
              <w:right w:val="none" w:color="FFFFFF" w:sz="0"/>
            </w:tcBorders>
            <w:tcMar>
              <w:top w:type="dxa" w:w="70"/>
              <w:left w:type="dxa" w:w="60"/>
              <w:bottom w:type="dxa" w:w="70"/>
              <w:right w:type="dxa" w:w="120"/>
            </w:tcMar>
            <w:vAlign w:val="top"/>
          </w:tcPr>
          <w:p>
            <w:r>
              <w:rPr>
                <w:b/>
                <w:bCs/>
                <w:color w:val="12343B"/>
                <w:sz w:val="19"/>
                <w:szCs w:val="19"/>
              </w:rPr>
              <w:t xml:space="preserve">6. Resumen y acciones prioritarias</w:t>
            </w:r>
          </w:p>
        </w:tc>
        <w:tc>
          <w:tcPr>
            <w:tcW w:type="dxa" w:w="5443"/>
            <w:tcBorders>
              <w:top w:val="none" w:color="FFFFFF" w:sz="0"/>
              <w:left w:val="none" w:color="FFFFFF" w:sz="0"/>
              <w:bottom w:val="single" w:color="C9D3D6" w:sz="4"/>
              <w:right w:val="none" w:color="FFFFFF" w:sz="0"/>
            </w:tcBorders>
            <w:tcMar>
              <w:top w:type="dxa" w:w="70"/>
              <w:left w:type="dxa" w:w="60"/>
              <w:bottom w:type="dxa" w:w="70"/>
              <w:right w:type="dxa" w:w="60"/>
            </w:tcMar>
            <w:vAlign w:val="top"/>
          </w:tcPr>
          <w:p>
            <w:r>
              <w:rPr>
                <w:color w:val="5B6770"/>
                <w:sz w:val="19"/>
                <w:szCs w:val="19"/>
              </w:rPr>
              <w:t xml:space="preserve"/>
            </w:r>
          </w:p>
        </w:tc>
      </w:tr>
    </w:tbl>
    <w:p>
      <w:pPr>
        <w:spacing w:after="200" w:before="0" w:line="120"/>
      </w:pPr>
    </w:p>
    <w:p>
      <w:pPr>
        <w:pStyle w:val="Heading1"/>
      </w:pPr>
      <w:r>
        <w:t xml:space="preserve">Anexo B. Glosario</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40"/>
        <w:gridCol w:w="6532"/>
      </w:tblGrid>
      <w:tr>
        <w:trPr>
          <w:tblHeader/>
        </w:trPr>
        <w:tc>
          <w:tcPr>
            <w:tcW w:type="dxa" w:w="2540"/>
            <w:tcBorders>
              <w:top w:val="single" w:color="12343B" w:sz="4"/>
              <w:left w:val="single" w:color="12343B" w:sz="4"/>
              <w:bottom w:val="single" w:color="12343B" w:sz="4"/>
              <w:right w:val="single" w:color="12343B" w:sz="4"/>
            </w:tcBorders>
            <w:shd w:fill="12343B" w:color="auto" w:val="clear"/>
            <w:tcMar>
              <w:top w:type="dxa" w:w="90"/>
              <w:left w:type="dxa" w:w="120"/>
              <w:bottom w:type="dxa" w:w="90"/>
              <w:right w:type="dxa" w:w="120"/>
            </w:tcMar>
            <w:vAlign w:val="top"/>
          </w:tcPr>
          <w:p>
            <w:r>
              <w:rPr>
                <w:b/>
                <w:bCs/>
                <w:color w:val="FFFFFF"/>
                <w:sz w:val="19"/>
                <w:szCs w:val="19"/>
              </w:rPr>
              <w:t xml:space="preserve">Término</w:t>
            </w:r>
          </w:p>
        </w:tc>
        <w:tc>
          <w:tcPr>
            <w:tcW w:type="dxa" w:w="6532"/>
            <w:tcBorders>
              <w:top w:val="single" w:color="12343B" w:sz="4"/>
              <w:left w:val="single" w:color="12343B" w:sz="4"/>
              <w:bottom w:val="single" w:color="12343B" w:sz="4"/>
              <w:right w:val="single" w:color="12343B" w:sz="4"/>
            </w:tcBorders>
            <w:shd w:fill="12343B" w:color="auto" w:val="clear"/>
            <w:tcMar>
              <w:top w:type="dxa" w:w="90"/>
              <w:left w:type="dxa" w:w="120"/>
              <w:bottom w:type="dxa" w:w="90"/>
              <w:right w:type="dxa" w:w="120"/>
            </w:tcMar>
            <w:vAlign w:val="top"/>
          </w:tcPr>
          <w:p>
            <w:r>
              <w:rPr>
                <w:b/>
                <w:bCs/>
                <w:color w:val="FFFFFF"/>
                <w:sz w:val="19"/>
                <w:szCs w:val="19"/>
              </w:rPr>
              <w:t xml:space="preserve">Significado</w:t>
            </w:r>
          </w:p>
        </w:tc>
      </w:tr>
      <w:tr>
        <w:trPr>
          <w:cantSplit/>
        </w:trPr>
        <w:tc>
          <w:tcPr>
            <w:tcW w:type="dxa" w:w="2540"/>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bCs/>
                <w:color w:val="12343B"/>
                <w:sz w:val="19"/>
                <w:szCs w:val="19"/>
              </w:rPr>
              <w:t xml:space="preserve">Cifra real</w:t>
            </w:r>
          </w:p>
        </w:tc>
        <w:tc>
          <w:tcPr>
            <w:tcW w:type="dxa" w:w="6532"/>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val="false"/>
                <w:bCs w:val="false"/>
                <w:color w:val="1E2A30"/>
                <w:sz w:val="19"/>
                <w:szCs w:val="19"/>
              </w:rPr>
              <w:t xml:space="preserve">Un valor publicado para un período que ya terminó</w:t>
            </w:r>
          </w:p>
        </w:tc>
      </w:tr>
      <w:tr>
        <w:trPr>
          <w:cantSplit/>
        </w:trPr>
        <w:tc>
          <w:tcPr>
            <w:tcW w:type="dxa" w:w="2540"/>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bCs/>
                <w:color w:val="12343B"/>
                <w:sz w:val="19"/>
                <w:szCs w:val="19"/>
              </w:rPr>
              <w:t xml:space="preserve">Proyección</w:t>
            </w:r>
          </w:p>
        </w:tc>
        <w:tc>
          <w:tcPr>
            <w:tcW w:type="dxa" w:w="6532"/>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val="false"/>
                <w:bCs w:val="false"/>
                <w:color w:val="1E2A30"/>
                <w:sz w:val="19"/>
                <w:szCs w:val="19"/>
              </w:rPr>
              <w:t xml:space="preserve">La estimación publicada por una institución para un período futuro</w:t>
            </w:r>
          </w:p>
        </w:tc>
      </w:tr>
      <w:tr>
        <w:trPr>
          <w:cantSplit/>
        </w:trPr>
        <w:tc>
          <w:tcPr>
            <w:tcW w:type="dxa" w:w="2540"/>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bCs/>
                <w:color w:val="12343B"/>
                <w:sz w:val="19"/>
                <w:szCs w:val="19"/>
              </w:rPr>
              <w:t xml:space="preserve">Edición de los datos</w:t>
            </w:r>
          </w:p>
        </w:tc>
        <w:tc>
          <w:tcPr>
            <w:tcW w:type="dxa" w:w="6532"/>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val="false"/>
                <w:bCs w:val="false"/>
                <w:color w:val="1E2A30"/>
                <w:sz w:val="19"/>
                <w:szCs w:val="19"/>
              </w:rPr>
              <w:t xml:space="preserve">La publicación concreta de la que proviene una cifra, por ejemplo la edición de abril u octubre de Perspectivas de la economía mundial del FMI</w:t>
            </w:r>
          </w:p>
        </w:tc>
      </w:tr>
      <w:tr>
        <w:trPr>
          <w:cantSplit/>
        </w:trPr>
        <w:tc>
          <w:tcPr>
            <w:tcW w:type="dxa" w:w="2540"/>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bCs/>
                <w:color w:val="12343B"/>
                <w:sz w:val="19"/>
                <w:szCs w:val="19"/>
              </w:rPr>
              <w:t xml:space="preserve">PIB</w:t>
            </w:r>
          </w:p>
        </w:tc>
        <w:tc>
          <w:tcPr>
            <w:tcW w:type="dxa" w:w="6532"/>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val="false"/>
                <w:bCs w:val="false"/>
                <w:color w:val="1E2A30"/>
                <w:sz w:val="19"/>
                <w:szCs w:val="19"/>
              </w:rPr>
              <w:t xml:space="preserve">Producto interno bruto: el valor total de los bienes y servicios que produce una economía</w:t>
            </w:r>
          </w:p>
        </w:tc>
      </w:tr>
      <w:tr>
        <w:trPr>
          <w:cantSplit/>
        </w:trPr>
        <w:tc>
          <w:tcPr>
            <w:tcW w:type="dxa" w:w="2540"/>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bCs/>
                <w:color w:val="12343B"/>
                <w:sz w:val="19"/>
                <w:szCs w:val="19"/>
              </w:rPr>
              <w:t xml:space="preserve">Inflación (IPC)</w:t>
            </w:r>
          </w:p>
        </w:tc>
        <w:tc>
          <w:tcPr>
            <w:tcW w:type="dxa" w:w="6532"/>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val="false"/>
                <w:bCs w:val="false"/>
                <w:color w:val="1E2A30"/>
                <w:sz w:val="19"/>
                <w:szCs w:val="19"/>
              </w:rPr>
              <w:t xml:space="preserve">El ritmo al que suben los precios al consumidor, medido por el índice de precios al consumidor</w:t>
            </w:r>
          </w:p>
        </w:tc>
      </w:tr>
      <w:tr>
        <w:trPr>
          <w:cantSplit/>
        </w:trPr>
        <w:tc>
          <w:tcPr>
            <w:tcW w:type="dxa" w:w="2540"/>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bCs/>
                <w:color w:val="12343B"/>
                <w:sz w:val="19"/>
                <w:szCs w:val="19"/>
              </w:rPr>
              <w:t xml:space="preserve">Tasa de política monetaria</w:t>
            </w:r>
          </w:p>
        </w:tc>
        <w:tc>
          <w:tcPr>
            <w:tcW w:type="dxa" w:w="6532"/>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val="false"/>
                <w:bCs w:val="false"/>
                <w:color w:val="1E2A30"/>
                <w:sz w:val="19"/>
                <w:szCs w:val="19"/>
              </w:rPr>
              <w:t xml:space="preserve">La principal tasa de interés del banco central, que influye en el costo del crédito en toda la economía</w:t>
            </w:r>
          </w:p>
        </w:tc>
      </w:tr>
      <w:tr>
        <w:trPr>
          <w:cantSplit/>
        </w:trPr>
        <w:tc>
          <w:tcPr>
            <w:tcW w:type="dxa" w:w="2540"/>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bCs/>
                <w:color w:val="12343B"/>
                <w:sz w:val="19"/>
                <w:szCs w:val="19"/>
              </w:rPr>
              <w:t xml:space="preserve">Balance fiscal</w:t>
            </w:r>
          </w:p>
        </w:tc>
        <w:tc>
          <w:tcPr>
            <w:tcW w:type="dxa" w:w="6532"/>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val="false"/>
                <w:bCs w:val="false"/>
                <w:color w:val="1E2A30"/>
                <w:sz w:val="19"/>
                <w:szCs w:val="19"/>
              </w:rPr>
              <w:t xml:space="preserve">Ingresos del gobierno menos gastos del gobierno</w:t>
            </w:r>
          </w:p>
        </w:tc>
      </w:tr>
      <w:tr>
        <w:trPr>
          <w:cantSplit/>
        </w:trPr>
        <w:tc>
          <w:tcPr>
            <w:tcW w:type="dxa" w:w="2540"/>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bCs/>
                <w:color w:val="12343B"/>
                <w:sz w:val="19"/>
                <w:szCs w:val="19"/>
              </w:rPr>
              <w:t xml:space="preserve">Cuenta corriente</w:t>
            </w:r>
          </w:p>
        </w:tc>
        <w:tc>
          <w:tcPr>
            <w:tcW w:type="dxa" w:w="6532"/>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val="false"/>
                <w:bCs w:val="false"/>
                <w:color w:val="1E2A30"/>
                <w:sz w:val="19"/>
                <w:szCs w:val="19"/>
              </w:rPr>
              <w:t xml:space="preserve">El saldo neto del comercio de bienes, servicios e ingresos de un país con el resto del mundo</w:t>
            </w:r>
          </w:p>
        </w:tc>
      </w:tr>
      <w:tr>
        <w:trPr>
          <w:cantSplit/>
        </w:trPr>
        <w:tc>
          <w:tcPr>
            <w:tcW w:type="dxa" w:w="2540"/>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bCs/>
                <w:color w:val="12343B"/>
                <w:sz w:val="19"/>
                <w:szCs w:val="19"/>
              </w:rPr>
              <w:t xml:space="preserve">Devaluación</w:t>
            </w:r>
          </w:p>
        </w:tc>
        <w:tc>
          <w:tcPr>
            <w:tcW w:type="dxa" w:w="6532"/>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val="false"/>
                <w:bCs w:val="false"/>
                <w:color w:val="1E2A30"/>
                <w:sz w:val="19"/>
                <w:szCs w:val="19"/>
              </w:rPr>
              <w:t xml:space="preserve">La pérdida de valor de una moneda frente a otras monedas</w:t>
            </w:r>
          </w:p>
        </w:tc>
      </w:tr>
      <w:tr>
        <w:trPr>
          <w:cantSplit/>
        </w:trPr>
        <w:tc>
          <w:tcPr>
            <w:tcW w:type="dxa" w:w="2540"/>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bCs/>
                <w:color w:val="12343B"/>
                <w:sz w:val="19"/>
                <w:szCs w:val="19"/>
              </w:rPr>
              <w:t xml:space="preserve">Cobertura (hedging)</w:t>
            </w:r>
          </w:p>
        </w:tc>
        <w:tc>
          <w:tcPr>
            <w:tcW w:type="dxa" w:w="6532"/>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val="false"/>
                <w:bCs w:val="false"/>
                <w:color w:val="1E2A30"/>
                <w:sz w:val="19"/>
                <w:szCs w:val="19"/>
              </w:rPr>
              <w:t xml:space="preserve">Acciones que reducen la exposición a un riesgo financiero, como variaciones del tipo de cambio o de las tasas de interés</w:t>
            </w:r>
          </w:p>
        </w:tc>
      </w:tr>
      <w:tr>
        <w:trPr>
          <w:cantSplit/>
        </w:trPr>
        <w:tc>
          <w:tcPr>
            <w:tcW w:type="dxa" w:w="2540"/>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bCs/>
                <w:color w:val="12343B"/>
                <w:sz w:val="19"/>
                <w:szCs w:val="19"/>
              </w:rPr>
              <w:t xml:space="preserve">Registro de Cifras Verificadas</w:t>
            </w:r>
          </w:p>
        </w:tc>
        <w:tc>
          <w:tcPr>
            <w:tcW w:type="dxa" w:w="6532"/>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val="false"/>
                <w:bCs w:val="false"/>
                <w:color w:val="1E2A30"/>
                <w:sz w:val="19"/>
                <w:szCs w:val="19"/>
              </w:rPr>
              <w:t xml:space="preserve">El registro único dentro del agente que contiene cada cifra aprobada con su fuente</w:t>
            </w:r>
          </w:p>
        </w:tc>
      </w:tr>
    </w:tbl>
    <w:p>
      <w:pPr>
        <w:spacing w:after="160" w:before="0" w:line="120"/>
      </w:pPr>
    </w:p>
    <w:sectPr>
      <w:footerReference w:type="default" r:id="rId6"/>
      <w:pgSz w:w="11906" w:h="16838" w:orient="portrait"/>
      <w:pgMar w:top="1300" w:right="1417" w:bottom="1300" w:left="1417" w:header="708" w:footer="60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3D6" w:sz="4" w:space="6"/>
      </w:pBdr>
      <w:tabs>
        <w:tab w:val="right" w:pos="9072"/>
      </w:tabs>
    </w:pPr>
    <w:r>
      <w:rPr>
        <w:color w:val="5B6770"/>
        <w:sz w:val="16"/>
        <w:szCs w:val="16"/>
      </w:rPr>
      <w:t xml:space="preserve">Agente de Macroentorno · Documento de Requisitos de Negocio · v1.0</w:t>
    </w:r>
    <w:r>
      <w:rPr>
        <w:color w:val="5B6770"/>
        <w:sz w:val="16"/>
        <w:szCs w:val="16"/>
      </w:rPr>
      <w:t xml:space="preserve">	</w:t>
      <w:t xml:space="preserve">Página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00" w:hanging="280"/>
      </w:pPr>
      <w:rPr>
        <w:color w:val="1F7A7A"/>
      </w:rPr>
    </w:lvl>
  </w:abstractNum>
  <w:abstractNum w:abstractNumId="3" w15:restartNumberingAfterBreak="0">
    <w:multiLevelType w:val="hybridMultilevel"/>
    <w:lvl w:ilvl="0" w:tentative="1">
      <w:start w:val="1"/>
      <w:numFmt w:val="decimal"/>
      <w:lvlText w:val="%1."/>
      <w:lvlJc w:val="left"/>
      <w:pPr>
        <w:ind w:left="400" w:hanging="340"/>
      </w:pPr>
      <w:rPr>
        <w:b/>
        <w:bCs/>
        <w:color w:val="1F7A7A"/>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A30"/>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80" w:before="420"/>
      <w:outlineLvl w:val="0"/>
    </w:pPr>
    <w:rPr>
      <w:rFonts w:ascii="Arial" w:cs="Arial" w:eastAsia="Arial" w:hAnsi="Arial"/>
      <w:b/>
      <w:bCs/>
      <w:color w:val="12343B"/>
      <w:sz w:val="34"/>
      <w:szCs w:val="34"/>
    </w:rPr>
  </w:style>
  <w:style w:type="paragraph" w:styleId="Heading2">
    <w:name w:val="Heading 2"/>
    <w:basedOn w:val="Normal"/>
    <w:next w:val="Normal"/>
    <w:qFormat/>
    <w:pPr>
      <w:keepNext/>
      <w:spacing w:after="120" w:before="300"/>
      <w:outlineLvl w:val="1"/>
    </w:pPr>
    <w:rPr>
      <w:rFonts w:ascii="Arial" w:cs="Arial" w:eastAsia="Arial" w:hAnsi="Arial"/>
      <w:b/>
      <w:bCs/>
      <w:color w:val="1F7A7A"/>
      <w:sz w:val="26"/>
      <w:szCs w:val="26"/>
    </w:rPr>
  </w:style>
  <w:style w:type="paragraph" w:styleId="Heading3">
    <w:name w:val="Heading 3"/>
    <w:basedOn w:val="Normal"/>
    <w:next w:val="Normal"/>
    <w:qFormat/>
    <w:pPr>
      <w:keepNext/>
      <w:spacing w:after="100" w:before="240"/>
      <w:outlineLvl w:val="2"/>
    </w:pPr>
    <w:rPr>
      <w:rFonts w:ascii="Arial" w:cs="Arial" w:eastAsia="Arial" w:hAnsi="Arial"/>
      <w:b/>
      <w:bCs/>
      <w:color w:val="12343B"/>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3001c5cd4c51f74742a0c9fd9a6c325f605b407c.png"/><Relationship Id="rId9" Type="http://schemas.openxmlformats.org/officeDocument/2006/relationships/image" Target="media/544d0aedf4c9f9be5917d0208c1322a7d25efe7e.png"/><Relationship Id="rId10" Type="http://schemas.openxmlformats.org/officeDocument/2006/relationships/image" Target="media/0fde0c2b92e20b3c3280473daa5daf6a2974b833.png"/><Relationship Id="rId11" Type="http://schemas.openxmlformats.org/officeDocument/2006/relationships/image" Target="media/50fc57ad6a3a54b89b705782ecbcfcb91b0e77f3.png"/><Relationship Id="rId12" Type="http://schemas.openxmlformats.org/officeDocument/2006/relationships/image" Target="media/cef679e1a55db19a9607317c8e337925c14c0b1a.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Agente de Macroentorno - Documento de Requisitos de Negocio (BRD)</dc:title>
  <dc:description>Estudio Económico</dc:description>
  <cp:lastModifiedBy>Un-named</cp:lastModifiedBy>
  <cp:revision>1</cp:revision>
  <dcterms:created xsi:type="dcterms:W3CDTF">2026-09-29T08:10:49.976Z</dcterms:created>
  <dcterms:modified xsi:type="dcterms:W3CDTF">2026-09-29T08:10:49.976Z</dcterms:modified>
</cp:coreProperties>
</file>

<file path=docProps/custom.xml><?xml version="1.0" encoding="utf-8"?>
<Properties xmlns="http://schemas.openxmlformats.org/officeDocument/2006/custom-properties" xmlns:vt="http://schemas.openxmlformats.org/officeDocument/2006/docPropsVTypes"/>
</file>