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Good example: a lay block answering the opponent's retail argument</w:t>
      </w:r>
    </w:p>
    <w:p>
      <w:pPr>
        <w:pStyle w:val="Analytic"/>
      </w:pPr>
      <w:r>
        <w:t xml:space="preserve">Fictional. The opponent read the Ashford card (`sources/opponent-ashford-pilot.txt`). This block answers THAT card first, then adds our evidence. It passes `lint_blocks.py --lay`, `verify_quotes.py`, and `lint_cites.py`.</w:t>
      </w:r>
    </w:p>
    <w:p>
      <w:pPr>
        <w:pStyle w:val="Heading2"/>
      </w:pPr>
      <w:r>
        <w:t xml:space="preserve">Economy</w:t>
      </w:r>
    </w:p>
    <w:p>
      <w:pPr>
        <w:pStyle w:val="Heading3"/>
      </w:pPr>
      <w:r>
        <w:t xml:space="preserve">AT: Retail collapse</w:t>
      </w:r>
    </w:p>
    <w:p>
      <w:pPr>
        <w:pStyle w:val="Analytic"/>
      </w:pPr>
      <w:r>
        <w:t xml:space="preserve">Neg Argument: Downtown stores lost 18 percent of their sales when Ashford closed streets to cars, so a ban will wreck local business.</w:t>
      </w:r>
    </w:p>
    <w:p>
      <w:pPr>
        <w:pStyle w:val="Analytic"/>
      </w:pPr>
      <w:r>
        <w:t xml:space="preserve">1. Their own card says it was four streets with no bus changes, and sales came back by the end of the summer.</w:t>
      </w:r>
    </w:p>
    <w:p>
      <w:pPr>
        <w:pStyle w:val="Heading4"/>
      </w:pPr>
      <w:r>
        <w:t xml:space="preserve">2. Their own card: the pilot covered four blocks, changed no bus service, and sales recovered to within three percent</w:t>
      </w:r>
    </w:p>
    <w:p>
      <w:r>
        <w:rPr>
          <w:rStyle w:val="Style13ptBold"/>
        </w:rPr>
        <w:t xml:space="preserve">Reyes 24</w:t>
      </w:r>
      <w:r>
        <w:rPr>
          <w:sz w:val="16"/>
          <w:szCs w:val="16"/>
        </w:rPr>
        <w:t xml:space="preserve">, [Tom Reyes, Business Reporter at The Example Business Journal (this is the OPPONENT's own card), 5-20-2024, "Ashford Pedestrian Pilot Cut Downtown Sales, Merchants Say," The Example Business Journal. DOA: 10-18-2026 </w:t>
      </w:r>
      <w:r>
        <w:rPr>
          <w:rStyle w:val="StyleUnderline"/>
          <w:sz w:val="16"/>
          <w:szCs w:val="16"/>
        </w:rPr>
        <w:t xml:space="preserve">https://example.com/ashford-pilot-sales</w:t>
      </w:r>
      <w:r>
        <w:rPr>
          <w:sz w:val="16"/>
          <w:szCs w:val="16"/>
        </w:rPr>
        <w:t xml:space="preserve">] //XX</w:t>
      </w:r>
    </w:p>
    <w:p/>
    <w:p>
      <w:r>
        <w:rPr>
          <w:rStyle w:val="StyleUnderline"/>
          <w:highlight w:val="cyan"/>
        </w:rPr>
        <w:t xml:space="preserve">The pilot covered only four blocks of the downtown, and the city made no changes to bus service while it ran.</w:t>
      </w:r>
      <w:r>
        <w:rPr>
          <w:sz w:val="16"/>
          <w:szCs w:val="16"/>
        </w:rPr>
        <w:t xml:space="preserve"> Several merchants said the lack of transit made the drop worse, and some noted that parking garages at the edge of the pilot area stayed open and were well used. </w:t>
      </w:r>
      <w:r>
        <w:rPr>
          <w:rStyle w:val="StyleUnderline"/>
          <w:highlight w:val="cyan"/>
        </w:rPr>
        <w:t xml:space="preserve">By late summer, sales on the pilot streets had recovered to within three percent of their pre-pilot level</w:t>
      </w:r>
      <w:r>
        <w:rPr>
          <w:sz w:val="16"/>
          <w:szCs w:val="16"/>
        </w:rPr>
        <w:t xml:space="preserve">, according to city sales-tax receipts reviewed by the Journal. The chamber said it would continue to oppose permanent closures until the city provided a plan for deliveries. City officials said they plan to add a bus route and a delivery window before any permanent decision. "We learned a lot," said Mayor Elena Park. "The lesson is that you can't just close the street and walk away."</w:t>
      </w:r>
    </w:p>
    <w:p>
      <w:pPr>
        <w:pStyle w:val="Analytic"/>
      </w:pPr>
      <w:r>
        <w:t xml:space="preserve">So the drop they read was four streets with no buses added, and by the end of summer it was nearly gone.</w:t>
      </w:r>
    </w:p>
    <w:p>
      <w:pPr>
        <w:pStyle w:val="Heading4"/>
      </w:pPr>
      <w:r>
        <w:t xml:space="preserve">3. A four-year study of twelve cities found sales flat to slightly up in eleven of them</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10-18-2026 </w:t>
      </w:r>
      <w:r>
        <w:rPr>
          <w:rStyle w:val="StyleUnderline"/>
          <w:sz w:val="16"/>
          <w:szCs w:val="16"/>
        </w:rPr>
        <w:t xml:space="preserve">https://example.com/downtown-car-bans-study</w:t>
      </w:r>
      <w:r>
        <w:rPr>
          <w:sz w:val="16"/>
          <w:szCs w:val="16"/>
        </w:rPr>
        <w:t xml:space="preserve">] //XX</w:t>
      </w:r>
    </w:p>
    <w:p/>
    <w:p>
      <w:r>
        <w:rPr>
          <w:sz w:val="16"/>
          <w:szCs w:val="16"/>
        </w:rPr>
        <w:t xml:space="preserve">When the city of Larkspur closed its downtown core to private cars in 2019, local merchants held a protest outside city hall. Fifty storefront owners signed a letter warning that customers would simply drive to the suburban shopping center instead, and that half of them would be out of business within two years. Larkspur is one of twelve mid-sized cities now covered by a four-year analysis from the Example Transit Institute, and the results are not what the merchants predicted. The study, led by transportation economist Dr. Marcus Reyes, followed each city for four years after its ban took effect and compared downtown sales-tax receipts, foot-traffic counts, and traffic volumes on the streets surrounding each ban zone against pre-ban baselines. The institute is a nonprofit research organization funded by city transportation agencies and two private foundations, and the full dataset has been posted publicly so other researchers can check the numbers. "Merchants predicted disaster," Reyes said. "What we measured was the opposite. </w:t>
      </w:r>
      <w:r>
        <w:rPr>
          <w:rStyle w:val="StyleUnderline"/>
          <w:highlight w:val="cyan"/>
        </w:rPr>
        <w:t xml:space="preserve">Foot traffic rose, and total sales were flat to slightly up in eleven of the twelve cities.</w:t>
      </w:r>
      <w:r>
        <w:rPr>
          <w:sz w:val="16"/>
          <w:szCs w:val="16"/>
        </w:rPr>
        <w:t xml:space="preserve">"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w:t>
      </w:r>
    </w:p>
    <w:p>
      <w:pPr>
        <w:pStyle w:val="Analytic"/>
      </w:pPr>
      <w:r>
        <w:t xml:space="preserve">That is far more cities, over four years, than one short pilot.</w:t>
      </w:r>
    </w:p>
    <w:p>
      <w:pPr>
        <w:pStyle w:val="Heading4"/>
      </w:pPr>
      <w:r>
        <w:t xml:space="preserve">4. The one city where sales fell had no change in transit service, and the plan requires frequent service</w:t>
      </w:r>
    </w:p>
    <w:p>
      <w:r>
        <w:rPr>
          <w:rStyle w:val="Style13ptBold"/>
        </w:rPr>
        <w:t xml:space="preserve">Whitfield 25</w:t>
      </w:r>
      <w:r>
        <w:rPr>
          <w:sz w:val="16"/>
          <w:szCs w:val="16"/>
        </w:rPr>
        <w:t xml:space="preserve">, [Dana Whitfield, Staff Writer at The Example Urban Review, reporting on a four-year study by the Example Transit Institute, 3-3-2025, "Downtown Car Bans Cut Congestion Without Hurting Retail, Study Finds," The Example Urban Review. DOA: 10-18-2026 </w:t>
      </w:r>
      <w:r>
        <w:rPr>
          <w:rStyle w:val="StyleUnderline"/>
          <w:sz w:val="16"/>
          <w:szCs w:val="16"/>
        </w:rPr>
        <w:t xml:space="preserve">https://example.com/downtown-car-bans-study</w:t>
      </w:r>
      <w:r>
        <w:rPr>
          <w:sz w:val="16"/>
          <w:szCs w:val="16"/>
        </w:rPr>
        <w:t xml:space="preserve">] //XX</w:t>
      </w:r>
    </w:p>
    <w:p/>
    <w:p>
      <w:r>
        <w:rPr>
          <w:sz w:val="16"/>
          <w:szCs w:val="16"/>
        </w:rPr>
        <w:t xml:space="preserve">"Merchants predicted disaster," Reyes said. "What we measured was the opposite. Foot traffic rose, and total sales were flat to slightly up in eleven of the twelve cities." Average travel times on the streets bordering each ban zone fell by nine percent, because drivers switched to transit or took different routes before ever reaching downtown. Reyes said the pattern surprised his own team, which had expected at least a modest rise in congestion on the boundary streets during the first year. The report cautions that results depend heavily on transit quality. </w:t>
      </w:r>
      <w:r>
        <w:rPr>
          <w:rStyle w:val="StyleUnderline"/>
          <w:highlight w:val="cyan"/>
        </w:rPr>
        <w:t xml:space="preserve">In the one city where sales fell, buses ran only every forty minutes and the ban took effect with no change to service.</w:t>
      </w:r>
      <w:r>
        <w:rPr>
          <w:sz w:val="16"/>
          <w:szCs w:val="16"/>
        </w:rPr>
        <w:t xml:space="preserve"> "A ban without a working alternative just moves the problem," Reyes said. Cities that paired bans with frequent service, meaning a bus or train at least every ten minutes during the day, saw the largest gains in both ridership and retail activity, and in those cities boundary-street traffic fell by as much as fourteen percent.</w:t>
      </w:r>
    </w:p>
    <w:p>
      <w:pPr>
        <w:pStyle w:val="Analytic"/>
      </w:pPr>
      <w:r>
        <w:t xml:space="preserve">The only bad result happened without buses, and our plan will not start without them.</w:t>
      </w:r>
    </w:p>
    <w:p>
      <w:pPr>
        <w:pStyle w:val="Analytic"/>
      </w:pPr>
      <w:r>
        <w:t xml:space="preserve">5. So their evidence describes what happens when a city closes streets and walks away, which is exactly what our plan does not do.</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b/>
      <w:sz w:val="52"/>
      <w:szCs w:val="32"/>
    </w:rPr>
  </w:style>
  <w:style w:type="paragraph" w:styleId="Heading2">
    <w:name w:val="heading 2"/>
    <w:aliases w:val="Hat"/>
    <w:basedOn w:val="Normal"/>
    <w:next w:val="Normal"/>
    <w:uiPriority w:val="1"/>
    <w:qFormat/>
    <w:pPr>
      <w:keepNext/>
      <w:keepLines/>
      <w:pageBreakBefore/>
      <w:spacing w:before="480"/>
      <w:jc w:val="center"/>
      <w:outlineLvl w:val="1"/>
    </w:pPr>
    <w:rPr>
      <w:b/>
      <w:sz w:val="44"/>
      <w:szCs w:val="26"/>
      <w:u w:val="double"/>
    </w:rPr>
  </w:style>
  <w:style w:type="paragraph" w:styleId="Heading3">
    <w:name w:val="heading 3"/>
    <w:aliases w:val="Block"/>
    <w:basedOn w:val="Normal"/>
    <w:next w:val="Normal"/>
    <w:uiPriority w:val="1"/>
    <w:qFormat/>
    <w:pPr>
      <w:keepNext/>
      <w:keepLines/>
      <w:pageBreakBefore/>
      <w:spacing w:before="200"/>
      <w:jc w:val="center"/>
      <w:outlineLvl w:val="2"/>
    </w:pPr>
    <w:rPr>
      <w:b/>
      <w:sz w:val="32"/>
      <w:szCs w:val="24"/>
      <w:u w:val="single"/>
    </w:rPr>
  </w:style>
  <w:style w:type="paragraph" w:styleId="Heading4">
    <w:name w:val="heading 4"/>
    <w:aliases w:val="Tag"/>
    <w:basedOn w:val="Normal"/>
    <w:next w:val="Normal"/>
    <w:uiPriority w:val="1"/>
    <w:qFormat/>
    <w:pPr>
      <w:keepNext/>
      <w:keepLines/>
      <w:spacing w:before="200"/>
      <w:outlineLvl w:val="3"/>
    </w:pPr>
    <w:rPr>
      <w:b/>
      <w:iCs/>
      <w:sz w:val="26"/>
    </w:rPr>
  </w:style>
  <w:style w:type="character" w:styleId="Emphasis">
    <w:name w:val="Emphasis"/>
    <w:basedOn w:val="DefaultParagraphFont"/>
    <w:uiPriority w:val="20"/>
    <w:qFormat/>
    <w:rPr>
      <w:rFonts w:ascii="Times New Roman" w:hAnsi="Times New Roman" w:cs="Times New Roman"/>
      <w:b w:val="0"/>
      <w:i w:val="0"/>
      <w:iCs/>
      <w:sz w:val="22"/>
      <w:u w:val="single"/>
      <w:bdr w:val="single" w:sz="8" w:space="0" w:color="auto"/>
    </w:rPr>
  </w:style>
  <w:style w:type="character" w:styleId="Style13ptBold">
    <w:name w:val="Style 13 pt Bold"/>
    <w:aliases w:val="Cite"/>
    <w:basedOn w:val="DefaultParagraphFont"/>
    <w:qFormat/>
    <w:rPr>
      <w:b/>
      <w:bCs/>
      <w:sz w:val="26"/>
      <w:u w:val="none"/>
    </w:rPr>
  </w:style>
  <w:style w:type="character" w:styleId="StyleUnderline">
    <w:name w:val="Style Underline"/>
    <w:aliases w:val="Underline"/>
    <w:basedOn w:val="DefaultParagraphFont"/>
    <w:qFormat/>
    <w:rPr>
      <w:b w:val="0"/>
      <w:sz w:val="22"/>
      <w:u w:val="single"/>
    </w:rPr>
  </w:style>
  <w:style w:type="paragraph" w:styleId="Undertag">
    <w:name w:val="Undertag"/>
    <w:basedOn w:val="Normal"/>
    <w:qFormat/>
    <w:pPr>
      <w:spacing w:after="0"/>
    </w:pPr>
    <w:rPr>
      <w:rFonts w:ascii="Times New Roman" w:hAnsi="Times New Roman" w:cs="Times New Roman"/>
      <w:i/>
      <w:iCs/>
      <w:color w:val="385623"/>
      <w:sz w:val="24"/>
    </w:rPr>
  </w:style>
  <w:style w:type="paragraph" w:styleId="Analytic">
    <w:name w:val="Analytic"/>
    <w:basedOn w:val="Normal"/>
    <w:qFormat/>
    <w:rPr>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