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Example Aff Case (excerpt: one contention)</w:t>
      </w:r>
    </w:p>
    <w:p>
      <w:pPr>
        <w:pStyle w:val="Analytic"/>
      </w:pPr>
      <w:r>
        <w:t xml:space="preserve">Fictional example of one contention built as a link chain, heavy on cards and light on analytics. Every source, author, and number here is invented for this repo. A full case would have two or three contentions built the same way.</w:t>
      </w:r>
    </w:p>
    <w:p>
      <w:pPr>
        <w:pStyle w:val="Heading2"/>
      </w:pPr>
      <w:r>
        <w:t xml:space="preserve">Contention 1: Downtown car traffic is injuring and killing people</w:t>
      </w:r>
    </w:p>
    <w:p>
      <w:pPr>
        <w:pStyle w:val="Analytic"/>
      </w:pPr>
      <w:r>
        <w:t xml:space="preserve">Chain: UQ (Larkspur RSB 25) -&gt; TREND (Larkspur OTP 25) -&gt; LINK (Venkataraman 25) -&gt; IL (Meridian 24) -&gt; IMPACT (NESC 24) -&gt; SOLVENCY (Fairhaven DPW 25)</w:t>
      </w:r>
    </w:p>
    <w:p>
      <w:pPr>
        <w:pStyle w:val="Heading3"/>
      </w:pPr>
      <w:r>
        <w:t xml:space="preserve">UQ: the problem now</w:t>
      </w:r>
    </w:p>
    <w:p>
      <w:pPr>
        <w:pStyle w:val="Heading4"/>
      </w:pPr>
      <w:r>
        <w:t xml:space="preserve">UQ: Larkspur's downtown is under two percent of the city's land but produces nearly a third of walking and cycling injuries</w:t>
      </w:r>
    </w:p>
    <w:p>
      <w:r>
        <w:rPr>
          <w:rStyle w:val="Style13ptBold"/>
        </w:rPr>
        <w:t xml:space="preserve">Larkspur RSB 25</w:t>
      </w:r>
      <w:r>
        <w:rPr>
          <w:sz w:val="16"/>
          <w:szCs w:val="16"/>
        </w:rPr>
        <w:t xml:space="preserve"> (Larkspur Road Safety Board, Municipal agency that investigates and reports police-recorded crash data for the city, Larkspur Road Safety Board, 1-15-2025, "Larkspur Downtown Crash Report 2024", </w:t>
      </w:r>
      <w:r>
        <w:rPr>
          <w:rStyle w:val="StyleUnderline"/>
          <w:sz w:val="16"/>
          <w:szCs w:val="16"/>
        </w:rPr>
        <w:t xml:space="preserve">https://example.com/larkspur-crash-report-2024</w:t>
      </w:r>
      <w:r>
        <w:rPr>
          <w:sz w:val="16"/>
          <w:szCs w:val="16"/>
        </w:rPr>
        <w:t xml:space="preserve">) XX - DOA: 10-14-2026</w:t>
      </w:r>
    </w:p>
    <w:p/>
    <w:p>
      <w:r>
        <w:rPr>
          <w:rStyle w:val="StyleUnderline"/>
        </w:rPr>
        <w:t xml:space="preserve">Larkspur's downtown core covers less than two percent of the city's land area, but</w:t>
      </w:r>
      <w:r>
        <w:rPr>
          <w:sz w:val="16"/>
          <w:szCs w:val="16"/>
        </w:rPr>
        <w:t xml:space="preserve"> </w:t>
      </w:r>
      <w:r>
        <w:rPr>
          <w:rStyle w:val="StyleUnderline"/>
        </w:rPr>
        <w:t xml:space="preserve">it accounted for 31 percent of all pedestrian and cyclist injuries recorded by police in 2024.</w:t>
      </w:r>
      <w:r>
        <w:rPr>
          <w:sz w:val="16"/>
          <w:szCs w:val="16"/>
        </w:rPr>
        <w:t xml:space="preserve"> </w:t>
      </w:r>
      <w:r>
        <w:rPr>
          <w:rStyle w:val="StyleUnderline"/>
          <w:highlight w:val="cyan"/>
        </w:rPr>
        <w:t xml:space="preserve">The core saw 412 people injured while walking or cycling, including 9 who were killed.</w:t>
      </w:r>
      <w:r>
        <w:rPr>
          <w:sz w:val="16"/>
          <w:szCs w:val="16"/>
        </w:rPr>
        <w:t xml:space="preserve"> Police data show that </w:t>
      </w:r>
      <w:r>
        <w:rPr>
          <w:rStyle w:val="StyleUnderline"/>
        </w:rPr>
        <w:t xml:space="preserve">the great majority of these crashes involved a private passenger car turning at an intersection or leaving a curbside parking space</w:t>
      </w:r>
      <w:r>
        <w:rPr>
          <w:sz w:val="16"/>
          <w:szCs w:val="16"/>
        </w:rPr>
        <w:t xml:space="preserve">. The board notes that the downtown concentration is not new. In each of the last five years the core has produced between 28 and 33 percent of the city's walking and cycling injuries, even as the rest of the city saw modest declines. Intersections with the heaviest turning traffic, such as Mercer and Fourth, recorded more than 40 injuries each. Board chair Alicia Moreno said the figures reflect how many people share narrow streets with a high volume of cars. "Downtown is where the most people are on foot and also where the most cars are trying to get through," she said. "The risk follows the overlap."</w:t>
      </w:r>
    </w:p>
    <w:p>
      <w:pPr>
        <w:pStyle w:val="Heading3"/>
      </w:pPr>
      <w:r>
        <w:t xml:space="preserve">TREND: it is getting worse</w:t>
      </w:r>
    </w:p>
    <w:p>
      <w:pPr>
        <w:pStyle w:val="Heading4"/>
      </w:pPr>
      <w:r>
        <w:t xml:space="preserve">TREND: Car entries rose 17 percent and downtown injuries rose 22 percent since 2019, and the city forecasts more</w:t>
      </w:r>
    </w:p>
    <w:p>
      <w:r>
        <w:rPr>
          <w:rStyle w:val="Style13ptBold"/>
        </w:rPr>
        <w:t xml:space="preserve">Larkspur OTP 25</w:t>
      </w:r>
      <w:r>
        <w:rPr>
          <w:sz w:val="16"/>
          <w:szCs w:val="16"/>
        </w:rPr>
        <w:t xml:space="preserve"> (Larkspur Office of Transportation Planning, Municipal planning office that models traffic and tracks injuries, Larkspur Office of Transportation Planning, 2-2025 (month only), "Downtown Traffic and Injury Trends, 2019 to 2024", </w:t>
      </w:r>
      <w:r>
        <w:rPr>
          <w:rStyle w:val="StyleUnderline"/>
          <w:sz w:val="16"/>
          <w:szCs w:val="16"/>
        </w:rPr>
        <w:t xml:space="preserve">https://example.com/larkspur-traffic-trends</w:t>
      </w:r>
      <w:r>
        <w:rPr>
          <w:sz w:val="16"/>
          <w:szCs w:val="16"/>
        </w:rPr>
        <w:t xml:space="preserve">) XX - DOA: 10-14-2026</w:t>
      </w:r>
    </w:p>
    <w:p/>
    <w:p>
      <w:r>
        <w:rPr>
          <w:rStyle w:val="StyleUnderline"/>
        </w:rPr>
        <w:t xml:space="preserve">Daily private-car entries to the Larkspur downtown core rose 17 percent between 2019 and 2024</w:t>
      </w:r>
      <w:r>
        <w:rPr>
          <w:sz w:val="16"/>
          <w:szCs w:val="16"/>
        </w:rPr>
        <w:t xml:space="preserve">, from roughly 61,000 to 71,000 vehicles per day. Over the same period, </w:t>
      </w:r>
      <w:r>
        <w:rPr>
          <w:rStyle w:val="StyleUnderline"/>
          <w:highlight w:val="cyan"/>
        </w:rPr>
        <w:t xml:space="preserve">pedestrian and cyclist injuries in the core rose 22 percent, from 338 to 412 per year</w:t>
      </w:r>
      <w:r>
        <w:rPr>
          <w:sz w:val="16"/>
          <w:szCs w:val="16"/>
        </w:rPr>
        <w:t xml:space="preserve">. The office's forecast model projects a further 9 percent increase in car entries by 2030 if current development plans proceed without changes to street access. Planners attribute the growth to new housing and office space within a short drive of downtown, combined with free curbside parking in much of the core. Transit ridership downtown has been flat over the same period. The office cautions that its forecast depends on continued job growth in the district, and that a recession could slow the increase. </w:t>
      </w:r>
      <w:r>
        <w:rPr>
          <w:rStyle w:val="StyleUnderline"/>
          <w:highlight w:val="cyan"/>
        </w:rPr>
        <w:t xml:space="preserve">Even in its low scenario, however, it projects car entries rising 4 percent by 2030.</w:t>
      </w:r>
      <w:r>
        <w:rPr>
          <w:sz w:val="16"/>
          <w:szCs w:val="16"/>
        </w:rPr>
        <w:t xml:space="preserve"> The office says it will publish updated counts each January and has asked the city council to fund a second set of sensors on the streets that border the downtown core, so that changes in traffic patterns can be tracked more closely over the coming years.</w:t>
      </w:r>
    </w:p>
    <w:p>
      <w:pPr>
        <w:pStyle w:val="Heading3"/>
      </w:pPr>
      <w:r>
        <w:t xml:space="preserve">LINK: the mechanism</w:t>
      </w:r>
    </w:p>
    <w:p>
      <w:pPr>
        <w:pStyle w:val="Heading4"/>
      </w:pPr>
      <w:r>
        <w:t xml:space="preserve">LINK: Restricting cars in downtown cores cut walking and cycling injuries 36 percent across eleven cities, with no rise on bordering roads</w:t>
      </w:r>
    </w:p>
    <w:p>
      <w:r>
        <w:rPr>
          <w:rStyle w:val="Style13ptBold"/>
        </w:rPr>
        <w:t xml:space="preserve">Venkataraman 25</w:t>
      </w:r>
      <w:r>
        <w:rPr>
          <w:sz w:val="16"/>
          <w:szCs w:val="16"/>
        </w:rPr>
        <w:t xml:space="preserve"> (Dr. Priya Venkataraman and colleagues, Public-health researchers; peer-reviewed multi-city review of eleven mid-sized cities, Example Public Health Review, 3-2025 (month only), "Injury Outcomes After Downtown Car Restrictions: A Multi-City Review", </w:t>
      </w:r>
      <w:r>
        <w:rPr>
          <w:rStyle w:val="StyleUnderline"/>
          <w:sz w:val="16"/>
          <w:szCs w:val="16"/>
        </w:rPr>
        <w:t xml:space="preserve">https://example.com/ban-injury-review</w:t>
      </w:r>
      <w:r>
        <w:rPr>
          <w:sz w:val="16"/>
          <w:szCs w:val="16"/>
        </w:rPr>
        <w:t xml:space="preserve">) XX - DOA: 10-14-2026</w:t>
      </w:r>
    </w:p>
    <w:p/>
    <w:p>
      <w:r>
        <w:rPr>
          <w:sz w:val="16"/>
          <w:szCs w:val="16"/>
        </w:rPr>
        <w:t xml:space="preserve">We reviewed injury records for eleven mid-sized cities that restricted private cars in their downtown cores between 2015 and 2021, </w:t>
      </w:r>
      <w:r>
        <w:rPr>
          <w:rStyle w:val="StyleUnderline"/>
        </w:rPr>
        <w:t xml:space="preserve">comparing each city's core with matched streets that were not restricted</w:t>
      </w:r>
      <w:r>
        <w:rPr>
          <w:sz w:val="16"/>
          <w:szCs w:val="16"/>
        </w:rPr>
        <w:t xml:space="preserve">. We also examined injuries on the roads bordering each restricted area to test whether crashes simply moved next door. Across the eleven cities, </w:t>
      </w:r>
      <w:r>
        <w:rPr>
          <w:rStyle w:val="StyleUnderline"/>
          <w:highlight w:val="cyan"/>
        </w:rPr>
        <w:t xml:space="preserve">injuries to people walking or cycling inside the restricted cores fell by an average of 36 percent in the three years after restriction</w:t>
      </w:r>
      <w:r>
        <w:rPr>
          <w:sz w:val="16"/>
          <w:szCs w:val="16"/>
        </w:rPr>
        <w:t xml:space="preserve">, relative to the comparison streets. </w:t>
      </w:r>
      <w:r>
        <w:rPr>
          <w:rStyle w:val="StyleUnderline"/>
          <w:highlight w:val="cyan"/>
        </w:rPr>
        <w:t xml:space="preserve">Injuries on bordering roads did not rise on average</w:t>
      </w:r>
      <w:r>
        <w:rPr>
          <w:sz w:val="16"/>
          <w:szCs w:val="16"/>
        </w:rPr>
        <w:t xml:space="preserve">; the estimated change was a decline of 2 percent, which was not statistically distinguishable from zero. </w:t>
      </w:r>
      <w:r>
        <w:rPr>
          <w:rStyle w:val="StyleUnderline"/>
          <w:highlight w:val="cyan"/>
        </w:rPr>
        <w:t xml:space="preserve">The mechanism appears to be reduced conflict at intersections and curbs.</w:t>
      </w:r>
      <w:r>
        <w:rPr>
          <w:sz w:val="16"/>
          <w:szCs w:val="16"/>
        </w:rPr>
        <w:t xml:space="preserve"> The authors found the largest reductions at intersections that had previously carried heavy turning traffic, and at curbside locations where parking maneuvers were removed. The study is observational, and the cities were mid-sized. The authors note that results may differ in very large metropolitan areas.</w:t>
      </w:r>
    </w:p>
    <w:p>
      <w:pPr>
        <w:pStyle w:val="Heading3"/>
      </w:pPr>
      <w:r>
        <w:t xml:space="preserve">INTERNAL LINK: each injury is expensive</w:t>
      </w:r>
    </w:p>
    <w:p>
      <w:pPr>
        <w:pStyle w:val="Heading4"/>
      </w:pPr>
      <w:r>
        <w:t xml:space="preserve">IL: Each serious injury costs about $187,000, and about 41 percent of that is paid by public programs</w:t>
      </w:r>
    </w:p>
    <w:p>
      <w:r>
        <w:rPr>
          <w:rStyle w:val="Style13ptBold"/>
        </w:rPr>
        <w:t xml:space="preserve">Meridian 24</w:t>
      </w:r>
      <w:r>
        <w:rPr>
          <w:sz w:val="16"/>
          <w:szCs w:val="16"/>
        </w:rPr>
        <w:t xml:space="preserve"> (Meridian Health Economics Group, Health-economics research group publishing policy briefs on injury costs, Meridian Health Economics Group, 10-2024 (month only), "The Cost of a Serious Pedestrian Injury", </w:t>
      </w:r>
      <w:r>
        <w:rPr>
          <w:rStyle w:val="StyleUnderline"/>
          <w:sz w:val="16"/>
          <w:szCs w:val="16"/>
        </w:rPr>
        <w:t xml:space="preserve">https://example.com/meridian-injury-cost</w:t>
      </w:r>
      <w:r>
        <w:rPr>
          <w:sz w:val="16"/>
          <w:szCs w:val="16"/>
        </w:rPr>
        <w:t xml:space="preserve">) XX - DOA: 10-14-2026</w:t>
      </w:r>
    </w:p>
    <w:p/>
    <w:p>
      <w:r>
        <w:rPr>
          <w:sz w:val="16"/>
          <w:szCs w:val="16"/>
        </w:rPr>
        <w:t xml:space="preserve">Pedestrian injuries are usually discussed as counts of people hurt rather than as costs borne by patients, families, and public budgets, and the brief was written to fill that gap. </w:t>
      </w:r>
      <w:r>
        <w:rPr>
          <w:rStyle w:val="StyleUnderline"/>
        </w:rPr>
        <w:t xml:space="preserve">A serious pedestrian or cyclist injury, defined as one requiring hospital admission,</w:t>
      </w:r>
      <w:r>
        <w:rPr>
          <w:sz w:val="16"/>
          <w:szCs w:val="16"/>
        </w:rPr>
        <w:t xml:space="preserve"> </w:t>
      </w:r>
      <w:r>
        <w:rPr>
          <w:rStyle w:val="StyleUnderline"/>
          <w:highlight w:val="cyan"/>
        </w:rPr>
        <w:t xml:space="preserve">carries an average total cost of about $187,000</w:t>
      </w:r>
      <w:r>
        <w:rPr>
          <w:sz w:val="16"/>
          <w:szCs w:val="16"/>
        </w:rPr>
        <w:t xml:space="preserve"> when medical care, rehabilitation, and lost earnings are counted. </w:t>
      </w:r>
      <w:r>
        <w:rPr>
          <w:rStyle w:val="StyleUnderline"/>
          <w:highlight w:val="cyan"/>
        </w:rPr>
        <w:t xml:space="preserve">For the roughly one in six serious injuries that result in permanent impairment, the lifetime cost rises above $1.1 million.</w:t>
      </w:r>
      <w:r>
        <w:rPr>
          <w:sz w:val="16"/>
          <w:szCs w:val="16"/>
        </w:rPr>
        <w:t xml:space="preserve"> Hospital care accounts for just under half of the cost. The remainder is split between rehabilitation and long-term care and the wages lost by the injured person and by family members who step away from work to provide care. Public insurance programs and hospitals absorb a large share of the cost; in the cities studied, </w:t>
      </w:r>
      <w:r>
        <w:rPr>
          <w:rStyle w:val="StyleUnderline"/>
          <w:highlight w:val="cyan"/>
        </w:rPr>
        <w:t xml:space="preserve">about 41 percent was paid by public programs</w:t>
      </w:r>
      <w:r>
        <w:rPr>
          <w:sz w:val="16"/>
          <w:szCs w:val="16"/>
        </w:rPr>
        <w:t xml:space="preserve">. The brief estimates that each serious injury prevented therefore saves, on average, between $75,000 in public spending and the full $187,000 in total social cost, depending on whether private costs are included. The authors caution that cost estimates vary with how lost earnings and long-term care are valued, and that the figures here use the median of the ranges reported in the studies they reviewed.</w:t>
      </w:r>
    </w:p>
    <w:p>
      <w:pPr>
        <w:pStyle w:val="Heading3"/>
      </w:pPr>
      <w:r>
        <w:t xml:space="preserve">IMPACT: the scale</w:t>
      </w:r>
    </w:p>
    <w:p>
      <w:pPr>
        <w:pStyle w:val="Heading4"/>
      </w:pPr>
      <w:r>
        <w:t xml:space="preserve">IMPACT: Urban pedestrian and cyclist deaths hit a four-decade high of 7,310, and the cost exceeds $140 billion a year</w:t>
      </w:r>
    </w:p>
    <w:p>
      <w:r>
        <w:rPr>
          <w:rStyle w:val="Style13ptBold"/>
        </w:rPr>
        <w:t xml:space="preserve">NESC 24</w:t>
      </w:r>
      <w:r>
        <w:rPr>
          <w:sz w:val="16"/>
          <w:szCs w:val="16"/>
        </w:rPr>
        <w:t xml:space="preserve"> (National Example Safety Council, National safety organization that compiles annual traffic-fatality statistics, National Example Safety Council, 2024 (annual report; day and month not listed), "Pedestrian and Cyclist Fatalities in Urban Areas", </w:t>
      </w:r>
      <w:r>
        <w:rPr>
          <w:rStyle w:val="StyleUnderline"/>
          <w:sz w:val="16"/>
          <w:szCs w:val="16"/>
        </w:rPr>
        <w:t xml:space="preserve">https://example.com/nesc-urban-fatalities-2024</w:t>
      </w:r>
      <w:r>
        <w:rPr>
          <w:sz w:val="16"/>
          <w:szCs w:val="16"/>
        </w:rPr>
        <w:t xml:space="preserve">) XX - DOA: 10-14-2026</w:t>
      </w:r>
    </w:p>
    <w:p/>
    <w:p>
      <w:r>
        <w:rPr>
          <w:sz w:val="16"/>
          <w:szCs w:val="16"/>
        </w:rPr>
        <w:t xml:space="preserve">The council's annual report compiles police crash records from every state and adjusts them using hospital data to correct for undercounting. Across the country's urban areas, </w:t>
      </w:r>
      <w:r>
        <w:rPr>
          <w:rStyle w:val="StyleUnderline"/>
          <w:highlight w:val="cyan"/>
        </w:rPr>
        <w:t xml:space="preserve">7,310 pedestrians and cyclists were killed in traffic crashes in 2023, the highest annual toll in more than four decades</w:t>
      </w:r>
      <w:r>
        <w:rPr>
          <w:sz w:val="16"/>
          <w:szCs w:val="16"/>
        </w:rPr>
        <w:t xml:space="preserve">. Another 71,000 suffered serious injuries requiring hospital admission. </w:t>
      </w:r>
      <w:r>
        <w:rPr>
          <w:rStyle w:val="StyleUnderline"/>
          <w:highlight w:val="cyan"/>
        </w:rPr>
        <w:t xml:space="preserve">Deaths among people walking rose 44 percent over the preceding ten years</w:t>
      </w:r>
      <w:r>
        <w:rPr>
          <w:sz w:val="16"/>
          <w:szCs w:val="16"/>
        </w:rPr>
        <w:t xml:space="preserve">, while deaths among vehicle occupants rose 10 percent. More than half of these deaths occurred in dense urban cores and arterial streets where pedestrians and vehicles share space. The council estimates that the economic cost of these crashes, including medical care, lost productivity, and quality-of-life valuation, </w:t>
      </w:r>
      <w:r>
        <w:rPr>
          <w:rStyle w:val="StyleUnderline"/>
          <w:highlight w:val="cyan"/>
        </w:rPr>
        <w:t xml:space="preserve">exceeded $140 billion in 2023</w:t>
      </w:r>
      <w:r>
        <w:rPr>
          <w:sz w:val="16"/>
          <w:szCs w:val="16"/>
        </w:rPr>
        <w:t xml:space="preserve">. The council notes that the deaths are concentrated among people who have little choice about their exposure: children walking to school, older adults crossing at intersections, and workers commuting on foot or by bike. "These are people who are killed doing ordinary things," said council president Daniel Okafor.</w:t>
      </w:r>
    </w:p>
    <w:p>
      <w:pPr>
        <w:pStyle w:val="Analytic"/>
      </w:pPr>
      <w:r>
        <w:t xml:space="preserve">Impact: these deaths cannot be made up later, they fall on people with little choice about their exposure, and the toll has risen for a decade.</w:t>
      </w:r>
    </w:p>
    <w:p>
      <w:pPr>
        <w:pStyle w:val="Heading3"/>
      </w:pPr>
      <w:r>
        <w:t xml:space="preserve">SOLVENCY: it works when implemented</w:t>
      </w:r>
    </w:p>
    <w:p>
      <w:pPr>
        <w:pStyle w:val="Heading4"/>
      </w:pPr>
      <w:r>
        <w:t xml:space="preserve">SOLVENCY: Fairhaven cut core injuries 40 percent with no meaningful rise on bordering streets, because it phased in with transit and permits</w:t>
      </w:r>
    </w:p>
    <w:p>
      <w:r>
        <w:rPr>
          <w:rStyle w:val="Style13ptBold"/>
        </w:rPr>
        <w:t xml:space="preserve">Fairhaven DPW 25</w:t>
      </w:r>
      <w:r>
        <w:rPr>
          <w:sz w:val="16"/>
          <w:szCs w:val="16"/>
        </w:rPr>
        <w:t xml:space="preserve"> (Fairhaven Department of Public Works, Municipal agency that ran and evaluated the restriction over three years, Fairhaven Department of Public Works, 6-2025 (month only), "Fairhaven's Downtown Car Restriction: Three-Year Results", </w:t>
      </w:r>
      <w:r>
        <w:rPr>
          <w:rStyle w:val="StyleUnderline"/>
          <w:sz w:val="16"/>
          <w:szCs w:val="16"/>
        </w:rPr>
        <w:t xml:space="preserve">https://example.com/fairhaven-results</w:t>
      </w:r>
      <w:r>
        <w:rPr>
          <w:sz w:val="16"/>
          <w:szCs w:val="16"/>
        </w:rPr>
        <w:t xml:space="preserve">) XX - DOA: 10-14-2026</w:t>
      </w:r>
    </w:p>
    <w:p/>
    <w:p>
      <w:r>
        <w:rPr>
          <w:sz w:val="16"/>
          <w:szCs w:val="16"/>
        </w:rPr>
        <w:t xml:space="preserve">Fairhaven, a city of 190,000, </w:t>
      </w:r>
      <w:r>
        <w:rPr>
          <w:rStyle w:val="StyleUnderline"/>
        </w:rPr>
        <w:t xml:space="preserve">restricted ordinary private cars from a 0.8-square-mile downtown core in 2021, after an 18-month phase-in with expanded bus service, a permit system for disabled residents and deliveries, and free transfers at edge parking</w:t>
      </w:r>
      <w:r>
        <w:rPr>
          <w:sz w:val="16"/>
          <w:szCs w:val="16"/>
        </w:rPr>
        <w:t xml:space="preserve">. The department tracked injuries, traffic, and complaints for three years. </w:t>
      </w:r>
      <w:r>
        <w:rPr>
          <w:rStyle w:val="StyleUnderline"/>
          <w:highlight w:val="cyan"/>
        </w:rPr>
        <w:t xml:space="preserve">Pedestrian and cyclist injuries in the core fell from 96 in 2020 to 58 in 2024, a decline of 40 percent</w:t>
      </w:r>
      <w:r>
        <w:rPr>
          <w:sz w:val="16"/>
          <w:szCs w:val="16"/>
        </w:rPr>
        <w:t xml:space="preserve">, while citywide injuries were roughly flat. </w:t>
      </w:r>
      <w:r>
        <w:rPr>
          <w:rStyle w:val="StyleUnderline"/>
          <w:highlight w:val="cyan"/>
        </w:rPr>
        <w:t xml:space="preserve">Traffic counts on the eight streets bordering the core changed by less than 3 percent.</w:t>
      </w:r>
      <w:r>
        <w:rPr>
          <w:sz w:val="16"/>
          <w:szCs w:val="16"/>
        </w:rPr>
        <w:t xml:space="preserve"> Bus ridership into downtown rose 26 percent. The department reports that accessibility complaints fell sharply after the first year, as permit processing was streamlined and the city added two accessible drop-off points. "The first six months were rough," said public works director Helen Park. "The phase-in and the permits are what made it work. Cities that skip them will have problems."</w:t>
      </w:r>
    </w:p>
    <w:p>
      <w:pPr>
        <w:pStyle w:val="Analytic"/>
      </w:pPr>
      <w:r>
        <w:t xml:space="preserve">Solvency: our plan requires the same phase-in, permits, and edge transfers, so the resolution removes the cars that cause the Larkspur injuries, and Fairhaven shows the injuries fall when it does.</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b/>
      <w:sz w:val="52"/>
      <w:szCs w:val="32"/>
    </w:rPr>
  </w:style>
  <w:style w:type="paragraph" w:styleId="Heading2">
    <w:name w:val="heading 2"/>
    <w:aliases w:val="Hat"/>
    <w:basedOn w:val="Normal"/>
    <w:next w:val="Normal"/>
    <w:uiPriority w:val="1"/>
    <w:qFormat/>
    <w:pPr>
      <w:keepNext/>
      <w:keepLines/>
      <w:pageBreakBefore/>
      <w:spacing w:before="480"/>
      <w:jc w:val="center"/>
      <w:outlineLvl w:val="1"/>
    </w:pPr>
    <w:rPr>
      <w:b/>
      <w:sz w:val="44"/>
      <w:szCs w:val="26"/>
      <w:u w:val="double"/>
    </w:rPr>
  </w:style>
  <w:style w:type="paragraph" w:styleId="Heading3">
    <w:name w:val="heading 3"/>
    <w:aliases w:val="Block"/>
    <w:basedOn w:val="Normal"/>
    <w:next w:val="Normal"/>
    <w:uiPriority w:val="1"/>
    <w:qFormat/>
    <w:pPr>
      <w:keepNext/>
      <w:keepLines/>
      <w:pageBreakBefore/>
      <w:spacing w:before="200"/>
      <w:jc w:val="center"/>
      <w:outlineLvl w:val="2"/>
    </w:pPr>
    <w:rPr>
      <w:b/>
      <w:sz w:val="32"/>
      <w:szCs w:val="24"/>
      <w:u w:val="single"/>
    </w:rPr>
  </w:style>
  <w:style w:type="paragraph" w:styleId="Heading4">
    <w:name w:val="heading 4"/>
    <w:aliases w:val="Tag"/>
    <w:basedOn w:val="Normal"/>
    <w:next w:val="Normal"/>
    <w:uiPriority w:val="1"/>
    <w:qFormat/>
    <w:pPr>
      <w:keepNext/>
      <w:keepLines/>
      <w:spacing w:before="200"/>
      <w:outlineLvl w:val="3"/>
    </w:pPr>
    <w:rPr>
      <w:b/>
      <w:iCs/>
      <w:sz w:val="26"/>
    </w:rPr>
  </w:style>
  <w:style w:type="character" w:styleId="Emphasis">
    <w:name w:val="Emphasis"/>
    <w:basedOn w:val="DefaultParagraphFont"/>
    <w:uiPriority w:val="20"/>
    <w:qFormat/>
    <w:rPr>
      <w:rFonts w:ascii="Times New Roman" w:hAnsi="Times New Roman" w:cs="Times New Roman"/>
      <w:b w:val="0"/>
      <w:i w:val="0"/>
      <w:iCs/>
      <w:sz w:val="22"/>
      <w:u w:val="single"/>
      <w:bdr w:val="single" w:sz="8" w:space="0" w:color="auto"/>
    </w:rPr>
  </w:style>
  <w:style w:type="character" w:styleId="Style13ptBold">
    <w:name w:val="Style 13 pt Bold"/>
    <w:aliases w:val="Cite"/>
    <w:basedOn w:val="DefaultParagraphFont"/>
    <w:qFormat/>
    <w:rPr>
      <w:b/>
      <w:bCs/>
      <w:sz w:val="26"/>
      <w:u w:val="none"/>
    </w:rPr>
  </w:style>
  <w:style w:type="character" w:styleId="StyleUnderline">
    <w:name w:val="Style Underline"/>
    <w:aliases w:val="Underline"/>
    <w:basedOn w:val="DefaultParagraphFont"/>
    <w:qFormat/>
    <w:rPr>
      <w:b w:val="0"/>
      <w:sz w:val="22"/>
      <w:u w:val="single"/>
    </w:rPr>
  </w:style>
  <w:style w:type="paragraph" w:styleId="Undertag">
    <w:name w:val="Undertag"/>
    <w:basedOn w:val="Normal"/>
    <w:qFormat/>
    <w:pPr>
      <w:spacing w:after="0"/>
    </w:pPr>
    <w:rPr>
      <w:rFonts w:ascii="Times New Roman" w:hAnsi="Times New Roman" w:cs="Times New Roman"/>
      <w:i/>
      <w:iCs/>
      <w:color w:val="385623"/>
      <w:sz w:val="24"/>
    </w:rPr>
  </w:style>
  <w:style w:type="paragraph" w:styleId="Analytic">
    <w:name w:val="Analytic"/>
    <w:basedOn w:val="Normal"/>
    <w:qFormat/>
    <w:rPr>
      <w:color w:val="1F386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