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Georgia" w:cs="Georgia" w:eastAsia="Georgia" w:hAnsi="Georgia"/>
          <w:b/>
          <w:bCs/>
          <w:color w:val="C9762A"/>
          <w:spacing w:val="30"/>
          <w:sz w:val="15"/>
          <w:szCs w:val="15"/>
        </w:rPr>
        <w:t xml:space="preserve">LIVE-EN-SYNERGY  ·  BUILD PLAN</w:t>
      </w:r>
    </w:p>
    <w:p>
      <w:pPr>
        <w:spacing w:after="160"/>
      </w:pPr>
      <w:r>
        <w:rPr>
          <w:rFonts w:ascii="Georgia" w:cs="Georgia" w:eastAsia="Georgia" w:hAnsi="Georgia"/>
          <w:b/>
          <w:bCs/>
          <w:color w:val="2C2422"/>
          <w:sz w:val="52"/>
          <w:szCs w:val="52"/>
        </w:rPr>
        <w:t xml:space="preserve">Survey &amp; Response Quality Engine</w:t>
      </w:r>
    </w:p>
    <w:p>
      <w:pPr>
        <w:spacing w:after="200" w:line="276"/>
      </w:pPr>
      <w:r>
        <w:rPr>
          <w:rFonts w:ascii="Calibri" w:cs="Calibri" w:eastAsia="Calibri" w:hAnsi="Calibri"/>
          <w:b w:val="false"/>
          <w:bCs w:val="false"/>
          <w:i w:val="false"/>
          <w:iCs w:val="false"/>
          <w:color w:val="6F6360"/>
          <w:sz w:val="23"/>
          <w:szCs w:val="23"/>
        </w:rPr>
        <w:t xml:space="preserve">How we will build the custom consumer survey in-house: an admin drag-and-drop form builder, the participant-facing survey, and the end-to-end backend logic that decides whether a submission earns a reward — from bot screening through to the quality score.</w:t>
      </w:r>
    </w:p>
    <w:tbl>
      <w:tblPr>
        <w:tblW w:type="dxa" w:w="9638"/>
        <w:tblBorders>
          <w:top w:val="single" w:color="2C2422" w:sz="12"/>
          <w:left w:val="none" w:color="auto" w:sz="0"/>
          <w:bottom w:val="single" w:color="2C2422" w:sz="12"/>
          <w:right w:val="none" w:color="auto" w:sz="0"/>
          <w:insideH w:val="none" w:color="auto" w:sz="0"/>
          <w:insideV w:val="none" w:color="auto" w:sz="0"/>
        </w:tblBorders>
      </w:tblPr>
      <w:tblGrid>
        <w:gridCol w:w="2410"/>
        <w:gridCol w:w="2410"/>
        <w:gridCol w:w="2409"/>
        <w:gridCol w:w="2409"/>
      </w:tblGrid>
      <w:tr>
        <w:tc>
          <w:tcPr>
            <w:tcW w:type="dxa" w:w="2410"/>
            <w:tcMar>
              <w:top w:type="dxa" w:w="110"/>
              <w:left w:type="dxa" w:w="140"/>
              <w:bottom w:type="dxa" w:w="110"/>
              <w:right w:type="dxa" w:w="140"/>
            </w:tcMar>
          </w:tcPr>
          <w:p>
            <w:pPr>
              <w:spacing w:after="40"/>
            </w:pPr>
            <w:r>
              <w:rPr>
                <w:rFonts w:ascii="Georgia" w:cs="Georgia" w:eastAsia="Georgia" w:hAnsi="Georgia"/>
                <w:b/>
                <w:bCs/>
                <w:color w:val="8D7C75"/>
                <w:spacing w:val="25"/>
                <w:sz w:val="13"/>
                <w:szCs w:val="13"/>
              </w:rPr>
              <w:t xml:space="preserve">SCOPE</w:t>
            </w:r>
          </w:p>
          <w:p>
            <w:r>
              <w:rPr>
                <w:rFonts w:ascii="Calibri" w:cs="Calibri" w:eastAsia="Calibri" w:hAnsi="Calibri"/>
                <w:b/>
                <w:bCs/>
                <w:color w:val="2C2422"/>
                <w:sz w:val="18"/>
                <w:szCs w:val="18"/>
              </w:rPr>
              <w:t xml:space="preserve">Phase 3 of the new-model plan</w:t>
            </w:r>
          </w:p>
        </w:tc>
        <w:tc>
          <w:tcPr>
            <w:tcW w:type="dxa" w:w="2410"/>
            <w:tcMar>
              <w:top w:type="dxa" w:w="110"/>
              <w:left w:type="dxa" w:w="140"/>
              <w:bottom w:type="dxa" w:w="110"/>
              <w:right w:type="dxa" w:w="140"/>
            </w:tcMar>
          </w:tcPr>
          <w:p>
            <w:pPr>
              <w:spacing w:after="40"/>
            </w:pPr>
            <w:r>
              <w:rPr>
                <w:rFonts w:ascii="Georgia" w:cs="Georgia" w:eastAsia="Georgia" w:hAnsi="Georgia"/>
                <w:b/>
                <w:bCs/>
                <w:color w:val="8D7C75"/>
                <w:spacing w:val="25"/>
                <w:sz w:val="13"/>
                <w:szCs w:val="13"/>
              </w:rPr>
              <w:t xml:space="preserve">STATUS</w:t>
            </w:r>
          </w:p>
          <w:p>
            <w:r>
              <w:rPr>
                <w:rFonts w:ascii="Calibri" w:cs="Calibri" w:eastAsia="Calibri" w:hAnsi="Calibri"/>
                <w:b/>
                <w:bCs/>
                <w:color w:val="2C2422"/>
                <w:sz w:val="18"/>
                <w:szCs w:val="18"/>
              </w:rPr>
              <w:t xml:space="preserve">Designed, not yet built</w:t>
            </w:r>
          </w:p>
        </w:tc>
        <w:tc>
          <w:tcPr>
            <w:tcW w:type="dxa" w:w="2409"/>
            <w:tcMar>
              <w:top w:type="dxa" w:w="110"/>
              <w:left w:type="dxa" w:w="140"/>
              <w:bottom w:type="dxa" w:w="110"/>
              <w:right w:type="dxa" w:w="140"/>
            </w:tcMar>
          </w:tcPr>
          <w:p>
            <w:pPr>
              <w:spacing w:after="40"/>
            </w:pPr>
            <w:r>
              <w:rPr>
                <w:rFonts w:ascii="Georgia" w:cs="Georgia" w:eastAsia="Georgia" w:hAnsi="Georgia"/>
                <w:b/>
                <w:bCs/>
                <w:color w:val="8D7C75"/>
                <w:spacing w:val="25"/>
                <w:sz w:val="13"/>
                <w:szCs w:val="13"/>
              </w:rPr>
              <w:t xml:space="preserve">DEPENDS ON</w:t>
            </w:r>
          </w:p>
          <w:p>
            <w:r>
              <w:rPr>
                <w:rFonts w:ascii="Calibri" w:cs="Calibri" w:eastAsia="Calibri" w:hAnsi="Calibri"/>
                <w:b/>
                <w:bCs/>
                <w:color w:val="2C2422"/>
                <w:sz w:val="18"/>
                <w:szCs w:val="18"/>
              </w:rPr>
              <w:t xml:space="preserve">Package pricing decision</w:t>
            </w:r>
          </w:p>
        </w:tc>
        <w:tc>
          <w:tcPr>
            <w:tcW w:type="dxa" w:w="2409"/>
            <w:tcMar>
              <w:top w:type="dxa" w:w="110"/>
              <w:left w:type="dxa" w:w="140"/>
              <w:bottom w:type="dxa" w:w="110"/>
              <w:right w:type="dxa" w:w="140"/>
            </w:tcMar>
          </w:tcPr>
          <w:p>
            <w:pPr>
              <w:spacing w:after="40"/>
            </w:pPr>
            <w:r>
              <w:rPr>
                <w:rFonts w:ascii="Georgia" w:cs="Georgia" w:eastAsia="Georgia" w:hAnsi="Georgia"/>
                <w:b/>
                <w:bCs/>
                <w:color w:val="8D7C75"/>
                <w:spacing w:val="25"/>
                <w:sz w:val="13"/>
                <w:szCs w:val="13"/>
              </w:rPr>
              <w:t xml:space="preserve">BLOCKS</w:t>
            </w:r>
          </w:p>
          <w:p>
            <w:r>
              <w:rPr>
                <w:rFonts w:ascii="Calibri" w:cs="Calibri" w:eastAsia="Calibri" w:hAnsi="Calibri"/>
                <w:b/>
                <w:bCs/>
                <w:color w:val="2C2422"/>
                <w:sz w:val="18"/>
                <w:szCs w:val="18"/>
              </w:rPr>
              <w:t xml:space="preserve">Survey-gated rewards</w:t>
            </w:r>
          </w:p>
        </w:tc>
      </w:tr>
    </w:tbl>
    <w:p>
      <w:pPr>
        <w:pStyle w:val="Heading1"/>
        <w:spacing w:after="120" w:before="460"/>
      </w:pPr>
      <w:r>
        <w:rPr>
          <w:rFonts w:ascii="Georgia" w:cs="Georgia" w:eastAsia="Georgia" w:hAnsi="Georgia"/>
          <w:b/>
          <w:bCs/>
          <w:color w:val="C9762A"/>
          <w:sz w:val="22"/>
          <w:szCs w:val="22"/>
        </w:rPr>
        <w:t xml:space="preserve">01   </w:t>
      </w:r>
      <w:r>
        <w:rPr>
          <w:rFonts w:ascii="Georgia" w:cs="Georgia" w:eastAsia="Georgia" w:hAnsi="Georgia"/>
          <w:b/>
          <w:bCs/>
          <w:color w:val="2C2422"/>
          <w:sz w:val="30"/>
          <w:szCs w:val="30"/>
        </w:rPr>
        <w:t xml:space="preserve">Where this sits today</w:t>
      </w:r>
    </w:p>
    <w:p>
      <w:pPr>
        <w:spacing w:after="140" w:line="276"/>
      </w:pPr>
      <w:r>
        <w:rPr>
          <w:rFonts w:ascii="Calibri" w:cs="Calibri" w:eastAsia="Calibri" w:hAnsi="Calibri"/>
          <w:b w:val="false"/>
          <w:bCs w:val="false"/>
          <w:i w:val="false"/>
          <w:iCs w:val="false"/>
          <w:color w:val="6F6360"/>
          <w:sz w:val="21"/>
          <w:szCs w:val="21"/>
        </w:rPr>
        <w:t xml:space="preserve">The rest of the new model is built. The survey system is the one piece deliberately held back, and it is the last dependency for gating rewards on response quality.</w:t>
      </w:r>
    </w:p>
    <w:tbl>
      <w:tblPr>
        <w:tblW w:type="dxa" w:w="9638"/>
        <w:tblBorders>
          <w:top w:val="single" w:color="E6DBCF" w:sz="4"/>
          <w:left w:val="single" w:color="E6DBCF" w:sz="4"/>
          <w:bottom w:val="single" w:color="E6DBCF" w:sz="4"/>
          <w:right w:val="single" w:color="E6DBCF" w:sz="4"/>
          <w:insideH w:val="single" w:color="E6DBCF" w:sz="4"/>
          <w:insideV w:val="single" w:color="E6DBCF" w:sz="4"/>
        </w:tblBorders>
      </w:tblPr>
      <w:tblGrid>
        <w:gridCol w:w="2200"/>
        <w:gridCol w:w="2200"/>
        <w:gridCol w:w="5238"/>
      </w:tblGrid>
      <w:tr>
        <w:trPr>
          <w:tblHeader/>
        </w:trPr>
        <w:tc>
          <w:tcPr>
            <w:tcW w:type="dxa" w:w="2200"/>
            <w:shd w:fill="F6EFE6" w:color="auto" w:val="clear"/>
            <w:tcMar>
              <w:top w:type="dxa" w:w="110"/>
              <w:left w:type="dxa" w:w="140"/>
              <w:bottom w:type="dxa" w:w="110"/>
              <w:right w:type="dxa" w:w="140"/>
            </w:tcMar>
          </w:tcPr>
          <w:p>
            <w:r>
              <w:rPr>
                <w:rFonts w:ascii="Georgia" w:cs="Georgia" w:eastAsia="Georgia" w:hAnsi="Georgia"/>
                <w:b/>
                <w:bCs/>
                <w:color w:val="8D7C75"/>
                <w:spacing w:val="25"/>
                <w:sz w:val="14"/>
                <w:szCs w:val="14"/>
              </w:rPr>
              <w:t xml:space="preserve">AREA</w:t>
            </w:r>
          </w:p>
        </w:tc>
        <w:tc>
          <w:tcPr>
            <w:tcW w:type="dxa" w:w="2200"/>
            <w:shd w:fill="F6EFE6" w:color="auto" w:val="clear"/>
            <w:tcMar>
              <w:top w:type="dxa" w:w="110"/>
              <w:left w:type="dxa" w:w="140"/>
              <w:bottom w:type="dxa" w:w="110"/>
              <w:right w:type="dxa" w:w="140"/>
            </w:tcMar>
          </w:tcPr>
          <w:p>
            <w:r>
              <w:rPr>
                <w:rFonts w:ascii="Georgia" w:cs="Georgia" w:eastAsia="Georgia" w:hAnsi="Georgia"/>
                <w:b/>
                <w:bCs/>
                <w:color w:val="8D7C75"/>
                <w:spacing w:val="25"/>
                <w:sz w:val="14"/>
                <w:szCs w:val="14"/>
              </w:rPr>
              <w:t xml:space="preserve">POSITION</w:t>
            </w:r>
          </w:p>
        </w:tc>
        <w:tc>
          <w:tcPr>
            <w:tcW w:type="dxa" w:w="5238"/>
            <w:shd w:fill="F6EFE6" w:color="auto" w:val="clear"/>
            <w:tcMar>
              <w:top w:type="dxa" w:w="110"/>
              <w:left w:type="dxa" w:w="140"/>
              <w:bottom w:type="dxa" w:w="110"/>
              <w:right w:type="dxa" w:w="140"/>
            </w:tcMar>
          </w:tcPr>
          <w:p>
            <w:r>
              <w:rPr>
                <w:rFonts w:ascii="Georgia" w:cs="Georgia" w:eastAsia="Georgia" w:hAnsi="Georgia"/>
                <w:b/>
                <w:bCs/>
                <w:color w:val="8D7C75"/>
                <w:spacing w:val="25"/>
                <w:sz w:val="14"/>
                <w:szCs w:val="14"/>
              </w:rPr>
              <w:t xml:space="preserve">DETAIL</w:t>
            </w:r>
          </w:p>
        </w:tc>
      </w:tr>
      <w:tr>
        <w:tc>
          <w:tcPr>
            <w:tcW w:type="dxa" w:w="2200"/>
            <w:tcMar>
              <w:top w:type="dxa" w:w="110"/>
              <w:left w:type="dxa" w:w="140"/>
              <w:bottom w:type="dxa" w:w="110"/>
              <w:right w:type="dxa" w:w="140"/>
            </w:tcMar>
          </w:tcPr>
          <w:p>
            <w:pPr>
              <w:spacing w:line="260"/>
            </w:pPr>
            <w:r>
              <w:rPr>
                <w:rFonts w:ascii="Calibri" w:cs="Calibri" w:eastAsia="Calibri" w:hAnsi="Calibri"/>
                <w:b/>
                <w:bCs/>
                <w:i w:val="false"/>
                <w:iCs w:val="false"/>
                <w:color w:val="2C2422"/>
                <w:sz w:val="20"/>
                <w:szCs w:val="20"/>
              </w:rPr>
              <w:t xml:space="preserve">New-model phases</w:t>
            </w:r>
          </w:p>
        </w:tc>
        <w:tc>
          <w:tcPr>
            <w:tcW w:type="dxa" w:w="2200"/>
            <w:tcMar>
              <w:top w:type="dxa" w:w="110"/>
              <w:left w:type="dxa" w:w="140"/>
              <w:bottom w:type="dxa" w:w="110"/>
              <w:right w:type="dxa" w:w="140"/>
            </w:tcMar>
          </w:tcPr>
          <w:p>
            <w:pPr>
              <w:spacing w:line="260"/>
            </w:pPr>
            <w:r>
              <w:rPr>
                <w:rFonts w:ascii="Calibri" w:cs="Calibri" w:eastAsia="Calibri" w:hAnsi="Calibri"/>
                <w:b/>
                <w:bCs/>
                <w:i w:val="false"/>
                <w:iCs w:val="false"/>
                <w:color w:val="2C2422"/>
                <w:sz w:val="20"/>
                <w:szCs w:val="20"/>
              </w:rPr>
              <w:t xml:space="preserve">7 of 8 built</w:t>
            </w:r>
          </w:p>
        </w:tc>
        <w:tc>
          <w:tcPr>
            <w:tcW w:type="dxa" w:w="5238"/>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Admin-only campaigns, packages, reward engine, artist split, change requests, invoicing, admin-mediated messaging.</w:t>
            </w:r>
          </w:p>
        </w:tc>
      </w:tr>
      <w:tr>
        <w:tc>
          <w:tcPr>
            <w:tcW w:type="dxa" w:w="2200"/>
            <w:tcMar>
              <w:top w:type="dxa" w:w="110"/>
              <w:left w:type="dxa" w:w="140"/>
              <w:bottom w:type="dxa" w:w="110"/>
              <w:right w:type="dxa" w:w="140"/>
            </w:tcMar>
          </w:tcPr>
          <w:p>
            <w:pPr>
              <w:spacing w:line="260"/>
            </w:pPr>
            <w:r>
              <w:rPr>
                <w:rFonts w:ascii="Calibri" w:cs="Calibri" w:eastAsia="Calibri" w:hAnsi="Calibri"/>
                <w:b/>
                <w:bCs/>
                <w:i w:val="false"/>
                <w:iCs w:val="false"/>
                <w:color w:val="2C2422"/>
                <w:sz w:val="20"/>
                <w:szCs w:val="20"/>
              </w:rPr>
              <w:t xml:space="preserve">Survey system</w:t>
            </w:r>
          </w:p>
        </w:tc>
        <w:tc>
          <w:tcPr>
            <w:tcW w:type="dxa" w:w="2200"/>
            <w:tcMar>
              <w:top w:type="dxa" w:w="110"/>
              <w:left w:type="dxa" w:w="140"/>
              <w:bottom w:type="dxa" w:w="110"/>
              <w:right w:type="dxa" w:w="140"/>
            </w:tcMar>
          </w:tcPr>
          <w:p>
            <w:pPr>
              <w:spacing w:line="260"/>
            </w:pPr>
            <w:r>
              <w:rPr>
                <w:rFonts w:ascii="Calibri" w:cs="Calibri" w:eastAsia="Calibri" w:hAnsi="Calibri"/>
                <w:b/>
                <w:bCs/>
                <w:i w:val="false"/>
                <w:iCs w:val="false"/>
                <w:color w:val="A02C4A"/>
                <w:sz w:val="20"/>
                <w:szCs w:val="20"/>
              </w:rPr>
              <w:t xml:space="preserve">0% built</w:t>
            </w:r>
          </w:p>
        </w:tc>
        <w:tc>
          <w:tcPr>
            <w:tcW w:type="dxa" w:w="5238"/>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No tables, no screens, no code. The full technical design is written and ready to build against.</w:t>
            </w:r>
          </w:p>
        </w:tc>
      </w:tr>
      <w:tr>
        <w:tc>
          <w:tcPr>
            <w:tcW w:type="dxa" w:w="2200"/>
            <w:tcMar>
              <w:top w:type="dxa" w:w="110"/>
              <w:left w:type="dxa" w:w="140"/>
              <w:bottom w:type="dxa" w:w="110"/>
              <w:right w:type="dxa" w:w="140"/>
            </w:tcMar>
          </w:tcPr>
          <w:p>
            <w:pPr>
              <w:spacing w:line="260"/>
            </w:pPr>
            <w:r>
              <w:rPr>
                <w:rFonts w:ascii="Calibri" w:cs="Calibri" w:eastAsia="Calibri" w:hAnsi="Calibri"/>
                <w:b/>
                <w:bCs/>
                <w:i w:val="false"/>
                <w:iCs w:val="false"/>
                <w:color w:val="2C2422"/>
                <w:sz w:val="20"/>
                <w:szCs w:val="20"/>
              </w:rPr>
              <w:t xml:space="preserve">Reward gate today</w:t>
            </w:r>
          </w:p>
        </w:tc>
        <w:tc>
          <w:tcPr>
            <w:tcW w:type="dxa" w:w="2200"/>
            <w:tcMar>
              <w:top w:type="dxa" w:w="110"/>
              <w:left w:type="dxa" w:w="140"/>
              <w:bottom w:type="dxa" w:w="110"/>
              <w:right w:type="dxa" w:w="140"/>
            </w:tcMar>
          </w:tcPr>
          <w:p>
            <w:pPr>
              <w:spacing w:line="260"/>
            </w:pPr>
            <w:r>
              <w:rPr>
                <w:rFonts w:ascii="Calibri" w:cs="Calibri" w:eastAsia="Calibri" w:hAnsi="Calibri"/>
                <w:b/>
                <w:bCs/>
                <w:i w:val="false"/>
                <w:iCs w:val="false"/>
                <w:color w:val="2C2422"/>
                <w:sz w:val="20"/>
                <w:szCs w:val="20"/>
              </w:rPr>
              <w:t xml:space="preserve">Admin discretion</w:t>
            </w:r>
          </w:p>
        </w:tc>
        <w:tc>
          <w:tcPr>
            <w:tcW w:type="dxa" w:w="5238"/>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Reward codes are issued manually. The automatic quality gate is what this build adds.</w:t>
            </w:r>
          </w:p>
        </w:tc>
      </w:tr>
    </w:tbl>
    <w:p>
      <w:pPr>
        <w:spacing w:after="160"/>
      </w:pPr>
      <w:r>
        <w:rPr>
          <w:sz w:val="2"/>
          <w:szCs w:val="2"/>
        </w:rPr>
        <w:t xml:space="preserve"/>
      </w:r>
    </w:p>
    <w:tbl>
      <w:tblPr>
        <w:tblW w:type="dxa" w:w="9638"/>
        <w:tblBorders>
          <w:top w:val="none" w:color="auto" w:sz="0"/>
          <w:left w:val="single" w:color="C9762A" w:sz="18"/>
          <w:bottom w:val="none" w:color="auto" w:sz="0"/>
          <w:right w:val="none" w:color="auto" w:sz="0"/>
          <w:insideH w:val="none" w:color="auto" w:sz="0"/>
          <w:insideV w:val="none" w:color="auto" w:sz="0"/>
        </w:tblBorders>
      </w:tblPr>
      <w:tblGrid>
        <w:gridCol w:w="9638"/>
      </w:tblGrid>
      <w:tr>
        <w:tc>
          <w:tcPr>
            <w:tcW w:type="dxa" w:w="9638"/>
            <w:shd w:fill="FDF8F2" w:color="auto" w:val="clear"/>
            <w:tcMar>
              <w:top w:type="dxa" w:w="110"/>
              <w:left w:type="dxa" w:w="140"/>
              <w:bottom w:type="dxa" w:w="110"/>
              <w:right w:type="dxa" w:w="140"/>
            </w:tcMar>
          </w:tcPr>
          <w:p>
            <w:pPr>
              <w:spacing w:after="80"/>
            </w:pPr>
            <w:r>
              <w:rPr>
                <w:rFonts w:ascii="Georgia" w:cs="Georgia" w:eastAsia="Georgia" w:hAnsi="Georgia"/>
                <w:b/>
                <w:bCs/>
                <w:color w:val="C9762A"/>
                <w:spacing w:val="25"/>
                <w:sz w:val="14"/>
                <w:szCs w:val="14"/>
              </w:rPr>
              <w:t xml:space="preserve">DECISION ALREADY TAKEN — 24 AUGUST STANDUP</w:t>
            </w:r>
          </w:p>
          <w:p>
            <w:pPr>
              <w:spacing w:line="276"/>
            </w:pPr>
            <w:r>
              <w:rPr>
                <w:rFonts w:ascii="Calibri" w:cs="Calibri" w:eastAsia="Calibri" w:hAnsi="Calibri"/>
                <w:b/>
                <w:bCs/>
                <w:color w:val="2C2422"/>
                <w:sz w:val="21"/>
                <w:szCs w:val="21"/>
              </w:rPr>
              <w:t xml:space="preserve">We build the survey in-house rather than embedding Typeform or Jotform. </w:t>
            </w:r>
            <w:r>
              <w:rPr>
                <w:rFonts w:ascii="Calibri" w:cs="Calibri" w:eastAsia="Calibri" w:hAnsi="Calibri"/>
                <w:color w:val="2C2422"/>
                <w:sz w:val="21"/>
                <w:szCs w:val="21"/>
              </w:rPr>
              <w:t xml:space="preserve">The deciding factor is the reward gate: the quality score has to read per-question timing, attention-check answers and the respondent's existing profile data, then write a pass/review/reject verdict back onto the participation record that releases a code. A third-party embed gives us a form, but not that loop — we would still be building the quality engine, and doing it across a webhook boundary with data we do not own. Building it inside the platform also keeps survey answers under the same access rules as every other piece of audience data.</w:t>
            </w:r>
          </w:p>
        </w:tc>
      </w:tr>
    </w:tbl>
    <w:p>
      <w:pPr>
        <w:pStyle w:val="Heading1"/>
        <w:spacing w:after="120" w:before="460"/>
      </w:pPr>
      <w:r>
        <w:rPr>
          <w:rFonts w:ascii="Georgia" w:cs="Georgia" w:eastAsia="Georgia" w:hAnsi="Georgia"/>
          <w:b/>
          <w:bCs/>
          <w:color w:val="C9762A"/>
          <w:sz w:val="22"/>
          <w:szCs w:val="22"/>
        </w:rPr>
        <w:t xml:space="preserve">02   </w:t>
      </w:r>
      <w:r>
        <w:rPr>
          <w:rFonts w:ascii="Georgia" w:cs="Georgia" w:eastAsia="Georgia" w:hAnsi="Georgia"/>
          <w:b/>
          <w:bCs/>
          <w:color w:val="2C2422"/>
          <w:sz w:val="30"/>
          <w:szCs w:val="30"/>
        </w:rPr>
        <w:t xml:space="preserve">Two screens, two audiences</w:t>
      </w:r>
    </w:p>
    <w:p>
      <w:pPr>
        <w:spacing w:after="140" w:line="276"/>
      </w:pPr>
      <w:r>
        <w:rPr>
          <w:rFonts w:ascii="Calibri" w:cs="Calibri" w:eastAsia="Calibri" w:hAnsi="Calibri"/>
          <w:b w:val="false"/>
          <w:bCs w:val="false"/>
          <w:i w:val="false"/>
          <w:iCs w:val="false"/>
          <w:color w:val="6F6360"/>
          <w:sz w:val="21"/>
          <w:szCs w:val="21"/>
        </w:rPr>
        <w:t xml:space="preserve">The build splits cleanly in half: what the admin uses to compose a survey, and what the audience member fills in. Only the admin side is drag-and-drop.</w:t>
      </w:r>
    </w:p>
    <w:p>
      <w:pPr>
        <w:pStyle w:val="Heading2"/>
        <w:spacing w:after="100" w:before="300"/>
      </w:pPr>
      <w:r>
        <w:rPr>
          <w:rFonts w:ascii="Georgia" w:cs="Georgia" w:eastAsia="Georgia" w:hAnsi="Georgia"/>
          <w:b/>
          <w:bCs/>
          <w:color w:val="2C2422"/>
          <w:sz w:val="23"/>
          <w:szCs w:val="23"/>
        </w:rPr>
        <w:t xml:space="preserve">The admin builder — drag and drop</w:t>
      </w:r>
    </w:p>
    <w:p>
      <w:pPr>
        <w:spacing w:after="140" w:line="276"/>
      </w:pPr>
      <w:r>
        <w:rPr>
          <w:rFonts w:ascii="Calibri" w:cs="Calibri" w:eastAsia="Calibri" w:hAnsi="Calibri"/>
          <w:b w:val="false"/>
          <w:bCs w:val="false"/>
          <w:i w:val="false"/>
          <w:iCs w:val="false"/>
          <w:color w:val="2C2422"/>
          <w:sz w:val="21"/>
          <w:szCs w:val="21"/>
        </w:rPr>
        <w:t xml:space="preserve">Admin composes a survey by dragging question blocks into an ordered form. Three panes, the pattern anyone who has used a form builder will recognise immediately:</w:t>
      </w:r>
    </w:p>
    <w:tbl>
      <w:tblPr>
        <w:tblW w:type="dxa" w:w="9638"/>
        <w:tblBorders>
          <w:top w:val="single" w:color="E6DBCF" w:sz="4"/>
          <w:left w:val="single" w:color="E6DBCF" w:sz="4"/>
          <w:bottom w:val="single" w:color="E6DBCF" w:sz="4"/>
          <w:right w:val="single" w:color="E6DBCF" w:sz="4"/>
          <w:insideH w:val="single" w:color="E6DBCF" w:sz="4"/>
          <w:insideV w:val="single" w:color="E6DBCF" w:sz="4"/>
        </w:tblBorders>
      </w:tblPr>
      <w:tblGrid>
        <w:gridCol w:w="2100"/>
        <w:gridCol w:w="2400"/>
        <w:gridCol w:w="5138"/>
      </w:tblGrid>
      <w:tr>
        <w:trPr>
          <w:tblHeader/>
        </w:trPr>
        <w:tc>
          <w:tcPr>
            <w:tcW w:type="dxa" w:w="2100"/>
            <w:shd w:fill="F6EFE6" w:color="auto" w:val="clear"/>
            <w:tcMar>
              <w:top w:type="dxa" w:w="110"/>
              <w:left w:type="dxa" w:w="140"/>
              <w:bottom w:type="dxa" w:w="110"/>
              <w:right w:type="dxa" w:w="140"/>
            </w:tcMar>
          </w:tcPr>
          <w:p>
            <w:r>
              <w:rPr>
                <w:rFonts w:ascii="Georgia" w:cs="Georgia" w:eastAsia="Georgia" w:hAnsi="Georgia"/>
                <w:b/>
                <w:bCs/>
                <w:color w:val="8D7C75"/>
                <w:spacing w:val="25"/>
                <w:sz w:val="14"/>
                <w:szCs w:val="14"/>
              </w:rPr>
              <w:t xml:space="preserve">PANE</w:t>
            </w:r>
          </w:p>
        </w:tc>
        <w:tc>
          <w:tcPr>
            <w:tcW w:type="dxa" w:w="2400"/>
            <w:shd w:fill="F6EFE6" w:color="auto" w:val="clear"/>
            <w:tcMar>
              <w:top w:type="dxa" w:w="110"/>
              <w:left w:type="dxa" w:w="140"/>
              <w:bottom w:type="dxa" w:w="110"/>
              <w:right w:type="dxa" w:w="140"/>
            </w:tcMar>
          </w:tcPr>
          <w:p>
            <w:r>
              <w:rPr>
                <w:rFonts w:ascii="Georgia" w:cs="Georgia" w:eastAsia="Georgia" w:hAnsi="Georgia"/>
                <w:b/>
                <w:bCs/>
                <w:color w:val="8D7C75"/>
                <w:spacing w:val="25"/>
                <w:sz w:val="14"/>
                <w:szCs w:val="14"/>
              </w:rPr>
              <w:t xml:space="preserve">WHAT IT IS</w:t>
            </w:r>
          </w:p>
        </w:tc>
        <w:tc>
          <w:tcPr>
            <w:tcW w:type="dxa" w:w="5138"/>
            <w:shd w:fill="F6EFE6" w:color="auto" w:val="clear"/>
            <w:tcMar>
              <w:top w:type="dxa" w:w="110"/>
              <w:left w:type="dxa" w:w="140"/>
              <w:bottom w:type="dxa" w:w="110"/>
              <w:right w:type="dxa" w:w="140"/>
            </w:tcMar>
          </w:tcPr>
          <w:p>
            <w:r>
              <w:rPr>
                <w:rFonts w:ascii="Georgia" w:cs="Georgia" w:eastAsia="Georgia" w:hAnsi="Georgia"/>
                <w:b/>
                <w:bCs/>
                <w:color w:val="8D7C75"/>
                <w:spacing w:val="25"/>
                <w:sz w:val="14"/>
                <w:szCs w:val="14"/>
              </w:rPr>
              <w:t xml:space="preserve">HOW IT BEHAVES</w:t>
            </w:r>
          </w:p>
        </w:tc>
      </w:tr>
      <w:tr>
        <w:tc>
          <w:tcPr>
            <w:tcW w:type="dxa" w:w="2100"/>
            <w:tcMar>
              <w:top w:type="dxa" w:w="110"/>
              <w:left w:type="dxa" w:w="140"/>
              <w:bottom w:type="dxa" w:w="110"/>
              <w:right w:type="dxa" w:w="140"/>
            </w:tcMar>
          </w:tcPr>
          <w:p>
            <w:pPr>
              <w:spacing w:line="260"/>
            </w:pPr>
            <w:r>
              <w:rPr>
                <w:rFonts w:ascii="Calibri" w:cs="Calibri" w:eastAsia="Calibri" w:hAnsi="Calibri"/>
                <w:b/>
                <w:bCs/>
                <w:i w:val="false"/>
                <w:iCs w:val="false"/>
                <w:color w:val="2C2422"/>
                <w:sz w:val="20"/>
                <w:szCs w:val="20"/>
              </w:rPr>
              <w:t xml:space="preserve">Left — Palette</w:t>
            </w:r>
          </w:p>
        </w:tc>
        <w:tc>
          <w:tcPr>
            <w:tcW w:type="dxa" w:w="2400"/>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One card per question type</w:t>
            </w:r>
          </w:p>
        </w:tc>
        <w:tc>
          <w:tcPr>
            <w:tcW w:type="dxa" w:w="5138"/>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Drag a card onto the form to insert a question at that position, or click it to append to the end — so the builder is fully usable by keyboard, not drag-only.</w:t>
            </w:r>
          </w:p>
        </w:tc>
      </w:tr>
      <w:tr>
        <w:tc>
          <w:tcPr>
            <w:tcW w:type="dxa" w:w="2100"/>
            <w:tcMar>
              <w:top w:type="dxa" w:w="110"/>
              <w:left w:type="dxa" w:w="140"/>
              <w:bottom w:type="dxa" w:w="110"/>
              <w:right w:type="dxa" w:w="140"/>
            </w:tcMar>
          </w:tcPr>
          <w:p>
            <w:pPr>
              <w:spacing w:line="260"/>
            </w:pPr>
            <w:r>
              <w:rPr>
                <w:rFonts w:ascii="Calibri" w:cs="Calibri" w:eastAsia="Calibri" w:hAnsi="Calibri"/>
                <w:b/>
                <w:bCs/>
                <w:i w:val="false"/>
                <w:iCs w:val="false"/>
                <w:color w:val="2C2422"/>
                <w:sz w:val="20"/>
                <w:szCs w:val="20"/>
              </w:rPr>
              <w:t xml:space="preserve">Centre — The form</w:t>
            </w:r>
          </w:p>
        </w:tc>
        <w:tc>
          <w:tcPr>
            <w:tcW w:type="dxa" w:w="2400"/>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The ordered list of questions</w:t>
            </w:r>
          </w:p>
        </w:tc>
        <w:tc>
          <w:tcPr>
            <w:tcW w:type="dxa" w:w="5138"/>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Each question is a summary card with a drag handle; drag to reorder. A preview toggle renders the exact screen the participant will see.</w:t>
            </w:r>
          </w:p>
        </w:tc>
      </w:tr>
      <w:tr>
        <w:tc>
          <w:tcPr>
            <w:tcW w:type="dxa" w:w="2100"/>
            <w:tcMar>
              <w:top w:type="dxa" w:w="110"/>
              <w:left w:type="dxa" w:w="140"/>
              <w:bottom w:type="dxa" w:w="110"/>
              <w:right w:type="dxa" w:w="140"/>
            </w:tcMar>
          </w:tcPr>
          <w:p>
            <w:pPr>
              <w:spacing w:line="260"/>
            </w:pPr>
            <w:r>
              <w:rPr>
                <w:rFonts w:ascii="Calibri" w:cs="Calibri" w:eastAsia="Calibri" w:hAnsi="Calibri"/>
                <w:b/>
                <w:bCs/>
                <w:i w:val="false"/>
                <w:iCs w:val="false"/>
                <w:color w:val="2C2422"/>
                <w:sz w:val="20"/>
                <w:szCs w:val="20"/>
              </w:rPr>
              <w:t xml:space="preserve">Right — Settings</w:t>
            </w:r>
          </w:p>
        </w:tc>
        <w:tc>
          <w:tcPr>
            <w:tcW w:type="dxa" w:w="2400"/>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Settings for the selected question</w:t>
            </w:r>
          </w:p>
        </w:tc>
        <w:tc>
          <w:tcPr>
            <w:tcW w:type="dxa" w:w="5138"/>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Prompt wording, answer options, required toggle, scale range, and the expected answer for attention checks.</w:t>
            </w:r>
          </w:p>
        </w:tc>
      </w:tr>
    </w:tbl>
    <w:p>
      <w:pPr>
        <w:spacing w:after="160"/>
      </w:pPr>
      <w:r>
        <w:rPr>
          <w:sz w:val="2"/>
          <w:szCs w:val="2"/>
        </w:rPr>
        <w:t xml:space="preserve"/>
      </w:r>
    </w:p>
    <w:p>
      <w:pPr>
        <w:spacing w:after="140" w:line="276"/>
      </w:pPr>
      <w:r>
        <w:rPr>
          <w:rFonts w:ascii="Calibri" w:cs="Calibri" w:eastAsia="Calibri" w:hAnsi="Calibri"/>
          <w:b w:val="false"/>
          <w:bCs w:val="false"/>
          <w:i w:val="false"/>
          <w:iCs w:val="false"/>
          <w:color w:val="2C2422"/>
          <w:sz w:val="21"/>
          <w:szCs w:val="21"/>
        </w:rPr>
        <w:t xml:space="preserve">Nothing saves until admin presses </w:t>
      </w:r>
      <w:r>
        <w:rPr>
          <w:rFonts w:ascii="Calibri" w:cs="Calibri" w:eastAsia="Calibri" w:hAnsi="Calibri"/>
          <w:b/>
          <w:bCs/>
          <w:i w:val="false"/>
          <w:iCs w:val="false"/>
          <w:color w:val="2C2422"/>
          <w:sz w:val="21"/>
          <w:szCs w:val="21"/>
        </w:rPr>
        <w:t xml:space="preserve">Save</w:t>
      </w:r>
      <w:r>
        <w:rPr>
          <w:rFonts w:ascii="Calibri" w:cs="Calibri" w:eastAsia="Calibri" w:hAnsi="Calibri"/>
          <w:b w:val="false"/>
          <w:bCs w:val="false"/>
          <w:i w:val="false"/>
          <w:iCs w:val="false"/>
          <w:color w:val="2C2422"/>
          <w:sz w:val="21"/>
          <w:szCs w:val="21"/>
        </w:rPr>
        <w:t xml:space="preserve"> — the whole ordered form is written in one go, which matches how every other admin screen on the platform already behaves. A survey stays a </w:t>
      </w:r>
      <w:r>
        <w:rPr>
          <w:rFonts w:ascii="Calibri" w:cs="Calibri" w:eastAsia="Calibri" w:hAnsi="Calibri"/>
          <w:b/>
          <w:bCs/>
          <w:i w:val="false"/>
          <w:iCs w:val="false"/>
          <w:color w:val="2C2422"/>
          <w:sz w:val="21"/>
          <w:szCs w:val="21"/>
        </w:rPr>
        <w:t xml:space="preserve">draft</w:t>
      </w:r>
      <w:r>
        <w:rPr>
          <w:rFonts w:ascii="Calibri" w:cs="Calibri" w:eastAsia="Calibri" w:hAnsi="Calibri"/>
          <w:b w:val="false"/>
          <w:bCs w:val="false"/>
          <w:i w:val="false"/>
          <w:iCs w:val="false"/>
          <w:color w:val="2C2422"/>
          <w:sz w:val="21"/>
          <w:szCs w:val="21"/>
        </w:rPr>
        <w:t xml:space="preserve"> until admin publishes it. Once it is published and responses have started arriving, questions can still be added and reordered, but not deleted — removing a question mid-flight would invalidate the quality scores of everyone who already answered it.</w:t>
      </w:r>
    </w:p>
    <w:p>
      <w:pPr>
        <w:pStyle w:val="Heading2"/>
        <w:spacing w:after="100" w:before="300"/>
      </w:pPr>
      <w:r>
        <w:rPr>
          <w:rFonts w:ascii="Georgia" w:cs="Georgia" w:eastAsia="Georgia" w:hAnsi="Georgia"/>
          <w:b/>
          <w:bCs/>
          <w:color w:val="2C2422"/>
          <w:sz w:val="23"/>
          <w:szCs w:val="23"/>
        </w:rPr>
        <w:t xml:space="preserve">Question types available at launch</w:t>
      </w:r>
    </w:p>
    <w:tbl>
      <w:tblPr>
        <w:tblW w:type="dxa" w:w="9638"/>
        <w:tblBorders>
          <w:top w:val="single" w:color="E6DBCF" w:sz="4"/>
          <w:left w:val="single" w:color="E6DBCF" w:sz="4"/>
          <w:bottom w:val="single" w:color="E6DBCF" w:sz="4"/>
          <w:right w:val="single" w:color="E6DBCF" w:sz="4"/>
          <w:insideH w:val="single" w:color="E6DBCF" w:sz="4"/>
          <w:insideV w:val="single" w:color="E6DBCF" w:sz="4"/>
        </w:tblBorders>
      </w:tblPr>
      <w:tblGrid>
        <w:gridCol w:w="2200"/>
        <w:gridCol w:w="3600"/>
        <w:gridCol w:w="3838"/>
      </w:tblGrid>
      <w:tr>
        <w:trPr>
          <w:tblHeader/>
        </w:trPr>
        <w:tc>
          <w:tcPr>
            <w:tcW w:type="dxa" w:w="2200"/>
            <w:shd w:fill="F6EFE6" w:color="auto" w:val="clear"/>
            <w:tcMar>
              <w:top w:type="dxa" w:w="110"/>
              <w:left w:type="dxa" w:w="140"/>
              <w:bottom w:type="dxa" w:w="110"/>
              <w:right w:type="dxa" w:w="140"/>
            </w:tcMar>
          </w:tcPr>
          <w:p>
            <w:r>
              <w:rPr>
                <w:rFonts w:ascii="Georgia" w:cs="Georgia" w:eastAsia="Georgia" w:hAnsi="Georgia"/>
                <w:b/>
                <w:bCs/>
                <w:color w:val="8D7C75"/>
                <w:spacing w:val="25"/>
                <w:sz w:val="14"/>
                <w:szCs w:val="14"/>
              </w:rPr>
              <w:t xml:space="preserve">TYPE</w:t>
            </w:r>
          </w:p>
        </w:tc>
        <w:tc>
          <w:tcPr>
            <w:tcW w:type="dxa" w:w="3600"/>
            <w:shd w:fill="F6EFE6" w:color="auto" w:val="clear"/>
            <w:tcMar>
              <w:top w:type="dxa" w:w="110"/>
              <w:left w:type="dxa" w:w="140"/>
              <w:bottom w:type="dxa" w:w="110"/>
              <w:right w:type="dxa" w:w="140"/>
            </w:tcMar>
          </w:tcPr>
          <w:p>
            <w:r>
              <w:rPr>
                <w:rFonts w:ascii="Georgia" w:cs="Georgia" w:eastAsia="Georgia" w:hAnsi="Georgia"/>
                <w:b/>
                <w:bCs/>
                <w:color w:val="8D7C75"/>
                <w:spacing w:val="25"/>
                <w:sz w:val="14"/>
                <w:szCs w:val="14"/>
              </w:rPr>
              <w:t xml:space="preserve">USED FOR</w:t>
            </w:r>
          </w:p>
        </w:tc>
        <w:tc>
          <w:tcPr>
            <w:tcW w:type="dxa" w:w="3838"/>
            <w:shd w:fill="F6EFE6" w:color="auto" w:val="clear"/>
            <w:tcMar>
              <w:top w:type="dxa" w:w="110"/>
              <w:left w:type="dxa" w:w="140"/>
              <w:bottom w:type="dxa" w:w="110"/>
              <w:right w:type="dxa" w:w="140"/>
            </w:tcMar>
          </w:tcPr>
          <w:p>
            <w:r>
              <w:rPr>
                <w:rFonts w:ascii="Georgia" w:cs="Georgia" w:eastAsia="Georgia" w:hAnsi="Georgia"/>
                <w:b/>
                <w:bCs/>
                <w:color w:val="8D7C75"/>
                <w:spacing w:val="25"/>
                <w:sz w:val="14"/>
                <w:szCs w:val="14"/>
              </w:rPr>
              <w:t xml:space="preserve">SETTINGS</w:t>
            </w:r>
          </w:p>
        </w:tc>
      </w:tr>
      <w:tr>
        <w:tc>
          <w:tcPr>
            <w:tcW w:type="dxa" w:w="2200"/>
            <w:tcMar>
              <w:top w:type="dxa" w:w="110"/>
              <w:left w:type="dxa" w:w="140"/>
              <w:bottom w:type="dxa" w:w="110"/>
              <w:right w:type="dxa" w:w="140"/>
            </w:tcMar>
          </w:tcPr>
          <w:p>
            <w:pPr>
              <w:spacing w:line="260"/>
            </w:pPr>
            <w:r>
              <w:rPr>
                <w:rFonts w:ascii="Calibri" w:cs="Calibri" w:eastAsia="Calibri" w:hAnsi="Calibri"/>
                <w:b/>
                <w:bCs/>
                <w:i w:val="false"/>
                <w:iCs w:val="false"/>
                <w:color w:val="2C2422"/>
                <w:sz w:val="20"/>
                <w:szCs w:val="20"/>
              </w:rPr>
              <w:t xml:space="preserve">Single choice</w:t>
            </w:r>
          </w:p>
        </w:tc>
        <w:tc>
          <w:tcPr>
            <w:tcW w:type="dxa" w:w="3600"/>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Brand awareness, purchase intent</w:t>
            </w:r>
          </w:p>
        </w:tc>
        <w:tc>
          <w:tcPr>
            <w:tcW w:type="dxa" w:w="3838"/>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Options list</w:t>
            </w:r>
          </w:p>
        </w:tc>
      </w:tr>
      <w:tr>
        <w:tc>
          <w:tcPr>
            <w:tcW w:type="dxa" w:w="2200"/>
            <w:tcMar>
              <w:top w:type="dxa" w:w="110"/>
              <w:left w:type="dxa" w:w="140"/>
              <w:bottom w:type="dxa" w:w="110"/>
              <w:right w:type="dxa" w:w="140"/>
            </w:tcMar>
          </w:tcPr>
          <w:p>
            <w:pPr>
              <w:spacing w:line="260"/>
            </w:pPr>
            <w:r>
              <w:rPr>
                <w:rFonts w:ascii="Calibri" w:cs="Calibri" w:eastAsia="Calibri" w:hAnsi="Calibri"/>
                <w:b/>
                <w:bCs/>
                <w:i w:val="false"/>
                <w:iCs w:val="false"/>
                <w:color w:val="2C2422"/>
                <w:sz w:val="20"/>
                <w:szCs w:val="20"/>
              </w:rPr>
              <w:t xml:space="preserve">Multiple choice</w:t>
            </w:r>
          </w:p>
        </w:tc>
        <w:tc>
          <w:tcPr>
            <w:tcW w:type="dxa" w:w="3600"/>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“Which of these…” preference questions</w:t>
            </w:r>
          </w:p>
        </w:tc>
        <w:tc>
          <w:tcPr>
            <w:tcW w:type="dxa" w:w="3838"/>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Options, min/max selectable</w:t>
            </w:r>
          </w:p>
        </w:tc>
      </w:tr>
      <w:tr>
        <w:tc>
          <w:tcPr>
            <w:tcW w:type="dxa" w:w="2200"/>
            <w:tcMar>
              <w:top w:type="dxa" w:w="110"/>
              <w:left w:type="dxa" w:w="140"/>
              <w:bottom w:type="dxa" w:w="110"/>
              <w:right w:type="dxa" w:w="140"/>
            </w:tcMar>
          </w:tcPr>
          <w:p>
            <w:pPr>
              <w:spacing w:line="260"/>
            </w:pPr>
            <w:r>
              <w:rPr>
                <w:rFonts w:ascii="Calibri" w:cs="Calibri" w:eastAsia="Calibri" w:hAnsi="Calibri"/>
                <w:b/>
                <w:bCs/>
                <w:i w:val="false"/>
                <w:iCs w:val="false"/>
                <w:color w:val="2C2422"/>
                <w:sz w:val="20"/>
                <w:szCs w:val="20"/>
              </w:rPr>
              <w:t xml:space="preserve">Rating scale</w:t>
            </w:r>
          </w:p>
        </w:tc>
        <w:tc>
          <w:tcPr>
            <w:tcW w:type="dxa" w:w="3600"/>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Brand perception and favourability</w:t>
            </w:r>
          </w:p>
        </w:tc>
        <w:tc>
          <w:tcPr>
            <w:tcW w:type="dxa" w:w="3838"/>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Range, step, end labels (“Not at all” → “Extremely”)</w:t>
            </w:r>
          </w:p>
        </w:tc>
      </w:tr>
      <w:tr>
        <w:tc>
          <w:tcPr>
            <w:tcW w:type="dxa" w:w="2200"/>
            <w:tcMar>
              <w:top w:type="dxa" w:w="110"/>
              <w:left w:type="dxa" w:w="140"/>
              <w:bottom w:type="dxa" w:w="110"/>
              <w:right w:type="dxa" w:w="140"/>
            </w:tcMar>
          </w:tcPr>
          <w:p>
            <w:pPr>
              <w:spacing w:line="260"/>
            </w:pPr>
            <w:r>
              <w:rPr>
                <w:rFonts w:ascii="Calibri" w:cs="Calibri" w:eastAsia="Calibri" w:hAnsi="Calibri"/>
                <w:b/>
                <w:bCs/>
                <w:i w:val="false"/>
                <w:iCs w:val="false"/>
                <w:color w:val="2C2422"/>
                <w:sz w:val="20"/>
                <w:szCs w:val="20"/>
              </w:rPr>
              <w:t xml:space="preserve">Yes / No</w:t>
            </w:r>
          </w:p>
        </w:tc>
        <w:tc>
          <w:tcPr>
            <w:tcW w:type="dxa" w:w="3600"/>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Eligibility screening</w:t>
            </w:r>
          </w:p>
        </w:tc>
        <w:tc>
          <w:tcPr>
            <w:tcW w:type="dxa" w:w="3838"/>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w:t>
            </w:r>
          </w:p>
        </w:tc>
      </w:tr>
      <w:tr>
        <w:tc>
          <w:tcPr>
            <w:tcW w:type="dxa" w:w="2200"/>
            <w:tcMar>
              <w:top w:type="dxa" w:w="110"/>
              <w:left w:type="dxa" w:w="140"/>
              <w:bottom w:type="dxa" w:w="110"/>
              <w:right w:type="dxa" w:w="140"/>
            </w:tcMar>
          </w:tcPr>
          <w:p>
            <w:pPr>
              <w:spacing w:line="260"/>
            </w:pPr>
            <w:r>
              <w:rPr>
                <w:rFonts w:ascii="Calibri" w:cs="Calibri" w:eastAsia="Calibri" w:hAnsi="Calibri"/>
                <w:b/>
                <w:bCs/>
                <w:i w:val="false"/>
                <w:iCs w:val="false"/>
                <w:color w:val="2C2422"/>
                <w:sz w:val="20"/>
                <w:szCs w:val="20"/>
              </w:rPr>
              <w:t xml:space="preserve">Dropdown</w:t>
            </w:r>
          </w:p>
        </w:tc>
        <w:tc>
          <w:tcPr>
            <w:tcW w:type="dxa" w:w="3600"/>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Demographics (age range, region)</w:t>
            </w:r>
          </w:p>
        </w:tc>
        <w:tc>
          <w:tcPr>
            <w:tcW w:type="dxa" w:w="3838"/>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Options list</w:t>
            </w:r>
          </w:p>
        </w:tc>
      </w:tr>
      <w:tr>
        <w:tc>
          <w:tcPr>
            <w:tcW w:type="dxa" w:w="2200"/>
            <w:tcMar>
              <w:top w:type="dxa" w:w="110"/>
              <w:left w:type="dxa" w:w="140"/>
              <w:bottom w:type="dxa" w:w="110"/>
              <w:right w:type="dxa" w:w="140"/>
            </w:tcMar>
          </w:tcPr>
          <w:p>
            <w:pPr>
              <w:spacing w:line="260"/>
            </w:pPr>
            <w:r>
              <w:rPr>
                <w:rFonts w:ascii="Calibri" w:cs="Calibri" w:eastAsia="Calibri" w:hAnsi="Calibri"/>
                <w:b/>
                <w:bCs/>
                <w:i w:val="false"/>
                <w:iCs w:val="false"/>
                <w:color w:val="2C2422"/>
                <w:sz w:val="20"/>
                <w:szCs w:val="20"/>
              </w:rPr>
              <w:t xml:space="preserve">Short text</w:t>
            </w:r>
          </w:p>
        </w:tc>
        <w:tc>
          <w:tcPr>
            <w:tcW w:type="dxa" w:w="3600"/>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Brief open feedback</w:t>
            </w:r>
          </w:p>
        </w:tc>
        <w:tc>
          <w:tcPr>
            <w:tcW w:type="dxa" w:w="3838"/>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Max length</w:t>
            </w:r>
          </w:p>
        </w:tc>
      </w:tr>
      <w:tr>
        <w:tc>
          <w:tcPr>
            <w:tcW w:type="dxa" w:w="2200"/>
            <w:tcMar>
              <w:top w:type="dxa" w:w="110"/>
              <w:left w:type="dxa" w:w="140"/>
              <w:bottom w:type="dxa" w:w="110"/>
              <w:right w:type="dxa" w:w="140"/>
            </w:tcMar>
          </w:tcPr>
          <w:p>
            <w:pPr>
              <w:spacing w:line="260"/>
            </w:pPr>
            <w:r>
              <w:rPr>
                <w:rFonts w:ascii="Calibri" w:cs="Calibri" w:eastAsia="Calibri" w:hAnsi="Calibri"/>
                <w:b/>
                <w:bCs/>
                <w:i w:val="false"/>
                <w:iCs w:val="false"/>
                <w:color w:val="2C2422"/>
                <w:sz w:val="20"/>
                <w:szCs w:val="20"/>
              </w:rPr>
              <w:t xml:space="preserve">Long text</w:t>
            </w:r>
          </w:p>
        </w:tc>
        <w:tc>
          <w:tcPr>
            <w:tcW w:type="dxa" w:w="3600"/>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Open-ended consumer feedback</w:t>
            </w:r>
          </w:p>
        </w:tc>
        <w:tc>
          <w:tcPr>
            <w:tcW w:type="dxa" w:w="3838"/>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Max length</w:t>
            </w:r>
          </w:p>
        </w:tc>
      </w:tr>
      <w:tr>
        <w:tc>
          <w:tcPr>
            <w:tcW w:type="dxa" w:w="2200"/>
            <w:tcMar>
              <w:top w:type="dxa" w:w="110"/>
              <w:left w:type="dxa" w:w="140"/>
              <w:bottom w:type="dxa" w:w="110"/>
              <w:right w:type="dxa" w:w="140"/>
            </w:tcMar>
          </w:tcPr>
          <w:p>
            <w:pPr>
              <w:spacing w:line="260"/>
            </w:pPr>
            <w:r>
              <w:rPr>
                <w:rFonts w:ascii="Calibri" w:cs="Calibri" w:eastAsia="Calibri" w:hAnsi="Calibri"/>
                <w:b/>
                <w:bCs/>
                <w:i w:val="false"/>
                <w:iCs w:val="false"/>
                <w:color w:val="2C2422"/>
                <w:sz w:val="20"/>
                <w:szCs w:val="20"/>
              </w:rPr>
              <w:t xml:space="preserve">Ranking</w:t>
            </w:r>
          </w:p>
        </w:tc>
        <w:tc>
          <w:tcPr>
            <w:tcW w:type="dxa" w:w="3600"/>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Ordering preferences</w:t>
            </w:r>
          </w:p>
        </w:tc>
        <w:tc>
          <w:tcPr>
            <w:tcW w:type="dxa" w:w="3838"/>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Options — participant drags to reorder</w:t>
            </w:r>
          </w:p>
        </w:tc>
      </w:tr>
      <w:tr>
        <w:tc>
          <w:tcPr>
            <w:tcW w:type="dxa" w:w="2200"/>
            <w:tcMar>
              <w:top w:type="dxa" w:w="110"/>
              <w:left w:type="dxa" w:w="140"/>
              <w:bottom w:type="dxa" w:w="110"/>
              <w:right w:type="dxa" w:w="140"/>
            </w:tcMar>
          </w:tcPr>
          <w:p>
            <w:pPr>
              <w:spacing w:line="260"/>
            </w:pPr>
            <w:r>
              <w:rPr>
                <w:rFonts w:ascii="Calibri" w:cs="Calibri" w:eastAsia="Calibri" w:hAnsi="Calibri"/>
                <w:b/>
                <w:bCs/>
                <w:i w:val="false"/>
                <w:iCs w:val="false"/>
                <w:color w:val="2C2422"/>
                <w:sz w:val="20"/>
                <w:szCs w:val="20"/>
              </w:rPr>
              <w:t xml:space="preserve">Number / slider</w:t>
            </w:r>
          </w:p>
        </w:tc>
        <w:tc>
          <w:tcPr>
            <w:tcW w:type="dxa" w:w="3600"/>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Purchase-intent scoring, quantities</w:t>
            </w:r>
          </w:p>
        </w:tc>
        <w:tc>
          <w:tcPr>
            <w:tcW w:type="dxa" w:w="3838"/>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Min, max, step</w:t>
            </w:r>
          </w:p>
        </w:tc>
      </w:tr>
      <w:tr>
        <w:tc>
          <w:tcPr>
            <w:tcW w:type="dxa" w:w="2200"/>
            <w:tcMar>
              <w:top w:type="dxa" w:w="110"/>
              <w:left w:type="dxa" w:w="140"/>
              <w:bottom w:type="dxa" w:w="110"/>
              <w:right w:type="dxa" w:w="140"/>
            </w:tcMar>
          </w:tcPr>
          <w:p>
            <w:pPr>
              <w:spacing w:line="260"/>
            </w:pPr>
            <w:r>
              <w:rPr>
                <w:rFonts w:ascii="Calibri" w:cs="Calibri" w:eastAsia="Calibri" w:hAnsi="Calibri"/>
                <w:b/>
                <w:bCs/>
                <w:i w:val="false"/>
                <w:iCs w:val="false"/>
                <w:color w:val="2C2422"/>
                <w:sz w:val="20"/>
                <w:szCs w:val="20"/>
              </w:rPr>
              <w:t xml:space="preserve">Attention check</w:t>
            </w:r>
          </w:p>
        </w:tc>
        <w:tc>
          <w:tcPr>
            <w:tcW w:type="dxa" w:w="3600"/>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Quality signal — did they read the question?</w:t>
            </w:r>
          </w:p>
        </w:tc>
        <w:tc>
          <w:tcPr>
            <w:tcW w:type="dxa" w:w="3838"/>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Expected answer. Scored, never shown in brand reporting</w:t>
            </w:r>
          </w:p>
        </w:tc>
      </w:tr>
      <w:tr>
        <w:tc>
          <w:tcPr>
            <w:tcW w:type="dxa" w:w="2200"/>
            <w:tcMar>
              <w:top w:type="dxa" w:w="110"/>
              <w:left w:type="dxa" w:w="140"/>
              <w:bottom w:type="dxa" w:w="110"/>
              <w:right w:type="dxa" w:w="140"/>
            </w:tcMar>
          </w:tcPr>
          <w:p>
            <w:pPr>
              <w:spacing w:line="260"/>
            </w:pPr>
            <w:r>
              <w:rPr>
                <w:rFonts w:ascii="Calibri" w:cs="Calibri" w:eastAsia="Calibri" w:hAnsi="Calibri"/>
                <w:b/>
                <w:bCs/>
                <w:i w:val="false"/>
                <w:iCs w:val="false"/>
                <w:color w:val="2C2422"/>
                <w:sz w:val="20"/>
                <w:szCs w:val="20"/>
              </w:rPr>
              <w:t xml:space="preserve">Hidden field</w:t>
            </w:r>
          </w:p>
        </w:tc>
        <w:tc>
          <w:tcPr>
            <w:tcW w:type="dxa" w:w="3600"/>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Duplicate detection and eligibility</w:t>
            </w:r>
          </w:p>
        </w:tc>
        <w:tc>
          <w:tcPr>
            <w:tcW w:type="dxa" w:w="3838"/>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Which profile field it carries — never rendered to the respondent</w:t>
            </w:r>
          </w:p>
        </w:tc>
      </w:tr>
    </w:tbl>
    <w:p>
      <w:pPr>
        <w:spacing w:after="160"/>
      </w:pPr>
      <w:r>
        <w:rPr>
          <w:sz w:val="2"/>
          <w:szCs w:val="2"/>
        </w:rPr>
        <w:t xml:space="preserve"/>
      </w:r>
    </w:p>
    <w:p>
      <w:pPr>
        <w:spacing w:after="140" w:line="276"/>
      </w:pPr>
      <w:r>
        <w:rPr>
          <w:rFonts w:ascii="Calibri" w:cs="Calibri" w:eastAsia="Calibri" w:hAnsi="Calibri"/>
          <w:b w:val="false"/>
          <w:bCs w:val="false"/>
          <w:i w:val="false"/>
          <w:iCs w:val="false"/>
          <w:color w:val="2C2422"/>
          <w:sz w:val="21"/>
          <w:szCs w:val="21"/>
        </w:rPr>
        <w:t xml:space="preserve">The last two are the ones that do not behave like normal questions. An </w:t>
      </w:r>
      <w:r>
        <w:rPr>
          <w:rFonts w:ascii="Calibri" w:cs="Calibri" w:eastAsia="Calibri" w:hAnsi="Calibri"/>
          <w:b/>
          <w:bCs/>
          <w:i w:val="false"/>
          <w:iCs w:val="false"/>
          <w:color w:val="2C2422"/>
          <w:sz w:val="21"/>
          <w:szCs w:val="21"/>
        </w:rPr>
        <w:t xml:space="preserve">attention check</w:t>
      </w:r>
      <w:r>
        <w:rPr>
          <w:rFonts w:ascii="Calibri" w:cs="Calibri" w:eastAsia="Calibri" w:hAnsi="Calibri"/>
          <w:b w:val="false"/>
          <w:bCs w:val="false"/>
          <w:i w:val="false"/>
          <w:iCs w:val="false"/>
          <w:color w:val="2C2422"/>
          <w:sz w:val="21"/>
          <w:szCs w:val="21"/>
        </w:rPr>
        <w:t xml:space="preserve"> is scored but excluded from the brand's results — it measures the respondent, not the brand. A </w:t>
      </w:r>
      <w:r>
        <w:rPr>
          <w:rFonts w:ascii="Calibri" w:cs="Calibri" w:eastAsia="Calibri" w:hAnsi="Calibri"/>
          <w:b/>
          <w:bCs/>
          <w:i w:val="false"/>
          <w:iCs w:val="false"/>
          <w:color w:val="2C2422"/>
          <w:sz w:val="21"/>
          <w:szCs w:val="21"/>
        </w:rPr>
        <w:t xml:space="preserve">hidden field</w:t>
      </w:r>
      <w:r>
        <w:rPr>
          <w:rFonts w:ascii="Calibri" w:cs="Calibri" w:eastAsia="Calibri" w:hAnsi="Calibri"/>
          <w:b w:val="false"/>
          <w:bCs w:val="false"/>
          <w:i w:val="false"/>
          <w:iCs w:val="false"/>
          <w:color w:val="2C2422"/>
          <w:sz w:val="21"/>
          <w:szCs w:val="21"/>
        </w:rPr>
        <w:t xml:space="preserve"> is never shown at all: it carries the respondent's email, phone or role from their existing profile so duplicate detection has something to match on without asking them to retype data we already hold.</w:t>
      </w:r>
    </w:p>
    <w:p>
      <w:pPr>
        <w:pStyle w:val="Heading2"/>
        <w:spacing w:after="100" w:before="300"/>
      </w:pPr>
      <w:r>
        <w:rPr>
          <w:rFonts w:ascii="Georgia" w:cs="Georgia" w:eastAsia="Georgia" w:hAnsi="Georgia"/>
          <w:b/>
          <w:bCs/>
          <w:color w:val="2C2422"/>
          <w:sz w:val="23"/>
          <w:szCs w:val="23"/>
        </w:rPr>
        <w:t xml:space="preserve">Do we store a “correct” answer?</w:t>
      </w:r>
    </w:p>
    <w:p>
      <w:pPr>
        <w:spacing w:after="140" w:line="276"/>
      </w:pPr>
      <w:r>
        <w:rPr>
          <w:rFonts w:ascii="Calibri" w:cs="Calibri" w:eastAsia="Calibri" w:hAnsi="Calibri"/>
          <w:b w:val="false"/>
          <w:bCs w:val="false"/>
          <w:i w:val="false"/>
          <w:iCs w:val="false"/>
          <w:color w:val="2C2422"/>
          <w:sz w:val="21"/>
          <w:szCs w:val="21"/>
        </w:rPr>
        <w:t xml:space="preserve">Almost never — and this is worth being precise about, because a survey by definition has no right answer. A respondent can hold any opinion, answer against the brand's interest from top to bottom, and still score full marks. Only two things in the whole system store an expected value, and neither is an ordinary survey question:</w:t>
      </w:r>
    </w:p>
    <w:tbl>
      <w:tblPr>
        <w:tblW w:type="dxa" w:w="9638"/>
        <w:tblBorders>
          <w:top w:val="single" w:color="E6DBCF" w:sz="4"/>
          <w:left w:val="single" w:color="E6DBCF" w:sz="4"/>
          <w:bottom w:val="single" w:color="E6DBCF" w:sz="4"/>
          <w:right w:val="single" w:color="E6DBCF" w:sz="4"/>
          <w:insideH w:val="single" w:color="E6DBCF" w:sz="4"/>
          <w:insideV w:val="single" w:color="E6DBCF" w:sz="4"/>
        </w:tblBorders>
      </w:tblPr>
      <w:tblGrid>
        <w:gridCol w:w="1900"/>
        <w:gridCol w:w="2400"/>
        <w:gridCol w:w="5338"/>
      </w:tblGrid>
      <w:tr>
        <w:trPr>
          <w:tblHeader/>
        </w:trPr>
        <w:tc>
          <w:tcPr>
            <w:tcW w:type="dxa" w:w="1900"/>
            <w:shd w:fill="F6EFE6" w:color="auto" w:val="clear"/>
            <w:tcMar>
              <w:top w:type="dxa" w:w="110"/>
              <w:left w:type="dxa" w:w="140"/>
              <w:bottom w:type="dxa" w:w="110"/>
              <w:right w:type="dxa" w:w="140"/>
            </w:tcMar>
          </w:tcPr>
          <w:p>
            <w:r>
              <w:rPr>
                <w:rFonts w:ascii="Georgia" w:cs="Georgia" w:eastAsia="Georgia" w:hAnsi="Georgia"/>
                <w:b/>
                <w:bCs/>
                <w:color w:val="8D7C75"/>
                <w:spacing w:val="25"/>
                <w:sz w:val="14"/>
                <w:szCs w:val="14"/>
              </w:rPr>
              <w:t xml:space="preserve">WHAT IS STORED</w:t>
            </w:r>
          </w:p>
        </w:tc>
        <w:tc>
          <w:tcPr>
            <w:tcW w:type="dxa" w:w="2400"/>
            <w:shd w:fill="F6EFE6" w:color="auto" w:val="clear"/>
            <w:tcMar>
              <w:top w:type="dxa" w:w="110"/>
              <w:left w:type="dxa" w:w="140"/>
              <w:bottom w:type="dxa" w:w="110"/>
              <w:right w:type="dxa" w:w="140"/>
            </w:tcMar>
          </w:tcPr>
          <w:p>
            <w:r>
              <w:rPr>
                <w:rFonts w:ascii="Georgia" w:cs="Georgia" w:eastAsia="Georgia" w:hAnsi="Georgia"/>
                <w:b/>
                <w:bCs/>
                <w:color w:val="8D7C75"/>
                <w:spacing w:val="25"/>
                <w:sz w:val="14"/>
                <w:szCs w:val="14"/>
              </w:rPr>
              <w:t xml:space="preserve">WHERE</w:t>
            </w:r>
          </w:p>
        </w:tc>
        <w:tc>
          <w:tcPr>
            <w:tcW w:type="dxa" w:w="5338"/>
            <w:shd w:fill="F6EFE6" w:color="auto" w:val="clear"/>
            <w:tcMar>
              <w:top w:type="dxa" w:w="110"/>
              <w:left w:type="dxa" w:w="140"/>
              <w:bottom w:type="dxa" w:w="110"/>
              <w:right w:type="dxa" w:w="140"/>
            </w:tcMar>
          </w:tcPr>
          <w:p>
            <w:r>
              <w:rPr>
                <w:rFonts w:ascii="Georgia" w:cs="Georgia" w:eastAsia="Georgia" w:hAnsi="Georgia"/>
                <w:b/>
                <w:bCs/>
                <w:color w:val="8D7C75"/>
                <w:spacing w:val="25"/>
                <w:sz w:val="14"/>
                <w:szCs w:val="14"/>
              </w:rPr>
              <w:t xml:space="preserve">WHY IT IS NOT AN ANSWER KEY</w:t>
            </w:r>
          </w:p>
        </w:tc>
      </w:tr>
      <w:tr>
        <w:tc>
          <w:tcPr>
            <w:tcW w:type="dxa" w:w="1900"/>
            <w:tcMar>
              <w:top w:type="dxa" w:w="110"/>
              <w:left w:type="dxa" w:w="140"/>
              <w:bottom w:type="dxa" w:w="110"/>
              <w:right w:type="dxa" w:w="140"/>
            </w:tcMar>
          </w:tcPr>
          <w:p>
            <w:pPr>
              <w:spacing w:line="260"/>
            </w:pPr>
            <w:r>
              <w:rPr>
                <w:rFonts w:ascii="Calibri" w:cs="Calibri" w:eastAsia="Calibri" w:hAnsi="Calibri"/>
                <w:b/>
                <w:bCs/>
                <w:i w:val="false"/>
                <w:iCs w:val="false"/>
                <w:color w:val="2C2422"/>
                <w:sz w:val="20"/>
                <w:szCs w:val="20"/>
              </w:rPr>
              <w:t xml:space="preserve">Expected answer</w:t>
            </w:r>
          </w:p>
        </w:tc>
        <w:tc>
          <w:tcPr>
            <w:tcW w:type="dxa" w:w="2400"/>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Attention-check questions only</w:t>
            </w:r>
          </w:p>
        </w:tc>
        <w:tc>
          <w:tcPr>
            <w:tcW w:type="dxa" w:w="5338"/>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An attention check is not a survey question — it is an instruction-following probe (“To confirm you're reading carefully, select ‘Somewhat agree’”). It has a correct answer by design, is scored, and never appears in the brand's results.</w:t>
            </w:r>
          </w:p>
        </w:tc>
      </w:tr>
      <w:tr>
        <w:tc>
          <w:tcPr>
            <w:tcW w:type="dxa" w:w="1900"/>
            <w:tcMar>
              <w:top w:type="dxa" w:w="110"/>
              <w:left w:type="dxa" w:w="140"/>
              <w:bottom w:type="dxa" w:w="110"/>
              <w:right w:type="dxa" w:w="140"/>
            </w:tcMar>
          </w:tcPr>
          <w:p>
            <w:pPr>
              <w:spacing w:line="260"/>
            </w:pPr>
            <w:r>
              <w:rPr>
                <w:rFonts w:ascii="Calibri" w:cs="Calibri" w:eastAsia="Calibri" w:hAnsi="Calibri"/>
                <w:b/>
                <w:bCs/>
                <w:i w:val="false"/>
                <w:iCs w:val="false"/>
                <w:color w:val="2C2422"/>
                <w:sz w:val="20"/>
                <w:szCs w:val="20"/>
              </w:rPr>
              <w:t xml:space="preserve">Contradiction rule</w:t>
            </w:r>
          </w:p>
        </w:tc>
        <w:tc>
          <w:tcPr>
            <w:tcW w:type="dxa" w:w="2400"/>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Optional, between a pair of questions</w:t>
            </w:r>
          </w:p>
        </w:tc>
        <w:tc>
          <w:tcPr>
            <w:tcW w:type="dxa" w:w="5338"/>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Not a correct answer but a conflict rule — “if Q3 is Never, then Q7 cannot be Within the last week”. Admin defines these only where a genuine logical conflict exists, typically none to three per survey.</w:t>
            </w:r>
          </w:p>
        </w:tc>
      </w:tr>
      <w:tr>
        <w:tc>
          <w:tcPr>
            <w:tcW w:type="dxa" w:w="1900"/>
            <w:tcMar>
              <w:top w:type="dxa" w:w="110"/>
              <w:left w:type="dxa" w:w="140"/>
              <w:bottom w:type="dxa" w:w="110"/>
              <w:right w:type="dxa" w:w="140"/>
            </w:tcMar>
          </w:tcPr>
          <w:p>
            <w:pPr>
              <w:spacing w:line="260"/>
            </w:pPr>
            <w:r>
              <w:rPr>
                <w:rFonts w:ascii="Calibri" w:cs="Calibri" w:eastAsia="Calibri" w:hAnsi="Calibri"/>
                <w:b/>
                <w:bCs/>
                <w:i w:val="false"/>
                <w:iCs w:val="false"/>
                <w:color w:val="2C2422"/>
                <w:sz w:val="20"/>
                <w:szCs w:val="20"/>
              </w:rPr>
              <w:t xml:space="preserve">Nothing</w:t>
            </w:r>
          </w:p>
        </w:tc>
        <w:tc>
          <w:tcPr>
            <w:tcW w:type="dxa" w:w="2400"/>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Every other question</w:t>
            </w:r>
          </w:p>
        </w:tc>
        <w:tc>
          <w:tcPr>
            <w:tcW w:type="dxa" w:w="5338"/>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Choice, scale, text, ranking and number questions store the answer and nothing else. They are scored on how someone answered — pace, variation, effort — never on what they answered.</w:t>
            </w:r>
          </w:p>
        </w:tc>
      </w:tr>
    </w:tbl>
    <w:p>
      <w:pPr>
        <w:spacing w:after="160"/>
      </w:pPr>
      <w:r>
        <w:rPr>
          <w:sz w:val="2"/>
          <w:szCs w:val="2"/>
        </w:rPr>
        <w:t xml:space="preserve"/>
      </w:r>
    </w:p>
    <w:tbl>
      <w:tblPr>
        <w:tblW w:type="dxa" w:w="9638"/>
        <w:tblBorders>
          <w:top w:val="none" w:color="auto" w:sz="0"/>
          <w:left w:val="single" w:color="C9762A" w:sz="18"/>
          <w:bottom w:val="none" w:color="auto" w:sz="0"/>
          <w:right w:val="none" w:color="auto" w:sz="0"/>
          <w:insideH w:val="none" w:color="auto" w:sz="0"/>
          <w:insideV w:val="none" w:color="auto" w:sz="0"/>
        </w:tblBorders>
      </w:tblPr>
      <w:tblGrid>
        <w:gridCol w:w="9638"/>
      </w:tblGrid>
      <w:tr>
        <w:tc>
          <w:tcPr>
            <w:tcW w:type="dxa" w:w="9638"/>
            <w:shd w:fill="FDF8F2" w:color="auto" w:val="clear"/>
            <w:tcMar>
              <w:top w:type="dxa" w:w="110"/>
              <w:left w:type="dxa" w:w="140"/>
              <w:bottom w:type="dxa" w:w="110"/>
              <w:right w:type="dxa" w:w="140"/>
            </w:tcMar>
          </w:tcPr>
          <w:p>
            <w:pPr>
              <w:spacing w:after="80"/>
            </w:pPr>
            <w:r>
              <w:rPr>
                <w:rFonts w:ascii="Georgia" w:cs="Georgia" w:eastAsia="Georgia" w:hAnsi="Georgia"/>
                <w:b/>
                <w:bCs/>
                <w:color w:val="C9762A"/>
                <w:spacing w:val="25"/>
                <w:sz w:val="14"/>
                <w:szCs w:val="14"/>
              </w:rPr>
              <w:t xml:space="preserve">CONSEQUENCE FOR THE SCORING</w:t>
            </w:r>
          </w:p>
          <w:p>
            <w:pPr>
              <w:spacing w:line="276"/>
            </w:pPr>
            <w:r>
              <w:rPr>
                <w:rFonts w:ascii="Calibri" w:cs="Calibri" w:eastAsia="Calibri" w:hAnsi="Calibri"/>
                <w:color w:val="2C2422"/>
                <w:sz w:val="21"/>
                <w:szCs w:val="21"/>
              </w:rPr>
              <w:t xml:space="preserve">Because most surveys will carry no contradiction rules and some will carry no attention check, </w:t>
            </w:r>
            <w:r>
              <w:rPr>
                <w:rFonts w:ascii="Calibri" w:cs="Calibri" w:eastAsia="Calibri" w:hAnsi="Calibri"/>
                <w:b/>
                <w:bCs/>
                <w:color w:val="2C2422"/>
                <w:sz w:val="21"/>
                <w:szCs w:val="21"/>
              </w:rPr>
              <w:t xml:space="preserve">the score is calculated only across the signals that apply to that survey</w:t>
            </w:r>
            <w:r>
              <w:rPr>
                <w:rFonts w:ascii="Calibri" w:cs="Calibri" w:eastAsia="Calibri" w:hAnsi="Calibri"/>
                <w:color w:val="2C2422"/>
                <w:sz w:val="21"/>
                <w:szCs w:val="21"/>
              </w:rPr>
              <w:t xml:space="preserve"> and rescaled to 100. A survey with neither is marked out of the remaining seven signals — not out of nine with two automatic zeroes, which would fail every honest respondent on a simple form. The builder will prompt admin to include at least one attention check on longer surveys, since it is the single strongest signal, but it will not force one.</w:t>
            </w:r>
          </w:p>
        </w:tc>
      </w:tr>
    </w:tbl>
    <w:p>
      <w:pPr>
        <w:spacing w:after="160"/>
      </w:pPr>
      <w:r>
        <w:rPr>
          <w:sz w:val="2"/>
          <w:szCs w:val="2"/>
        </w:rPr>
        <w:t xml:space="preserve"/>
      </w:r>
    </w:p>
    <w:p>
      <w:pPr>
        <w:pStyle w:val="Heading2"/>
        <w:spacing w:after="100" w:before="300"/>
      </w:pPr>
      <w:r>
        <w:rPr>
          <w:rFonts w:ascii="Georgia" w:cs="Georgia" w:eastAsia="Georgia" w:hAnsi="Georgia"/>
          <w:b/>
          <w:bCs/>
          <w:color w:val="2C2422"/>
          <w:sz w:val="23"/>
          <w:szCs w:val="23"/>
        </w:rPr>
        <w:t xml:space="preserve">What the participant sees</w:t>
      </w:r>
    </w:p>
    <w:p>
      <w:pPr>
        <w:spacing w:after="140" w:line="276"/>
      </w:pPr>
      <w:r>
        <w:rPr>
          <w:rFonts w:ascii="Calibri" w:cs="Calibri" w:eastAsia="Calibri" w:hAnsi="Calibri"/>
          <w:b w:val="false"/>
          <w:bCs w:val="false"/>
          <w:i w:val="false"/>
          <w:iCs w:val="false"/>
          <w:color w:val="2C2422"/>
          <w:sz w:val="21"/>
          <w:szCs w:val="21"/>
        </w:rPr>
        <w:t xml:space="preserve">An ordinary form, styled like the rest of the platform, rendered from the published survey. The only drag interaction on this side is the ranking question type. While they answer, the app quietly records when each question was shown and when it was answered — that per-question timing is what makes the speed and straight-lining checks in the next section possible. A single start-and-finish timestamp would not be precise enough to tell a fast reader from a bot.</w:t>
      </w:r>
    </w:p>
    <w:p>
      <w:pPr>
        <w:pStyle w:val="Heading1"/>
        <w:spacing w:after="120" w:before="460"/>
      </w:pPr>
      <w:r>
        <w:rPr>
          <w:rFonts w:ascii="Georgia" w:cs="Georgia" w:eastAsia="Georgia" w:hAnsi="Georgia"/>
          <w:b/>
          <w:bCs/>
          <w:color w:val="C9762A"/>
          <w:sz w:val="22"/>
          <w:szCs w:val="22"/>
        </w:rPr>
        <w:t xml:space="preserve">03   </w:t>
      </w:r>
      <w:r>
        <w:rPr>
          <w:rFonts w:ascii="Georgia" w:cs="Georgia" w:eastAsia="Georgia" w:hAnsi="Georgia"/>
          <w:b/>
          <w:bCs/>
          <w:color w:val="2C2422"/>
          <w:sz w:val="30"/>
          <w:szCs w:val="30"/>
        </w:rPr>
        <w:t xml:space="preserve">What happens when a survey is submitted</w:t>
      </w:r>
    </w:p>
    <w:p>
      <w:pPr>
        <w:spacing w:after="140" w:line="276"/>
      </w:pPr>
      <w:r>
        <w:rPr>
          <w:rFonts w:ascii="Calibri" w:cs="Calibri" w:eastAsia="Calibri" w:hAnsi="Calibri"/>
          <w:b w:val="false"/>
          <w:bCs w:val="false"/>
          <w:i w:val="false"/>
          <w:iCs w:val="false"/>
          <w:color w:val="6F6360"/>
          <w:sz w:val="21"/>
          <w:szCs w:val="21"/>
        </w:rPr>
        <w:t xml:space="preserve">Every submission runs the same six stages. Stages 1 and 2 stop bad submissions before they are stored; stages 3 to 5 grade what is stored; stage 6 decides the reward.</w:t>
      </w:r>
    </w:p>
    <w:p>
      <w:pPr>
        <w:spacing w:after="100" w:before="300"/>
      </w:pPr>
      <w:r>
        <w:rPr>
          <w:rFonts w:ascii="Georgia" w:cs="Georgia" w:eastAsia="Georgia" w:hAnsi="Georgia"/>
          <w:b/>
          <w:bCs/>
          <w:color w:val="C9762A"/>
          <w:spacing w:val="25"/>
          <w:sz w:val="16"/>
          <w:szCs w:val="16"/>
        </w:rPr>
        <w:t xml:space="preserve">STAGE 1  </w:t>
      </w:r>
      <w:r>
        <w:rPr>
          <w:rFonts w:ascii="Georgia" w:cs="Georgia" w:eastAsia="Georgia" w:hAnsi="Georgia"/>
          <w:b/>
          <w:bCs/>
          <w:color w:val="2C2422"/>
          <w:sz w:val="23"/>
          <w:szCs w:val="23"/>
        </w:rPr>
        <w:t xml:space="preserve">Bot &amp; fraud screen</w:t>
      </w:r>
      <w:r>
        <w:rPr>
          <w:rFonts w:ascii="Calibri" w:cs="Calibri" w:eastAsia="Calibri" w:hAnsi="Calibri"/>
          <w:b/>
          <w:bCs/>
          <w:i/>
          <w:iCs/>
          <w:color w:val="A02C4A"/>
          <w:sz w:val="16"/>
          <w:szCs w:val="16"/>
        </w:rPr>
        <w:t xml:space="preserve">   Blocks submission</w:t>
      </w:r>
    </w:p>
    <w:p>
      <w:pPr>
        <w:spacing w:after="140" w:line="276"/>
      </w:pPr>
      <w:r>
        <w:rPr>
          <w:rFonts w:ascii="Calibri" w:cs="Calibri" w:eastAsia="Calibri" w:hAnsi="Calibri"/>
          <w:b w:val="false"/>
          <w:bCs w:val="false"/>
          <w:i w:val="false"/>
          <w:iCs w:val="false"/>
          <w:color w:val="2C2422"/>
          <w:sz w:val="21"/>
          <w:szCs w:val="21"/>
        </w:rPr>
        <w:t xml:space="preserve">Before the form is accepted, the submission has to prove it came from a person. Three layers, none of which a genuine respondent ever notices:</w:t>
      </w:r>
    </w:p>
    <w:p>
      <w:pPr>
        <w:pStyle w:val="ListParagraph"/>
        <w:numPr>
          <w:ilvl w:val="0"/>
          <w:numId w:val="2"/>
        </w:numPr>
        <w:spacing w:after="80" w:line="276"/>
      </w:pPr>
      <w:r>
        <w:rPr>
          <w:rFonts w:ascii="Calibri" w:cs="Calibri" w:eastAsia="Calibri" w:hAnsi="Calibri"/>
          <w:b/>
          <w:bCs/>
          <w:i w:val="false"/>
          <w:iCs w:val="false"/>
          <w:color w:val="2C2422"/>
          <w:sz w:val="21"/>
          <w:szCs w:val="21"/>
        </w:rPr>
        <w:t xml:space="preserve">Invisible CAPTCHA. </w:t>
      </w:r>
      <w:r>
        <w:rPr>
          <w:rFonts w:ascii="Calibri" w:cs="Calibri" w:eastAsia="Calibri" w:hAnsi="Calibri"/>
          <w:b w:val="false"/>
          <w:bCs w:val="false"/>
          <w:i w:val="false"/>
          <w:iCs w:val="false"/>
          <w:color w:val="2C2422"/>
          <w:sz w:val="21"/>
          <w:szCs w:val="21"/>
        </w:rPr>
        <w:t xml:space="preserve">We recommend Cloudflare Turnstile — free at our volume, no puzzle for the user in the normal case, and privacy-friendly. The browser gets a token; our server re-verifies that token with Cloudflare before accepting anything. A submission that arrives without a valid, unexpired token is rejected outright.</w:t>
      </w:r>
    </w:p>
    <w:p>
      <w:pPr>
        <w:pStyle w:val="ListParagraph"/>
        <w:numPr>
          <w:ilvl w:val="0"/>
          <w:numId w:val="2"/>
        </w:numPr>
        <w:spacing w:after="80" w:line="276"/>
      </w:pPr>
      <w:r>
        <w:rPr>
          <w:rFonts w:ascii="Calibri" w:cs="Calibri" w:eastAsia="Calibri" w:hAnsi="Calibri"/>
          <w:b/>
          <w:bCs/>
          <w:i w:val="false"/>
          <w:iCs w:val="false"/>
          <w:color w:val="2C2422"/>
          <w:sz w:val="21"/>
          <w:szCs w:val="21"/>
        </w:rPr>
        <w:t xml:space="preserve">Honeypot field. </w:t>
      </w:r>
      <w:r>
        <w:rPr>
          <w:rFonts w:ascii="Calibri" w:cs="Calibri" w:eastAsia="Calibri" w:hAnsi="Calibri"/>
          <w:b w:val="false"/>
          <w:bCs w:val="false"/>
          <w:i w:val="false"/>
          <w:iCs w:val="false"/>
          <w:color w:val="2C2422"/>
          <w:sz w:val="21"/>
          <w:szCs w:val="21"/>
        </w:rPr>
        <w:t xml:space="preserve">A form field hidden from people but visible to simple scripted bots. Anything filled into it is discarded silently.</w:t>
      </w:r>
    </w:p>
    <w:p>
      <w:pPr>
        <w:pStyle w:val="ListParagraph"/>
        <w:numPr>
          <w:ilvl w:val="0"/>
          <w:numId w:val="2"/>
        </w:numPr>
        <w:spacing w:after="80" w:line="276"/>
      </w:pPr>
      <w:r>
        <w:rPr>
          <w:rFonts w:ascii="Calibri" w:cs="Calibri" w:eastAsia="Calibri" w:hAnsi="Calibri"/>
          <w:b/>
          <w:bCs/>
          <w:i w:val="false"/>
          <w:iCs w:val="false"/>
          <w:color w:val="2C2422"/>
          <w:sz w:val="21"/>
          <w:szCs w:val="21"/>
        </w:rPr>
        <w:t xml:space="preserve">Rate limit. </w:t>
      </w:r>
      <w:r>
        <w:rPr>
          <w:rFonts w:ascii="Calibri" w:cs="Calibri" w:eastAsia="Calibri" w:hAnsi="Calibri"/>
          <w:b w:val="false"/>
          <w:bCs w:val="false"/>
          <w:i w:val="false"/>
          <w:iCs w:val="false"/>
          <w:color w:val="2C2422"/>
          <w:sz w:val="21"/>
          <w:szCs w:val="21"/>
        </w:rPr>
        <w:t xml:space="preserve">A cap on submissions per account and per IP over a rolling window, so a scripted flood is throttled rather than merely scored badly afterwards.</w:t>
      </w:r>
    </w:p>
    <w:p>
      <w:pPr>
        <w:spacing w:after="140" w:line="276"/>
      </w:pPr>
      <w:r>
        <w:rPr>
          <w:rFonts w:ascii="Calibri" w:cs="Calibri" w:eastAsia="Calibri" w:hAnsi="Calibri"/>
          <w:b w:val="false"/>
          <w:bCs w:val="false"/>
          <w:i w:val="false"/>
          <w:iCs w:val="false"/>
          <w:color w:val="2C2422"/>
          <w:sz w:val="21"/>
          <w:szCs w:val="21"/>
        </w:rPr>
        <w:t xml:space="preserve">To answer the question raised in the source brief directly: no CAPTCHA exists on the platform today, so this is genuinely new work — but it is a small, well-understood piece, not a reason on its own to embed a third-party form.</w:t>
      </w:r>
    </w:p>
    <w:p>
      <w:pPr>
        <w:spacing w:after="100" w:before="300"/>
      </w:pPr>
      <w:r>
        <w:rPr>
          <w:rFonts w:ascii="Georgia" w:cs="Georgia" w:eastAsia="Georgia" w:hAnsi="Georgia"/>
          <w:b/>
          <w:bCs/>
          <w:color w:val="C9762A"/>
          <w:spacing w:val="25"/>
          <w:sz w:val="16"/>
          <w:szCs w:val="16"/>
        </w:rPr>
        <w:t xml:space="preserve">STAGE 2  </w:t>
      </w:r>
      <w:r>
        <w:rPr>
          <w:rFonts w:ascii="Georgia" w:cs="Georgia" w:eastAsia="Georgia" w:hAnsi="Georgia"/>
          <w:b/>
          <w:bCs/>
          <w:color w:val="2C2422"/>
          <w:sz w:val="23"/>
          <w:szCs w:val="23"/>
        </w:rPr>
        <w:t xml:space="preserve">Eligibility &amp; duplicate check</w:t>
      </w:r>
      <w:r>
        <w:rPr>
          <w:rFonts w:ascii="Calibri" w:cs="Calibri" w:eastAsia="Calibri" w:hAnsi="Calibri"/>
          <w:b/>
          <w:bCs/>
          <w:i/>
          <w:iCs/>
          <w:color w:val="A02C4A"/>
          <w:sz w:val="16"/>
          <w:szCs w:val="16"/>
        </w:rPr>
        <w:t xml:space="preserve">   Blocks submission</w:t>
      </w:r>
    </w:p>
    <w:p>
      <w:pPr>
        <w:spacing w:after="140" w:line="276"/>
      </w:pPr>
      <w:r>
        <w:rPr>
          <w:rFonts w:ascii="Calibri" w:cs="Calibri" w:eastAsia="Calibri" w:hAnsi="Calibri"/>
          <w:b w:val="false"/>
          <w:bCs w:val="false"/>
          <w:i w:val="false"/>
          <w:iCs w:val="false"/>
          <w:color w:val="2C2422"/>
          <w:sz w:val="21"/>
          <w:szCs w:val="21"/>
        </w:rPr>
        <w:t xml:space="preserve">Only a signed-in audience member with a registered participation in that campaign can open the survey — so the first eligibility question is answered by the account itself, not by asking. On top of that:</w:t>
      </w:r>
    </w:p>
    <w:p>
      <w:pPr>
        <w:pStyle w:val="ListParagraph"/>
        <w:numPr>
          <w:ilvl w:val="0"/>
          <w:numId w:val="2"/>
        </w:numPr>
        <w:spacing w:after="80" w:line="276"/>
      </w:pPr>
      <w:r>
        <w:rPr>
          <w:rFonts w:ascii="Calibri" w:cs="Calibri" w:eastAsia="Calibri" w:hAnsi="Calibri"/>
          <w:b/>
          <w:bCs/>
          <w:i w:val="false"/>
          <w:iCs w:val="false"/>
          <w:color w:val="2C2422"/>
          <w:sz w:val="21"/>
          <w:szCs w:val="21"/>
        </w:rPr>
        <w:t xml:space="preserve">One response per person, per survey</w:t>
      </w:r>
      <w:r>
        <w:rPr>
          <w:rFonts w:ascii="Calibri" w:cs="Calibri" w:eastAsia="Calibri" w:hAnsi="Calibri"/>
          <w:b w:val="false"/>
          <w:bCs w:val="false"/>
          <w:i w:val="false"/>
          <w:iCs w:val="false"/>
          <w:color w:val="2C2422"/>
          <w:sz w:val="21"/>
          <w:szCs w:val="21"/>
        </w:rPr>
        <w:t xml:space="preserve"> — enforced by the database, not by a check in code, so two submissions racing each other cannot both land.</w:t>
      </w:r>
    </w:p>
    <w:p>
      <w:pPr>
        <w:pStyle w:val="ListParagraph"/>
        <w:numPr>
          <w:ilvl w:val="0"/>
          <w:numId w:val="2"/>
        </w:numPr>
        <w:spacing w:after="80" w:line="276"/>
      </w:pPr>
      <w:r>
        <w:rPr>
          <w:rFonts w:ascii="Calibri" w:cs="Calibri" w:eastAsia="Calibri" w:hAnsi="Calibri"/>
          <w:b/>
          <w:bCs/>
          <w:i w:val="false"/>
          <w:iCs w:val="false"/>
          <w:color w:val="2C2422"/>
          <w:sz w:val="21"/>
          <w:szCs w:val="21"/>
        </w:rPr>
        <w:t xml:space="preserve">Screening questions</w:t>
      </w:r>
      <w:r>
        <w:rPr>
          <w:rFonts w:ascii="Calibri" w:cs="Calibri" w:eastAsia="Calibri" w:hAnsi="Calibri"/>
          <w:b w:val="false"/>
          <w:bCs w:val="false"/>
          <w:i w:val="false"/>
          <w:iCs w:val="false"/>
          <w:color w:val="2C2422"/>
          <w:sz w:val="21"/>
          <w:szCs w:val="21"/>
        </w:rPr>
        <w:t xml:space="preserve"> can be placed at the top of any survey and end the form early when someone does not qualify.</w:t>
      </w:r>
    </w:p>
    <w:p>
      <w:pPr>
        <w:pStyle w:val="ListParagraph"/>
        <w:numPr>
          <w:ilvl w:val="0"/>
          <w:numId w:val="2"/>
        </w:numPr>
        <w:spacing w:after="80" w:line="276"/>
      </w:pPr>
      <w:r>
        <w:rPr>
          <w:rFonts w:ascii="Calibri" w:cs="Calibri" w:eastAsia="Calibri" w:hAnsi="Calibri"/>
          <w:b/>
          <w:bCs/>
          <w:i w:val="false"/>
          <w:iCs w:val="false"/>
          <w:color w:val="2C2422"/>
          <w:sz w:val="21"/>
          <w:szCs w:val="21"/>
        </w:rPr>
        <w:t xml:space="preserve">Duplicate identity detection</w:t>
      </w:r>
      <w:r>
        <w:rPr>
          <w:rFonts w:ascii="Calibri" w:cs="Calibri" w:eastAsia="Calibri" w:hAnsi="Calibri"/>
          <w:b w:val="false"/>
          <w:bCs w:val="false"/>
          <w:i w:val="false"/>
          <w:iCs w:val="false"/>
          <w:color w:val="2C2422"/>
          <w:sz w:val="21"/>
          <w:szCs w:val="21"/>
        </w:rPr>
        <w:t xml:space="preserve"> matches on email and phone number across accounts. The platform already has a private way to ask “is this number already in use?” without revealing whose it is — we extend that same approach here. A match does not necessarily reject; it flags the response for the duplicate signal in stage 4.</w:t>
      </w:r>
    </w:p>
    <w:p>
      <w:pPr>
        <w:spacing w:after="100" w:before="300"/>
      </w:pPr>
      <w:r>
        <w:rPr>
          <w:rFonts w:ascii="Georgia" w:cs="Georgia" w:eastAsia="Georgia" w:hAnsi="Georgia"/>
          <w:b/>
          <w:bCs/>
          <w:color w:val="C9762A"/>
          <w:spacing w:val="25"/>
          <w:sz w:val="16"/>
          <w:szCs w:val="16"/>
        </w:rPr>
        <w:t xml:space="preserve">STAGE 3  </w:t>
      </w:r>
      <w:r>
        <w:rPr>
          <w:rFonts w:ascii="Georgia" w:cs="Georgia" w:eastAsia="Georgia" w:hAnsi="Georgia"/>
          <w:b/>
          <w:bCs/>
          <w:color w:val="2C2422"/>
          <w:sz w:val="23"/>
          <w:szCs w:val="23"/>
        </w:rPr>
        <w:t xml:space="preserve">Validate &amp; store</w:t>
      </w:r>
      <w:r>
        <w:rPr>
          <w:rFonts w:ascii="Calibri" w:cs="Calibri" w:eastAsia="Calibri" w:hAnsi="Calibri"/>
          <w:b/>
          <w:bCs/>
          <w:i/>
          <w:iCs/>
          <w:color w:val="6F6360"/>
          <w:sz w:val="16"/>
          <w:szCs w:val="16"/>
        </w:rPr>
        <w:t xml:space="preserve">   Writes the response</w:t>
      </w:r>
    </w:p>
    <w:p>
      <w:pPr>
        <w:spacing w:after="140" w:line="276"/>
      </w:pPr>
      <w:r>
        <w:rPr>
          <w:rFonts w:ascii="Calibri" w:cs="Calibri" w:eastAsia="Calibri" w:hAnsi="Calibri"/>
          <w:b w:val="false"/>
          <w:bCs w:val="false"/>
          <w:i w:val="false"/>
          <w:iCs w:val="false"/>
          <w:color w:val="2C2422"/>
          <w:sz w:val="21"/>
          <w:szCs w:val="21"/>
        </w:rPr>
        <w:t xml:space="preserve">Every answer is re-validated on the server against that question's own settings — required questions answered, choices from the real options list, numbers inside the allowed range, text within length. The browser's validation is a convenience for the user; the server's is the one that counts, because the browser can be bypassed. Response and answers are written together in one transaction with the timing data, so a half-saved survey is not possible.</w:t>
      </w:r>
    </w:p>
    <w:p>
      <w:pPr>
        <w:spacing w:after="100" w:before="300"/>
      </w:pPr>
      <w:r>
        <w:rPr>
          <w:rFonts w:ascii="Georgia" w:cs="Georgia" w:eastAsia="Georgia" w:hAnsi="Georgia"/>
          <w:b/>
          <w:bCs/>
          <w:color w:val="C9762A"/>
          <w:spacing w:val="25"/>
          <w:sz w:val="16"/>
          <w:szCs w:val="16"/>
        </w:rPr>
        <w:t xml:space="preserve">STAGE 4  </w:t>
      </w:r>
      <w:r>
        <w:rPr>
          <w:rFonts w:ascii="Georgia" w:cs="Georgia" w:eastAsia="Georgia" w:hAnsi="Georgia"/>
          <w:b/>
          <w:bCs/>
          <w:color w:val="2C2422"/>
          <w:sz w:val="23"/>
          <w:szCs w:val="23"/>
        </w:rPr>
        <w:t xml:space="preserve">Quality scoring — nine signals</w:t>
      </w:r>
      <w:r>
        <w:rPr>
          <w:rFonts w:ascii="Calibri" w:cs="Calibri" w:eastAsia="Calibri" w:hAnsi="Calibri"/>
          <w:b/>
          <w:bCs/>
          <w:i/>
          <w:iCs/>
          <w:color w:val="C9762A"/>
          <w:sz w:val="16"/>
          <w:szCs w:val="16"/>
        </w:rPr>
        <w:t xml:space="preserve">   The engine</w:t>
      </w:r>
    </w:p>
    <w:p>
      <w:pPr>
        <w:spacing w:after="140" w:line="276"/>
      </w:pPr>
      <w:r>
        <w:rPr>
          <w:rFonts w:ascii="Calibri" w:cs="Calibri" w:eastAsia="Calibri" w:hAnsi="Calibri"/>
          <w:b w:val="false"/>
          <w:bCs w:val="false"/>
          <w:i w:val="false"/>
          <w:iCs w:val="false"/>
          <w:color w:val="2C2422"/>
          <w:sz w:val="21"/>
          <w:szCs w:val="21"/>
        </w:rPr>
        <w:t xml:space="preserve">Immediately on submit, a server-side scorer reads the stored answers, the per-question timing and each question's settings, and produces a score out of 100. Nine signals, exactly as specified in the brief:</w:t>
      </w:r>
    </w:p>
    <w:tbl>
      <w:tblPr>
        <w:tblW w:type="dxa" w:w="9638"/>
        <w:tblBorders>
          <w:top w:val="single" w:color="E6DBCF" w:sz="4"/>
          <w:left w:val="single" w:color="E6DBCF" w:sz="4"/>
          <w:bottom w:val="single" w:color="E6DBCF" w:sz="4"/>
          <w:right w:val="single" w:color="E6DBCF" w:sz="4"/>
          <w:insideH w:val="single" w:color="E6DBCF" w:sz="4"/>
          <w:insideV w:val="single" w:color="E6DBCF" w:sz="4"/>
        </w:tblBorders>
      </w:tblPr>
      <w:tblGrid>
        <w:gridCol w:w="2200"/>
        <w:gridCol w:w="3700"/>
        <w:gridCol w:w="3738"/>
      </w:tblGrid>
      <w:tr>
        <w:trPr>
          <w:tblHeader/>
        </w:trPr>
        <w:tc>
          <w:tcPr>
            <w:tcW w:type="dxa" w:w="2200"/>
            <w:shd w:fill="F6EFE6" w:color="auto" w:val="clear"/>
            <w:tcMar>
              <w:top w:type="dxa" w:w="110"/>
              <w:left w:type="dxa" w:w="140"/>
              <w:bottom w:type="dxa" w:w="110"/>
              <w:right w:type="dxa" w:w="140"/>
            </w:tcMar>
          </w:tcPr>
          <w:p>
            <w:r>
              <w:rPr>
                <w:rFonts w:ascii="Georgia" w:cs="Georgia" w:eastAsia="Georgia" w:hAnsi="Georgia"/>
                <w:b/>
                <w:bCs/>
                <w:color w:val="8D7C75"/>
                <w:spacing w:val="25"/>
                <w:sz w:val="14"/>
                <w:szCs w:val="14"/>
              </w:rPr>
              <w:t xml:space="preserve">SIGNAL</w:t>
            </w:r>
          </w:p>
        </w:tc>
        <w:tc>
          <w:tcPr>
            <w:tcW w:type="dxa" w:w="3700"/>
            <w:shd w:fill="F6EFE6" w:color="auto" w:val="clear"/>
            <w:tcMar>
              <w:top w:type="dxa" w:w="110"/>
              <w:left w:type="dxa" w:w="140"/>
              <w:bottom w:type="dxa" w:w="110"/>
              <w:right w:type="dxa" w:w="140"/>
            </w:tcMar>
          </w:tcPr>
          <w:p>
            <w:r>
              <w:rPr>
                <w:rFonts w:ascii="Georgia" w:cs="Georgia" w:eastAsia="Georgia" w:hAnsi="Georgia"/>
                <w:b/>
                <w:bCs/>
                <w:color w:val="8D7C75"/>
                <w:spacing w:val="25"/>
                <w:sz w:val="14"/>
                <w:szCs w:val="14"/>
              </w:rPr>
              <w:t xml:space="preserve">WHAT WE CHECK</w:t>
            </w:r>
          </w:p>
        </w:tc>
        <w:tc>
          <w:tcPr>
            <w:tcW w:type="dxa" w:w="3738"/>
            <w:shd w:fill="F6EFE6" w:color="auto" w:val="clear"/>
            <w:tcMar>
              <w:top w:type="dxa" w:w="110"/>
              <w:left w:type="dxa" w:w="140"/>
              <w:bottom w:type="dxa" w:w="110"/>
              <w:right w:type="dxa" w:w="140"/>
            </w:tcMar>
          </w:tcPr>
          <w:p>
            <w:r>
              <w:rPr>
                <w:rFonts w:ascii="Georgia" w:cs="Georgia" w:eastAsia="Georgia" w:hAnsi="Georgia"/>
                <w:b/>
                <w:bCs/>
                <w:color w:val="8D7C75"/>
                <w:spacing w:val="25"/>
                <w:sz w:val="14"/>
                <w:szCs w:val="14"/>
              </w:rPr>
              <w:t xml:space="preserve">EXAMPLE CATCH</w:t>
            </w:r>
          </w:p>
        </w:tc>
      </w:tr>
      <w:tr>
        <w:tc>
          <w:tcPr>
            <w:tcW w:type="dxa" w:w="2200"/>
            <w:tcMar>
              <w:top w:type="dxa" w:w="110"/>
              <w:left w:type="dxa" w:w="140"/>
              <w:bottom w:type="dxa" w:w="110"/>
              <w:right w:type="dxa" w:w="140"/>
            </w:tcMar>
          </w:tcPr>
          <w:p>
            <w:pPr>
              <w:spacing w:line="260"/>
            </w:pPr>
            <w:r>
              <w:rPr>
                <w:rFonts w:ascii="Calibri" w:cs="Calibri" w:eastAsia="Calibri" w:hAnsi="Calibri"/>
                <w:b/>
                <w:bCs/>
                <w:i w:val="false"/>
                <w:iCs w:val="false"/>
                <w:color w:val="2C2422"/>
                <w:sz w:val="20"/>
                <w:szCs w:val="20"/>
              </w:rPr>
              <w:t xml:space="preserve">Completion time</w:t>
            </w:r>
          </w:p>
        </w:tc>
        <w:tc>
          <w:tcPr>
            <w:tcW w:type="dxa" w:w="3700"/>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Suspiciously fast overall, and per question</w:t>
            </w:r>
          </w:p>
        </w:tc>
        <w:tc>
          <w:tcPr>
            <w:tcW w:type="dxa" w:w="3738"/>
            <w:tcMar>
              <w:top w:type="dxa" w:w="110"/>
              <w:left w:type="dxa" w:w="140"/>
              <w:bottom w:type="dxa" w:w="110"/>
              <w:right w:type="dxa" w:w="140"/>
            </w:tcMar>
          </w:tcPr>
          <w:p>
            <w:pPr>
              <w:spacing w:line="260"/>
            </w:pPr>
            <w:r>
              <w:rPr>
                <w:rFonts w:ascii="Consolas" w:cs="Consolas" w:eastAsia="Consolas" w:hAnsi="Consolas"/>
                <w:b w:val="false"/>
                <w:bCs w:val="false"/>
                <w:i w:val="false"/>
                <w:iCs w:val="false"/>
                <w:color w:val="6F6360"/>
                <w:sz w:val="18"/>
                <w:szCs w:val="18"/>
              </w:rPr>
              <w:t xml:space="preserve">45 sec on a 4-min survey</w:t>
            </w:r>
          </w:p>
        </w:tc>
      </w:tr>
      <w:tr>
        <w:tc>
          <w:tcPr>
            <w:tcW w:type="dxa" w:w="2200"/>
            <w:tcMar>
              <w:top w:type="dxa" w:w="110"/>
              <w:left w:type="dxa" w:w="140"/>
              <w:bottom w:type="dxa" w:w="110"/>
              <w:right w:type="dxa" w:w="140"/>
            </w:tcMar>
          </w:tcPr>
          <w:p>
            <w:pPr>
              <w:spacing w:line="260"/>
            </w:pPr>
            <w:r>
              <w:rPr>
                <w:rFonts w:ascii="Calibri" w:cs="Calibri" w:eastAsia="Calibri" w:hAnsi="Calibri"/>
                <w:b/>
                <w:bCs/>
                <w:i w:val="false"/>
                <w:iCs w:val="false"/>
                <w:color w:val="2C2422"/>
                <w:sz w:val="20"/>
                <w:szCs w:val="20"/>
              </w:rPr>
              <w:t xml:space="preserve">Attention checks</w:t>
            </w:r>
          </w:p>
        </w:tc>
        <w:tc>
          <w:tcPr>
            <w:tcW w:type="dxa" w:w="3700"/>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Did they follow the instruction?</w:t>
            </w:r>
          </w:p>
        </w:tc>
        <w:tc>
          <w:tcPr>
            <w:tcW w:type="dxa" w:w="3738"/>
            <w:tcMar>
              <w:top w:type="dxa" w:w="110"/>
              <w:left w:type="dxa" w:w="140"/>
              <w:bottom w:type="dxa" w:w="110"/>
              <w:right w:type="dxa" w:w="140"/>
            </w:tcMar>
          </w:tcPr>
          <w:p>
            <w:pPr>
              <w:spacing w:line="260"/>
            </w:pPr>
            <w:r>
              <w:rPr>
                <w:rFonts w:ascii="Consolas" w:cs="Consolas" w:eastAsia="Consolas" w:hAnsi="Consolas"/>
                <w:b w:val="false"/>
                <w:bCs w:val="false"/>
                <w:i w:val="false"/>
                <w:iCs w:val="false"/>
                <w:color w:val="6F6360"/>
                <w:sz w:val="18"/>
                <w:szCs w:val="18"/>
              </w:rPr>
              <w:t xml:space="preserve">Failed 1 of 2</w:t>
            </w:r>
          </w:p>
        </w:tc>
      </w:tr>
      <w:tr>
        <w:tc>
          <w:tcPr>
            <w:tcW w:type="dxa" w:w="2200"/>
            <w:tcMar>
              <w:top w:type="dxa" w:w="110"/>
              <w:left w:type="dxa" w:w="140"/>
              <w:bottom w:type="dxa" w:w="110"/>
              <w:right w:type="dxa" w:w="140"/>
            </w:tcMar>
          </w:tcPr>
          <w:p>
            <w:pPr>
              <w:spacing w:line="260"/>
            </w:pPr>
            <w:r>
              <w:rPr>
                <w:rFonts w:ascii="Calibri" w:cs="Calibri" w:eastAsia="Calibri" w:hAnsi="Calibri"/>
                <w:b/>
                <w:bCs/>
                <w:i w:val="false"/>
                <w:iCs w:val="false"/>
                <w:color w:val="2C2422"/>
                <w:sz w:val="20"/>
                <w:szCs w:val="20"/>
              </w:rPr>
              <w:t xml:space="preserve">Straight-lining</w:t>
            </w:r>
          </w:p>
        </w:tc>
        <w:tc>
          <w:tcPr>
            <w:tcW w:type="dxa" w:w="3700"/>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Same answer repeated down a scale</w:t>
            </w:r>
          </w:p>
        </w:tc>
        <w:tc>
          <w:tcPr>
            <w:tcW w:type="dxa" w:w="3738"/>
            <w:tcMar>
              <w:top w:type="dxa" w:w="110"/>
              <w:left w:type="dxa" w:w="140"/>
              <w:bottom w:type="dxa" w:w="110"/>
              <w:right w:type="dxa" w:w="140"/>
            </w:tcMar>
          </w:tcPr>
          <w:p>
            <w:pPr>
              <w:spacing w:line="260"/>
            </w:pPr>
            <w:r>
              <w:rPr>
                <w:rFonts w:ascii="Consolas" w:cs="Consolas" w:eastAsia="Consolas" w:hAnsi="Consolas"/>
                <w:b w:val="false"/>
                <w:bCs w:val="false"/>
                <w:i w:val="false"/>
                <w:iCs w:val="false"/>
                <w:color w:val="6F6360"/>
                <w:sz w:val="18"/>
                <w:szCs w:val="18"/>
              </w:rPr>
              <w:t xml:space="preserve">4, 4, 4, 4, 4…</w:t>
            </w:r>
          </w:p>
        </w:tc>
      </w:tr>
      <w:tr>
        <w:tc>
          <w:tcPr>
            <w:tcW w:type="dxa" w:w="2200"/>
            <w:tcMar>
              <w:top w:type="dxa" w:w="110"/>
              <w:left w:type="dxa" w:w="140"/>
              <w:bottom w:type="dxa" w:w="110"/>
              <w:right w:type="dxa" w:w="140"/>
            </w:tcMar>
          </w:tcPr>
          <w:p>
            <w:pPr>
              <w:spacing w:line="260"/>
            </w:pPr>
            <w:r>
              <w:rPr>
                <w:rFonts w:ascii="Calibri" w:cs="Calibri" w:eastAsia="Calibri" w:hAnsi="Calibri"/>
                <w:b/>
                <w:bCs/>
                <w:i w:val="false"/>
                <w:iCs w:val="false"/>
                <w:color w:val="2C2422"/>
                <w:sz w:val="20"/>
                <w:szCs w:val="20"/>
              </w:rPr>
              <w:t xml:space="preserve">Contradictions</w:t>
            </w:r>
          </w:p>
        </w:tc>
        <w:tc>
          <w:tcPr>
            <w:tcW w:type="dxa" w:w="3700"/>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Answers that conflict with each other</w:t>
            </w:r>
          </w:p>
        </w:tc>
        <w:tc>
          <w:tcPr>
            <w:tcW w:type="dxa" w:w="3738"/>
            <w:tcMar>
              <w:top w:type="dxa" w:w="110"/>
              <w:left w:type="dxa" w:w="140"/>
              <w:bottom w:type="dxa" w:w="110"/>
              <w:right w:type="dxa" w:w="140"/>
            </w:tcMar>
          </w:tcPr>
          <w:p>
            <w:pPr>
              <w:spacing w:line="260"/>
            </w:pPr>
            <w:r>
              <w:rPr>
                <w:rFonts w:ascii="Consolas" w:cs="Consolas" w:eastAsia="Consolas" w:hAnsi="Consolas"/>
                <w:b w:val="false"/>
                <w:bCs w:val="false"/>
                <w:i w:val="false"/>
                <w:iCs w:val="false"/>
                <w:color w:val="6F6360"/>
                <w:sz w:val="18"/>
                <w:szCs w:val="18"/>
              </w:rPr>
              <w:t xml:space="preserve">“Never buys” then “bought yesterday”</w:t>
            </w:r>
          </w:p>
        </w:tc>
      </w:tr>
      <w:tr>
        <w:tc>
          <w:tcPr>
            <w:tcW w:type="dxa" w:w="2200"/>
            <w:tcMar>
              <w:top w:type="dxa" w:w="110"/>
              <w:left w:type="dxa" w:w="140"/>
              <w:bottom w:type="dxa" w:w="110"/>
              <w:right w:type="dxa" w:w="140"/>
            </w:tcMar>
          </w:tcPr>
          <w:p>
            <w:pPr>
              <w:spacing w:line="260"/>
            </w:pPr>
            <w:r>
              <w:rPr>
                <w:rFonts w:ascii="Calibri" w:cs="Calibri" w:eastAsia="Calibri" w:hAnsi="Calibri"/>
                <w:b/>
                <w:bCs/>
                <w:i w:val="false"/>
                <w:iCs w:val="false"/>
                <w:color w:val="2C2422"/>
                <w:sz w:val="20"/>
                <w:szCs w:val="20"/>
              </w:rPr>
              <w:t xml:space="preserve">Open-text quality</w:t>
            </w:r>
          </w:p>
        </w:tc>
        <w:tc>
          <w:tcPr>
            <w:tcW w:type="dxa" w:w="3700"/>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Is the free text meaningful?</w:t>
            </w:r>
          </w:p>
        </w:tc>
        <w:tc>
          <w:tcPr>
            <w:tcW w:type="dxa" w:w="3738"/>
            <w:tcMar>
              <w:top w:type="dxa" w:w="110"/>
              <w:left w:type="dxa" w:w="140"/>
              <w:bottom w:type="dxa" w:w="110"/>
              <w:right w:type="dxa" w:w="140"/>
            </w:tcMar>
          </w:tcPr>
          <w:p>
            <w:pPr>
              <w:spacing w:line="260"/>
            </w:pPr>
            <w:r>
              <w:rPr>
                <w:rFonts w:ascii="Consolas" w:cs="Consolas" w:eastAsia="Consolas" w:hAnsi="Consolas"/>
                <w:b w:val="false"/>
                <w:bCs w:val="false"/>
                <w:i w:val="false"/>
                <w:iCs w:val="false"/>
                <w:color w:val="6F6360"/>
                <w:sz w:val="18"/>
                <w:szCs w:val="18"/>
              </w:rPr>
              <w:t xml:space="preserve">“asdf”, “good”, “yes”</w:t>
            </w:r>
          </w:p>
        </w:tc>
      </w:tr>
      <w:tr>
        <w:tc>
          <w:tcPr>
            <w:tcW w:type="dxa" w:w="2200"/>
            <w:tcMar>
              <w:top w:type="dxa" w:w="110"/>
              <w:left w:type="dxa" w:w="140"/>
              <w:bottom w:type="dxa" w:w="110"/>
              <w:right w:type="dxa" w:w="140"/>
            </w:tcMar>
          </w:tcPr>
          <w:p>
            <w:pPr>
              <w:spacing w:line="260"/>
            </w:pPr>
            <w:r>
              <w:rPr>
                <w:rFonts w:ascii="Calibri" w:cs="Calibri" w:eastAsia="Calibri" w:hAnsi="Calibri"/>
                <w:b/>
                <w:bCs/>
                <w:i w:val="false"/>
                <w:iCs w:val="false"/>
                <w:color w:val="2C2422"/>
                <w:sz w:val="20"/>
                <w:szCs w:val="20"/>
              </w:rPr>
              <w:t xml:space="preserve">Question coverage</w:t>
            </w:r>
          </w:p>
        </w:tc>
        <w:tc>
          <w:tcPr>
            <w:tcW w:type="dxa" w:w="3700"/>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Did they meaningfully answer?</w:t>
            </w:r>
          </w:p>
        </w:tc>
        <w:tc>
          <w:tcPr>
            <w:tcW w:type="dxa" w:w="3738"/>
            <w:tcMar>
              <w:top w:type="dxa" w:w="110"/>
              <w:left w:type="dxa" w:w="140"/>
              <w:bottom w:type="dxa" w:w="110"/>
              <w:right w:type="dxa" w:w="140"/>
            </w:tcMar>
          </w:tcPr>
          <w:p>
            <w:pPr>
              <w:spacing w:line="260"/>
            </w:pPr>
            <w:r>
              <w:rPr>
                <w:rFonts w:ascii="Consolas" w:cs="Consolas" w:eastAsia="Consolas" w:hAnsi="Consolas"/>
                <w:b w:val="false"/>
                <w:bCs w:val="false"/>
                <w:i w:val="false"/>
                <w:iCs w:val="false"/>
                <w:color w:val="6F6360"/>
                <w:sz w:val="18"/>
                <w:szCs w:val="18"/>
              </w:rPr>
              <w:t xml:space="preserve">Excessive “prefer not to say”</w:t>
            </w:r>
          </w:p>
        </w:tc>
      </w:tr>
      <w:tr>
        <w:tc>
          <w:tcPr>
            <w:tcW w:type="dxa" w:w="2200"/>
            <w:tcMar>
              <w:top w:type="dxa" w:w="110"/>
              <w:left w:type="dxa" w:w="140"/>
              <w:bottom w:type="dxa" w:w="110"/>
              <w:right w:type="dxa" w:w="140"/>
            </w:tcMar>
          </w:tcPr>
          <w:p>
            <w:pPr>
              <w:spacing w:line="260"/>
            </w:pPr>
            <w:r>
              <w:rPr>
                <w:rFonts w:ascii="Calibri" w:cs="Calibri" w:eastAsia="Calibri" w:hAnsi="Calibri"/>
                <w:b/>
                <w:bCs/>
                <w:i w:val="false"/>
                <w:iCs w:val="false"/>
                <w:color w:val="2C2422"/>
                <w:sz w:val="20"/>
                <w:szCs w:val="20"/>
              </w:rPr>
              <w:t xml:space="preserve">Duplicate detection</w:t>
            </w:r>
          </w:p>
        </w:tc>
        <w:tc>
          <w:tcPr>
            <w:tcW w:type="dxa" w:w="3700"/>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Same person submitting more than once</w:t>
            </w:r>
          </w:p>
        </w:tc>
        <w:tc>
          <w:tcPr>
            <w:tcW w:type="dxa" w:w="3738"/>
            <w:tcMar>
              <w:top w:type="dxa" w:w="110"/>
              <w:left w:type="dxa" w:w="140"/>
              <w:bottom w:type="dxa" w:w="110"/>
              <w:right w:type="dxa" w:w="140"/>
            </w:tcMar>
          </w:tcPr>
          <w:p>
            <w:pPr>
              <w:spacing w:line="260"/>
            </w:pPr>
            <w:r>
              <w:rPr>
                <w:rFonts w:ascii="Consolas" w:cs="Consolas" w:eastAsia="Consolas" w:hAnsi="Consolas"/>
                <w:b w:val="false"/>
                <w:bCs w:val="false"/>
                <w:i w:val="false"/>
                <w:iCs w:val="false"/>
                <w:color w:val="6F6360"/>
                <w:sz w:val="18"/>
                <w:szCs w:val="18"/>
              </w:rPr>
              <w:t xml:space="preserve">Matching email / phone identifiers</w:t>
            </w:r>
          </w:p>
        </w:tc>
      </w:tr>
      <w:tr>
        <w:tc>
          <w:tcPr>
            <w:tcW w:type="dxa" w:w="2200"/>
            <w:tcMar>
              <w:top w:type="dxa" w:w="110"/>
              <w:left w:type="dxa" w:w="140"/>
              <w:bottom w:type="dxa" w:w="110"/>
              <w:right w:type="dxa" w:w="140"/>
            </w:tcMar>
          </w:tcPr>
          <w:p>
            <w:pPr>
              <w:spacing w:line="260"/>
            </w:pPr>
            <w:r>
              <w:rPr>
                <w:rFonts w:ascii="Calibri" w:cs="Calibri" w:eastAsia="Calibri" w:hAnsi="Calibri"/>
                <w:b/>
                <w:bCs/>
                <w:i w:val="false"/>
                <w:iCs w:val="false"/>
                <w:color w:val="2C2422"/>
                <w:sz w:val="20"/>
                <w:szCs w:val="20"/>
              </w:rPr>
              <w:t xml:space="preserve">Behaviour</w:t>
            </w:r>
          </w:p>
        </w:tc>
        <w:tc>
          <w:tcPr>
            <w:tcW w:type="dxa" w:w="3700"/>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Suspicious interaction pattern</w:t>
            </w:r>
          </w:p>
        </w:tc>
        <w:tc>
          <w:tcPr>
            <w:tcW w:type="dxa" w:w="3738"/>
            <w:tcMar>
              <w:top w:type="dxa" w:w="110"/>
              <w:left w:type="dxa" w:w="140"/>
              <w:bottom w:type="dxa" w:w="110"/>
              <w:right w:type="dxa" w:w="140"/>
            </w:tcMar>
          </w:tcPr>
          <w:p>
            <w:pPr>
              <w:spacing w:line="260"/>
            </w:pPr>
            <w:r>
              <w:rPr>
                <w:rFonts w:ascii="Consolas" w:cs="Consolas" w:eastAsia="Consolas" w:hAnsi="Consolas"/>
                <w:b w:val="false"/>
                <w:bCs w:val="false"/>
                <w:i w:val="false"/>
                <w:iCs w:val="false"/>
                <w:color w:val="6F6360"/>
                <w:sz w:val="18"/>
                <w:szCs w:val="18"/>
              </w:rPr>
              <w:t xml:space="preserve">Extremely rapid clicking</w:t>
            </w:r>
          </w:p>
        </w:tc>
      </w:tr>
      <w:tr>
        <w:tc>
          <w:tcPr>
            <w:tcW w:type="dxa" w:w="2200"/>
            <w:tcMar>
              <w:top w:type="dxa" w:w="110"/>
              <w:left w:type="dxa" w:w="140"/>
              <w:bottom w:type="dxa" w:w="110"/>
              <w:right w:type="dxa" w:w="140"/>
            </w:tcMar>
          </w:tcPr>
          <w:p>
            <w:pPr>
              <w:spacing w:line="260"/>
            </w:pPr>
            <w:r>
              <w:rPr>
                <w:rFonts w:ascii="Calibri" w:cs="Calibri" w:eastAsia="Calibri" w:hAnsi="Calibri"/>
                <w:b/>
                <w:bCs/>
                <w:i w:val="false"/>
                <w:iCs w:val="false"/>
                <w:color w:val="2C2422"/>
                <w:sz w:val="20"/>
                <w:szCs w:val="20"/>
              </w:rPr>
              <w:t xml:space="preserve">Fraud signals</w:t>
            </w:r>
          </w:p>
        </w:tc>
        <w:tc>
          <w:tcPr>
            <w:tcW w:type="dxa" w:w="3700"/>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Automated or bot-like behaviour</w:t>
            </w:r>
          </w:p>
        </w:tc>
        <w:tc>
          <w:tcPr>
            <w:tcW w:type="dxa" w:w="3738"/>
            <w:tcMar>
              <w:top w:type="dxa" w:w="110"/>
              <w:left w:type="dxa" w:w="140"/>
              <w:bottom w:type="dxa" w:w="110"/>
              <w:right w:type="dxa" w:w="140"/>
            </w:tcMar>
          </w:tcPr>
          <w:p>
            <w:pPr>
              <w:spacing w:line="260"/>
            </w:pPr>
            <w:r>
              <w:rPr>
                <w:rFonts w:ascii="Consolas" w:cs="Consolas" w:eastAsia="Consolas" w:hAnsi="Consolas"/>
                <w:b w:val="false"/>
                <w:bCs w:val="false"/>
                <w:i w:val="false"/>
                <w:iCs w:val="false"/>
                <w:color w:val="6F6360"/>
                <w:sz w:val="18"/>
                <w:szCs w:val="18"/>
              </w:rPr>
              <w:t xml:space="preserve">Multiple suspicious submissions from one source</w:t>
            </w:r>
          </w:p>
        </w:tc>
      </w:tr>
    </w:tbl>
    <w:p>
      <w:pPr>
        <w:spacing w:after="160"/>
      </w:pPr>
      <w:r>
        <w:rPr>
          <w:sz w:val="2"/>
          <w:szCs w:val="2"/>
        </w:rPr>
        <w:t xml:space="preserve"/>
      </w:r>
    </w:p>
    <w:p>
      <w:pPr>
        <w:spacing w:after="140" w:line="276"/>
      </w:pPr>
      <w:r>
        <w:rPr>
          <w:rFonts w:ascii="Calibri" w:cs="Calibri" w:eastAsia="Calibri" w:hAnsi="Calibri"/>
          <w:b w:val="false"/>
          <w:bCs w:val="false"/>
          <w:i w:val="false"/>
          <w:iCs w:val="false"/>
          <w:color w:val="2C2422"/>
          <w:sz w:val="21"/>
          <w:szCs w:val="21"/>
        </w:rPr>
        <w:t xml:space="preserve">The scorer is </w:t>
      </w:r>
      <w:r>
        <w:rPr>
          <w:rFonts w:ascii="Calibri" w:cs="Calibri" w:eastAsia="Calibri" w:hAnsi="Calibri"/>
          <w:b/>
          <w:bCs/>
          <w:i w:val="false"/>
          <w:iCs w:val="false"/>
          <w:color w:val="2C2422"/>
          <w:sz w:val="21"/>
          <w:szCs w:val="21"/>
        </w:rPr>
        <w:t xml:space="preserve">rules-based and deterministic</w:t>
      </w:r>
      <w:r>
        <w:rPr>
          <w:rFonts w:ascii="Calibri" w:cs="Calibri" w:eastAsia="Calibri" w:hAnsi="Calibri"/>
          <w:b w:val="false"/>
          <w:bCs w:val="false"/>
          <w:i w:val="false"/>
          <w:iCs w:val="false"/>
          <w:color w:val="2C2422"/>
          <w:sz w:val="21"/>
          <w:szCs w:val="21"/>
        </w:rPr>
        <w:t xml:space="preserve"> — no AI judgment in the loop. Every verdict can be explained back to a brand or an audience member in plain terms, and the same submission always scores the same. Signal weights are stored as settings, not hard-coded, so thresholds can be tuned after the first live campaign without a code release.</w:t>
      </w:r>
    </w:p>
    <w:p>
      <w:pPr>
        <w:spacing w:after="100" w:before="300"/>
      </w:pPr>
      <w:r>
        <w:rPr>
          <w:rFonts w:ascii="Georgia" w:cs="Georgia" w:eastAsia="Georgia" w:hAnsi="Georgia"/>
          <w:b/>
          <w:bCs/>
          <w:color w:val="C9762A"/>
          <w:spacing w:val="25"/>
          <w:sz w:val="16"/>
          <w:szCs w:val="16"/>
        </w:rPr>
        <w:t xml:space="preserve">STAGE 5  </w:t>
      </w:r>
      <w:r>
        <w:rPr>
          <w:rFonts w:ascii="Georgia" w:cs="Georgia" w:eastAsia="Georgia" w:hAnsi="Georgia"/>
          <w:b/>
          <w:bCs/>
          <w:color w:val="2C2422"/>
          <w:sz w:val="23"/>
          <w:szCs w:val="23"/>
        </w:rPr>
        <w:t xml:space="preserve">Pass, review, or reject</w:t>
      </w:r>
      <w:r>
        <w:rPr>
          <w:rFonts w:ascii="Calibri" w:cs="Calibri" w:eastAsia="Calibri" w:hAnsi="Calibri"/>
          <w:b/>
          <w:bCs/>
          <w:i/>
          <w:iCs/>
          <w:color w:val="6F6360"/>
          <w:sz w:val="16"/>
          <w:szCs w:val="16"/>
        </w:rPr>
        <w:t xml:space="preserve">   The verdict</w:t>
      </w:r>
    </w:p>
    <w:p>
      <w:pPr>
        <w:spacing w:after="140" w:line="276"/>
      </w:pPr>
      <w:r>
        <w:rPr>
          <w:rFonts w:ascii="Calibri" w:cs="Calibri" w:eastAsia="Calibri" w:hAnsi="Calibri"/>
          <w:b w:val="false"/>
          <w:bCs w:val="false"/>
          <w:i w:val="false"/>
          <w:iCs w:val="false"/>
          <w:color w:val="2C2422"/>
          <w:sz w:val="21"/>
          <w:szCs w:val="21"/>
        </w:rPr>
        <w:t xml:space="preserve">The score lands in one of three bands, using the thresholds from the brief:</w:t>
      </w:r>
    </w:p>
    <w:tbl>
      <w:tblPr>
        <w:tblW w:type="dxa" w:w="9638"/>
        <w:tblBorders>
          <w:top w:val="none" w:color="auto" w:sz="0"/>
          <w:left w:val="none" w:color="auto" w:sz="0"/>
          <w:bottom w:val="none" w:color="auto" w:sz="0"/>
          <w:right w:val="none" w:color="auto" w:sz="0"/>
          <w:insideH w:val="none" w:color="auto" w:sz="0"/>
          <w:insideV w:val="single" w:color="FFFFFF" w:sz="8"/>
        </w:tblBorders>
      </w:tblPr>
      <w:tblGrid>
        <w:gridCol w:w="3213"/>
        <w:gridCol w:w="3213"/>
        <w:gridCol w:w="3212"/>
      </w:tblGrid>
      <w:tr>
        <w:tc>
          <w:tcPr>
            <w:tcW w:type="dxa" w:w="3213"/>
            <w:shd w:fill="F8E4E9" w:color="auto" w:val="clear"/>
            <w:tcMar>
              <w:top w:type="dxa" w:w="110"/>
              <w:left w:type="dxa" w:w="140"/>
              <w:bottom w:type="dxa" w:w="110"/>
              <w:right w:type="dxa" w:w="140"/>
            </w:tcMar>
          </w:tcPr>
          <w:p>
            <w:pPr>
              <w:spacing w:after="60"/>
            </w:pPr>
            <w:r>
              <w:rPr>
                <w:rFonts w:ascii="Georgia" w:cs="Georgia" w:eastAsia="Georgia" w:hAnsi="Georgia"/>
                <w:b/>
                <w:bCs/>
                <w:color w:val="A02C4A"/>
                <w:spacing w:val="20"/>
                <w:sz w:val="18"/>
                <w:szCs w:val="18"/>
              </w:rPr>
              <w:t xml:space="preserve">UNDER 60</w:t>
            </w:r>
          </w:p>
          <w:p>
            <w:pPr>
              <w:spacing w:line="260"/>
            </w:pPr>
            <w:r>
              <w:rPr>
                <w:rFonts w:ascii="Calibri" w:cs="Calibri" w:eastAsia="Calibri" w:hAnsi="Calibri"/>
                <w:color w:val="2C2422"/>
                <w:sz w:val="19"/>
                <w:szCs w:val="19"/>
              </w:rPr>
              <w:t xml:space="preserve">Low quality. No reward. Recorded, and excluded from the brand's results.</w:t>
            </w:r>
          </w:p>
        </w:tc>
        <w:tc>
          <w:tcPr>
            <w:tcW w:type="dxa" w:w="3213"/>
            <w:shd w:fill="ECE7F6" w:color="auto" w:val="clear"/>
            <w:tcMar>
              <w:top w:type="dxa" w:w="110"/>
              <w:left w:type="dxa" w:w="140"/>
              <w:bottom w:type="dxa" w:w="110"/>
              <w:right w:type="dxa" w:w="140"/>
            </w:tcMar>
          </w:tcPr>
          <w:p>
            <w:pPr>
              <w:spacing w:after="60"/>
            </w:pPr>
            <w:r>
              <w:rPr>
                <w:rFonts w:ascii="Georgia" w:cs="Georgia" w:eastAsia="Georgia" w:hAnsi="Georgia"/>
                <w:b/>
                <w:bCs/>
                <w:color w:val="6F57A8"/>
                <w:spacing w:val="20"/>
                <w:sz w:val="18"/>
                <w:szCs w:val="18"/>
              </w:rPr>
              <w:t xml:space="preserve">60 – 79</w:t>
            </w:r>
          </w:p>
          <w:p>
            <w:pPr>
              <w:spacing w:line="260"/>
            </w:pPr>
            <w:r>
              <w:rPr>
                <w:rFonts w:ascii="Calibri" w:cs="Calibri" w:eastAsia="Calibri" w:hAnsi="Calibri"/>
                <w:color w:val="2C2422"/>
                <w:sz w:val="19"/>
                <w:szCs w:val="19"/>
              </w:rPr>
              <w:t xml:space="preserve">Manual review. Queued for an admin to approve or reject, with the failing signals shown.</w:t>
            </w:r>
          </w:p>
        </w:tc>
        <w:tc>
          <w:tcPr>
            <w:tcW w:type="dxa" w:w="3212"/>
            <w:shd w:fill="EAF0DC" w:color="auto" w:val="clear"/>
            <w:tcMar>
              <w:top w:type="dxa" w:w="110"/>
              <w:left w:type="dxa" w:w="140"/>
              <w:bottom w:type="dxa" w:w="110"/>
              <w:right w:type="dxa" w:w="140"/>
            </w:tcMar>
          </w:tcPr>
          <w:p>
            <w:pPr>
              <w:spacing w:after="60"/>
            </w:pPr>
            <w:r>
              <w:rPr>
                <w:rFonts w:ascii="Georgia" w:cs="Georgia" w:eastAsia="Georgia" w:hAnsi="Georgia"/>
                <w:b/>
                <w:bCs/>
                <w:color w:val="4F6B15"/>
                <w:spacing w:val="20"/>
                <w:sz w:val="18"/>
                <w:szCs w:val="18"/>
              </w:rPr>
              <w:t xml:space="preserve">80 – 100</w:t>
            </w:r>
          </w:p>
          <w:p>
            <w:pPr>
              <w:spacing w:line="260"/>
            </w:pPr>
            <w:r>
              <w:rPr>
                <w:rFonts w:ascii="Calibri" w:cs="Calibri" w:eastAsia="Calibri" w:hAnsi="Calibri"/>
                <w:color w:val="2C2422"/>
                <w:sz w:val="19"/>
                <w:szCs w:val="19"/>
              </w:rPr>
              <w:t xml:space="preserve">Valid. Eligible for the ticket subsidy, discount or merchandise code.</w:t>
            </w:r>
          </w:p>
        </w:tc>
      </w:tr>
    </w:tbl>
    <w:p>
      <w:pPr>
        <w:spacing w:after="160"/>
      </w:pPr>
      <w:r>
        <w:rPr>
          <w:sz w:val="2"/>
          <w:szCs w:val="2"/>
        </w:rPr>
        <w:t xml:space="preserve"/>
      </w:r>
    </w:p>
    <w:p>
      <w:pPr>
        <w:spacing w:after="140" w:line="276"/>
      </w:pPr>
      <w:r>
        <w:rPr>
          <w:rFonts w:ascii="Calibri" w:cs="Calibri" w:eastAsia="Calibri" w:hAnsi="Calibri"/>
          <w:b w:val="false"/>
          <w:bCs w:val="false"/>
          <w:i w:val="false"/>
          <w:iCs w:val="false"/>
          <w:color w:val="2C2422"/>
          <w:sz w:val="21"/>
          <w:szCs w:val="21"/>
        </w:rPr>
        <w:t xml:space="preserve">The middle band is the one that needs a screen: a review queue where an admin sees the response, which signals it failed and by how much, and approves or rejects in one click. Everything else is automatic. Section 04 covers that screen in full.</w:t>
      </w:r>
    </w:p>
    <w:p>
      <w:pPr>
        <w:spacing w:after="100" w:before="300"/>
      </w:pPr>
      <w:r>
        <w:rPr>
          <w:rFonts w:ascii="Georgia" w:cs="Georgia" w:eastAsia="Georgia" w:hAnsi="Georgia"/>
          <w:b/>
          <w:bCs/>
          <w:color w:val="C9762A"/>
          <w:spacing w:val="25"/>
          <w:sz w:val="16"/>
          <w:szCs w:val="16"/>
        </w:rPr>
        <w:t xml:space="preserve">STAGE 6  </w:t>
      </w:r>
      <w:r>
        <w:rPr>
          <w:rFonts w:ascii="Georgia" w:cs="Georgia" w:eastAsia="Georgia" w:hAnsi="Georgia"/>
          <w:b/>
          <w:bCs/>
          <w:color w:val="2C2422"/>
          <w:sz w:val="23"/>
          <w:szCs w:val="23"/>
        </w:rPr>
        <w:t xml:space="preserve">Reward release</w:t>
      </w:r>
      <w:r>
        <w:rPr>
          <w:rFonts w:ascii="Calibri" w:cs="Calibri" w:eastAsia="Calibri" w:hAnsi="Calibri"/>
          <w:b/>
          <w:bCs/>
          <w:i/>
          <w:iCs/>
          <w:color w:val="4F6B15"/>
          <w:sz w:val="16"/>
          <w:szCs w:val="16"/>
        </w:rPr>
        <w:t xml:space="preserve">   Closes the loop</w:t>
      </w:r>
    </w:p>
    <w:p>
      <w:pPr>
        <w:spacing w:after="140" w:line="276"/>
      </w:pPr>
      <w:r>
        <w:rPr>
          <w:rFonts w:ascii="Calibri" w:cs="Calibri" w:eastAsia="Calibri" w:hAnsi="Calibri"/>
          <w:b w:val="false"/>
          <w:bCs w:val="false"/>
          <w:i w:val="false"/>
          <w:iCs w:val="false"/>
          <w:color w:val="2C2422"/>
          <w:sz w:val="21"/>
          <w:szCs w:val="21"/>
        </w:rPr>
        <w:t xml:space="preserve">A pass verdict makes the participation eligible for its reward tier — the pre-event ticket subsidy for the first band of respondents, a discount or merchandise code post-event for verified attendees. The tier and code machinery is already built; this build supplies the condition that unlocks it. Today that decision is made by an admin by hand, and the place in the code where the check belongs is already marked and waiting for it.</w:t>
      </w:r>
    </w:p>
    <w:p>
      <w:pPr>
        <w:pStyle w:val="Heading1"/>
        <w:spacing w:after="120" w:before="460"/>
      </w:pPr>
      <w:r>
        <w:rPr>
          <w:rFonts w:ascii="Georgia" w:cs="Georgia" w:eastAsia="Georgia" w:hAnsi="Georgia"/>
          <w:b/>
          <w:bCs/>
          <w:color w:val="C9762A"/>
          <w:sz w:val="22"/>
          <w:szCs w:val="22"/>
        </w:rPr>
        <w:t xml:space="preserve">04   </w:t>
      </w:r>
      <w:r>
        <w:rPr>
          <w:rFonts w:ascii="Georgia" w:cs="Georgia" w:eastAsia="Georgia" w:hAnsi="Georgia"/>
          <w:b/>
          <w:bCs/>
          <w:color w:val="2C2422"/>
          <w:sz w:val="30"/>
          <w:szCs w:val="30"/>
        </w:rPr>
        <w:t xml:space="preserve">What admin sees, and what admin decides</w:t>
      </w:r>
    </w:p>
    <w:p>
      <w:pPr>
        <w:spacing w:after="140" w:line="276"/>
      </w:pPr>
      <w:r>
        <w:rPr>
          <w:rFonts w:ascii="Calibri" w:cs="Calibri" w:eastAsia="Calibri" w:hAnsi="Calibri"/>
          <w:b w:val="false"/>
          <w:bCs w:val="false"/>
          <w:i w:val="false"/>
          <w:iCs w:val="false"/>
          <w:color w:val="6F6360"/>
          <w:sz w:val="21"/>
          <w:szCs w:val="21"/>
        </w:rPr>
        <w:t xml:space="preserve">The engine grades every response, but a person makes the final call on the borderline ones. This section is what that person is looking at, and what their decision sets off.</w:t>
      </w:r>
    </w:p>
    <w:p>
      <w:pPr>
        <w:pStyle w:val="Heading2"/>
        <w:spacing w:after="100" w:before="300"/>
      </w:pPr>
      <w:r>
        <w:rPr>
          <w:rFonts w:ascii="Georgia" w:cs="Georgia" w:eastAsia="Georgia" w:hAnsi="Georgia"/>
          <w:b/>
          <w:bCs/>
          <w:color w:val="2C2422"/>
          <w:sz w:val="23"/>
          <w:szCs w:val="23"/>
        </w:rPr>
        <w:t xml:space="preserve">Admin only ever works one band</w:t>
      </w:r>
    </w:p>
    <w:p>
      <w:pPr>
        <w:spacing w:after="140" w:line="276"/>
      </w:pPr>
      <w:r>
        <w:rPr>
          <w:rFonts w:ascii="Calibri" w:cs="Calibri" w:eastAsia="Calibri" w:hAnsi="Calibri"/>
          <w:b w:val="false"/>
          <w:bCs w:val="false"/>
          <w:i w:val="false"/>
          <w:iCs w:val="false"/>
          <w:color w:val="2C2422"/>
          <w:sz w:val="21"/>
          <w:szCs w:val="21"/>
        </w:rPr>
        <w:t xml:space="preserve">Bot and fraud submissions are removed in the backend and never become something to review — that would waste the reviewer's attention on exactly the submissions that deserve none of it. Four outcomes, only one of which costs admin any time:</w:t>
      </w:r>
    </w:p>
    <w:tbl>
      <w:tblPr>
        <w:tblW w:type="dxa" w:w="9638"/>
        <w:tblBorders>
          <w:top w:val="single" w:color="E6DBCF" w:sz="4"/>
          <w:left w:val="single" w:color="E6DBCF" w:sz="4"/>
          <w:bottom w:val="single" w:color="E6DBCF" w:sz="4"/>
          <w:right w:val="single" w:color="E6DBCF" w:sz="4"/>
          <w:insideH w:val="single" w:color="E6DBCF" w:sz="4"/>
          <w:insideV w:val="single" w:color="E6DBCF" w:sz="4"/>
        </w:tblBorders>
      </w:tblPr>
      <w:tblGrid>
        <w:gridCol w:w="1700"/>
        <w:gridCol w:w="2000"/>
        <w:gridCol w:w="5938"/>
      </w:tblGrid>
      <w:tr>
        <w:trPr>
          <w:tblHeader/>
        </w:trPr>
        <w:tc>
          <w:tcPr>
            <w:tcW w:type="dxa" w:w="1700"/>
            <w:shd w:fill="F6EFE6" w:color="auto" w:val="clear"/>
            <w:tcMar>
              <w:top w:type="dxa" w:w="110"/>
              <w:left w:type="dxa" w:w="140"/>
              <w:bottom w:type="dxa" w:w="110"/>
              <w:right w:type="dxa" w:w="140"/>
            </w:tcMar>
          </w:tcPr>
          <w:p>
            <w:r>
              <w:rPr>
                <w:rFonts w:ascii="Georgia" w:cs="Georgia" w:eastAsia="Georgia" w:hAnsi="Georgia"/>
                <w:b/>
                <w:bCs/>
                <w:color w:val="8D7C75"/>
                <w:spacing w:val="25"/>
                <w:sz w:val="14"/>
                <w:szCs w:val="14"/>
              </w:rPr>
              <w:t xml:space="preserve">OUTCOME</w:t>
            </w:r>
          </w:p>
        </w:tc>
        <w:tc>
          <w:tcPr>
            <w:tcW w:type="dxa" w:w="2000"/>
            <w:shd w:fill="F6EFE6" w:color="auto" w:val="clear"/>
            <w:tcMar>
              <w:top w:type="dxa" w:w="110"/>
              <w:left w:type="dxa" w:w="140"/>
              <w:bottom w:type="dxa" w:w="110"/>
              <w:right w:type="dxa" w:w="140"/>
            </w:tcMar>
          </w:tcPr>
          <w:p>
            <w:r>
              <w:rPr>
                <w:rFonts w:ascii="Georgia" w:cs="Georgia" w:eastAsia="Georgia" w:hAnsi="Georgia"/>
                <w:b/>
                <w:bCs/>
                <w:color w:val="8D7C75"/>
                <w:spacing w:val="25"/>
                <w:sz w:val="14"/>
                <w:szCs w:val="14"/>
              </w:rPr>
              <w:t xml:space="preserve">HANDLED BY</w:t>
            </w:r>
          </w:p>
        </w:tc>
        <w:tc>
          <w:tcPr>
            <w:tcW w:type="dxa" w:w="5938"/>
            <w:shd w:fill="F6EFE6" w:color="auto" w:val="clear"/>
            <w:tcMar>
              <w:top w:type="dxa" w:w="110"/>
              <w:left w:type="dxa" w:w="140"/>
              <w:bottom w:type="dxa" w:w="110"/>
              <w:right w:type="dxa" w:w="140"/>
            </w:tcMar>
          </w:tcPr>
          <w:p>
            <w:r>
              <w:rPr>
                <w:rFonts w:ascii="Georgia" w:cs="Georgia" w:eastAsia="Georgia" w:hAnsi="Georgia"/>
                <w:b/>
                <w:bCs/>
                <w:color w:val="8D7C75"/>
                <w:spacing w:val="25"/>
                <w:sz w:val="14"/>
                <w:szCs w:val="14"/>
              </w:rPr>
              <w:t xml:space="preserve">WHAT HAPPENS TO IT</w:t>
            </w:r>
          </w:p>
        </w:tc>
      </w:tr>
      <w:tr>
        <w:tc>
          <w:tcPr>
            <w:tcW w:type="dxa" w:w="1700"/>
            <w:tcMar>
              <w:top w:type="dxa" w:w="110"/>
              <w:left w:type="dxa" w:w="140"/>
              <w:bottom w:type="dxa" w:w="110"/>
              <w:right w:type="dxa" w:w="140"/>
            </w:tcMar>
          </w:tcPr>
          <w:p>
            <w:pPr>
              <w:spacing w:line="260"/>
            </w:pPr>
            <w:r>
              <w:rPr>
                <w:rFonts w:ascii="Calibri" w:cs="Calibri" w:eastAsia="Calibri" w:hAnsi="Calibri"/>
                <w:b/>
                <w:bCs/>
                <w:i w:val="false"/>
                <w:iCs w:val="false"/>
                <w:color w:val="2C2422"/>
                <w:sz w:val="20"/>
                <w:szCs w:val="20"/>
              </w:rPr>
              <w:t xml:space="preserve">Hard fraud</w:t>
            </w:r>
          </w:p>
        </w:tc>
        <w:tc>
          <w:tcPr>
            <w:tcW w:type="dxa" w:w="2000"/>
            <w:tcMar>
              <w:top w:type="dxa" w:w="110"/>
              <w:left w:type="dxa" w:w="140"/>
              <w:bottom w:type="dxa" w:w="110"/>
              <w:right w:type="dxa" w:w="140"/>
            </w:tcMar>
          </w:tcPr>
          <w:p>
            <w:pPr>
              <w:spacing w:line="260"/>
            </w:pPr>
            <w:r>
              <w:rPr>
                <w:rFonts w:ascii="Calibri" w:cs="Calibri" w:eastAsia="Calibri" w:hAnsi="Calibri"/>
                <w:b/>
                <w:bCs/>
                <w:i w:val="false"/>
                <w:iCs w:val="false"/>
                <w:color w:val="A02C4A"/>
                <w:sz w:val="20"/>
                <w:szCs w:val="20"/>
              </w:rPr>
              <w:t xml:space="preserve">Backend, final</w:t>
            </w:r>
          </w:p>
        </w:tc>
        <w:tc>
          <w:tcPr>
            <w:tcW w:type="dxa" w:w="5938"/>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Missing or invalid CAPTCHA token, honeypot filled, rate limit breached, or an exact duplicate of an identity that already responded. Never reaches a queue. Logged for the audit trail and counted in the campaign's statistics, but no reviewer sees it.</w:t>
            </w:r>
          </w:p>
        </w:tc>
      </w:tr>
      <w:tr>
        <w:tc>
          <w:tcPr>
            <w:tcW w:type="dxa" w:w="1700"/>
            <w:tcMar>
              <w:top w:type="dxa" w:w="110"/>
              <w:left w:type="dxa" w:w="140"/>
              <w:bottom w:type="dxa" w:w="110"/>
              <w:right w:type="dxa" w:w="140"/>
            </w:tcMar>
          </w:tcPr>
          <w:p>
            <w:pPr>
              <w:spacing w:line="260"/>
            </w:pPr>
            <w:r>
              <w:rPr>
                <w:rFonts w:ascii="Calibri" w:cs="Calibri" w:eastAsia="Calibri" w:hAnsi="Calibri"/>
                <w:b/>
                <w:bCs/>
                <w:i w:val="false"/>
                <w:iCs w:val="false"/>
                <w:color w:val="2C2422"/>
                <w:sz w:val="20"/>
                <w:szCs w:val="20"/>
              </w:rPr>
              <w:t xml:space="preserve">Under 60</w:t>
            </w:r>
          </w:p>
        </w:tc>
        <w:tc>
          <w:tcPr>
            <w:tcW w:type="dxa" w:w="2000"/>
            <w:tcMar>
              <w:top w:type="dxa" w:w="110"/>
              <w:left w:type="dxa" w:w="140"/>
              <w:bottom w:type="dxa" w:w="110"/>
              <w:right w:type="dxa" w:w="140"/>
            </w:tcMar>
          </w:tcPr>
          <w:p>
            <w:pPr>
              <w:spacing w:line="260"/>
            </w:pPr>
            <w:r>
              <w:rPr>
                <w:rFonts w:ascii="Calibri" w:cs="Calibri" w:eastAsia="Calibri" w:hAnsi="Calibri"/>
                <w:b w:val="false"/>
                <w:bCs w:val="false"/>
                <w:i w:val="false"/>
                <w:iCs w:val="false"/>
                <w:color w:val="A02C4A"/>
                <w:sz w:val="20"/>
                <w:szCs w:val="20"/>
              </w:rPr>
              <w:t xml:space="preserve">Automatic</w:t>
            </w:r>
          </w:p>
        </w:tc>
        <w:tc>
          <w:tcPr>
            <w:tcW w:type="dxa" w:w="5938"/>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Rejected, no reward. Sits in a “rejected” tab so admin can overturn it if the person gets in touch — but it is not in the working queue.</w:t>
            </w:r>
          </w:p>
        </w:tc>
      </w:tr>
      <w:tr>
        <w:tc>
          <w:tcPr>
            <w:tcW w:type="dxa" w:w="1700"/>
            <w:tcMar>
              <w:top w:type="dxa" w:w="110"/>
              <w:left w:type="dxa" w:w="140"/>
              <w:bottom w:type="dxa" w:w="110"/>
              <w:right w:type="dxa" w:w="140"/>
            </w:tcMar>
          </w:tcPr>
          <w:p>
            <w:pPr>
              <w:spacing w:line="260"/>
            </w:pPr>
            <w:r>
              <w:rPr>
                <w:rFonts w:ascii="Calibri" w:cs="Calibri" w:eastAsia="Calibri" w:hAnsi="Calibri"/>
                <w:b/>
                <w:bCs/>
                <w:i w:val="false"/>
                <w:iCs w:val="false"/>
                <w:color w:val="2C2422"/>
                <w:sz w:val="20"/>
                <w:szCs w:val="20"/>
              </w:rPr>
              <w:t xml:space="preserve">60 – 79</w:t>
            </w:r>
          </w:p>
        </w:tc>
        <w:tc>
          <w:tcPr>
            <w:tcW w:type="dxa" w:w="2000"/>
            <w:tcMar>
              <w:top w:type="dxa" w:w="110"/>
              <w:left w:type="dxa" w:w="140"/>
              <w:bottom w:type="dxa" w:w="110"/>
              <w:right w:type="dxa" w:w="140"/>
            </w:tcMar>
          </w:tcPr>
          <w:p>
            <w:pPr>
              <w:spacing w:line="260"/>
            </w:pPr>
            <w:r>
              <w:rPr>
                <w:rFonts w:ascii="Calibri" w:cs="Calibri" w:eastAsia="Calibri" w:hAnsi="Calibri"/>
                <w:b/>
                <w:bCs/>
                <w:i w:val="false"/>
                <w:iCs w:val="false"/>
                <w:color w:val="6F57A8"/>
                <w:sz w:val="20"/>
                <w:szCs w:val="20"/>
              </w:rPr>
              <w:t xml:space="preserve">Admin</w:t>
            </w:r>
          </w:p>
        </w:tc>
        <w:tc>
          <w:tcPr>
            <w:tcW w:type="dxa" w:w="5938"/>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The review queue. This is the only band that needs a human, and the only screen admin works day to day.</w:t>
            </w:r>
          </w:p>
        </w:tc>
      </w:tr>
      <w:tr>
        <w:tc>
          <w:tcPr>
            <w:tcW w:type="dxa" w:w="1700"/>
            <w:tcMar>
              <w:top w:type="dxa" w:w="110"/>
              <w:left w:type="dxa" w:w="140"/>
              <w:bottom w:type="dxa" w:w="110"/>
              <w:right w:type="dxa" w:w="140"/>
            </w:tcMar>
          </w:tcPr>
          <w:p>
            <w:pPr>
              <w:spacing w:line="260"/>
            </w:pPr>
            <w:r>
              <w:rPr>
                <w:rFonts w:ascii="Calibri" w:cs="Calibri" w:eastAsia="Calibri" w:hAnsi="Calibri"/>
                <w:b/>
                <w:bCs/>
                <w:i w:val="false"/>
                <w:iCs w:val="false"/>
                <w:color w:val="2C2422"/>
                <w:sz w:val="20"/>
                <w:szCs w:val="20"/>
              </w:rPr>
              <w:t xml:space="preserve">80 – 100</w:t>
            </w:r>
          </w:p>
        </w:tc>
        <w:tc>
          <w:tcPr>
            <w:tcW w:type="dxa" w:w="2000"/>
            <w:tcMar>
              <w:top w:type="dxa" w:w="110"/>
              <w:left w:type="dxa" w:w="140"/>
              <w:bottom w:type="dxa" w:w="110"/>
              <w:right w:type="dxa" w:w="140"/>
            </w:tcMar>
          </w:tcPr>
          <w:p>
            <w:pPr>
              <w:spacing w:line="260"/>
            </w:pPr>
            <w:r>
              <w:rPr>
                <w:rFonts w:ascii="Calibri" w:cs="Calibri" w:eastAsia="Calibri" w:hAnsi="Calibri"/>
                <w:b w:val="false"/>
                <w:bCs w:val="false"/>
                <w:i w:val="false"/>
                <w:iCs w:val="false"/>
                <w:color w:val="4F6B15"/>
                <w:sz w:val="20"/>
                <w:szCs w:val="20"/>
              </w:rPr>
              <w:t xml:space="preserve">Automatic</w:t>
            </w:r>
          </w:p>
        </w:tc>
        <w:tc>
          <w:tcPr>
            <w:tcW w:type="dxa" w:w="5938"/>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Eligible for the reward tier. No admin action needed unless they choose to spot check.</w:t>
            </w:r>
          </w:p>
        </w:tc>
      </w:tr>
    </w:tbl>
    <w:p>
      <w:pPr>
        <w:spacing w:after="160"/>
      </w:pPr>
      <w:r>
        <w:rPr>
          <w:sz w:val="2"/>
          <w:szCs w:val="2"/>
        </w:rPr>
        <w:t xml:space="preserve"/>
      </w:r>
    </w:p>
    <w:p>
      <w:pPr>
        <w:spacing w:after="140" w:line="276"/>
      </w:pPr>
      <w:r>
        <w:rPr>
          <w:rFonts w:ascii="Calibri" w:cs="Calibri" w:eastAsia="Calibri" w:hAnsi="Calibri"/>
          <w:b w:val="false"/>
          <w:bCs w:val="false"/>
          <w:i w:val="false"/>
          <w:iCs w:val="false"/>
          <w:color w:val="2C2422"/>
          <w:sz w:val="21"/>
          <w:szCs w:val="21"/>
        </w:rPr>
        <w:t xml:space="preserve">The distinction that makes this work: a </w:t>
      </w:r>
      <w:r>
        <w:rPr>
          <w:rFonts w:ascii="Calibri" w:cs="Calibri" w:eastAsia="Calibri" w:hAnsi="Calibri"/>
          <w:b/>
          <w:bCs/>
          <w:i w:val="false"/>
          <w:iCs w:val="false"/>
          <w:color w:val="2C2422"/>
          <w:sz w:val="21"/>
          <w:szCs w:val="21"/>
        </w:rPr>
        <w:t xml:space="preserve">hard</w:t>
      </w:r>
      <w:r>
        <w:rPr>
          <w:rFonts w:ascii="Calibri" w:cs="Calibri" w:eastAsia="Calibri" w:hAnsi="Calibri"/>
          <w:b w:val="false"/>
          <w:bCs w:val="false"/>
          <w:i w:val="false"/>
          <w:iCs w:val="false"/>
          <w:color w:val="2C2422"/>
          <w:sz w:val="21"/>
          <w:szCs w:val="21"/>
        </w:rPr>
        <w:t xml:space="preserve"> signal is proof of a bot and is terminal on its own; a </w:t>
      </w:r>
      <w:r>
        <w:rPr>
          <w:rFonts w:ascii="Calibri" w:cs="Calibri" w:eastAsia="Calibri" w:hAnsi="Calibri"/>
          <w:b/>
          <w:bCs/>
          <w:i w:val="false"/>
          <w:iCs w:val="false"/>
          <w:color w:val="2C2422"/>
          <w:sz w:val="21"/>
          <w:szCs w:val="21"/>
        </w:rPr>
        <w:t xml:space="preserve">soft</w:t>
      </w:r>
      <w:r>
        <w:rPr>
          <w:rFonts w:ascii="Calibri" w:cs="Calibri" w:eastAsia="Calibri" w:hAnsi="Calibri"/>
          <w:b w:val="false"/>
          <w:bCs w:val="false"/>
          <w:i w:val="false"/>
          <w:iCs w:val="false"/>
          <w:color w:val="2C2422"/>
          <w:sz w:val="21"/>
          <w:szCs w:val="21"/>
        </w:rPr>
        <w:t xml:space="preserve"> signal (finishing quickly, one attention check missed) only moves the score. Treating a soft signal as terminal would reject real people; treating a hard one as a score deduction would put hundreds of bot submissions in front of a reviewer.</w:t>
      </w:r>
    </w:p>
    <w:p>
      <w:pPr>
        <w:pStyle w:val="Heading2"/>
        <w:spacing w:after="100" w:before="300"/>
      </w:pPr>
      <w:r>
        <w:rPr>
          <w:rFonts w:ascii="Georgia" w:cs="Georgia" w:eastAsia="Georgia" w:hAnsi="Georgia"/>
          <w:b/>
          <w:bCs/>
          <w:color w:val="2C2422"/>
          <w:sz w:val="23"/>
          <w:szCs w:val="23"/>
        </w:rPr>
        <w:t xml:space="preserve">The individual response screen</w:t>
      </w:r>
    </w:p>
    <w:p>
      <w:pPr>
        <w:spacing w:after="140" w:line="276"/>
      </w:pPr>
      <w:r>
        <w:rPr>
          <w:rFonts w:ascii="Calibri" w:cs="Calibri" w:eastAsia="Calibri" w:hAnsi="Calibri"/>
          <w:b w:val="false"/>
          <w:bCs w:val="false"/>
          <w:i w:val="false"/>
          <w:iCs w:val="false"/>
          <w:color w:val="2C2422"/>
          <w:sz w:val="21"/>
          <w:szCs w:val="21"/>
        </w:rPr>
        <w:t xml:space="preserve">Opening one response from the queue shows four blocks, in this order:</w:t>
      </w:r>
    </w:p>
    <w:tbl>
      <w:tblPr>
        <w:tblW w:type="dxa" w:w="9638"/>
        <w:tblBorders>
          <w:top w:val="single" w:color="E6DBCF" w:sz="4"/>
          <w:left w:val="single" w:color="E6DBCF" w:sz="4"/>
          <w:bottom w:val="single" w:color="E6DBCF" w:sz="4"/>
          <w:right w:val="single" w:color="E6DBCF" w:sz="4"/>
          <w:insideH w:val="single" w:color="E6DBCF" w:sz="4"/>
          <w:insideV w:val="single" w:color="E6DBCF" w:sz="4"/>
        </w:tblBorders>
      </w:tblPr>
      <w:tblGrid>
        <w:gridCol w:w="2600"/>
        <w:gridCol w:w="7038"/>
      </w:tblGrid>
      <w:tr>
        <w:trPr>
          <w:tblHeader/>
        </w:trPr>
        <w:tc>
          <w:tcPr>
            <w:tcW w:type="dxa" w:w="2600"/>
            <w:shd w:fill="F6EFE6" w:color="auto" w:val="clear"/>
            <w:tcMar>
              <w:top w:type="dxa" w:w="110"/>
              <w:left w:type="dxa" w:w="140"/>
              <w:bottom w:type="dxa" w:w="110"/>
              <w:right w:type="dxa" w:w="140"/>
            </w:tcMar>
          </w:tcPr>
          <w:p>
            <w:r>
              <w:rPr>
                <w:rFonts w:ascii="Georgia" w:cs="Georgia" w:eastAsia="Georgia" w:hAnsi="Georgia"/>
                <w:b/>
                <w:bCs/>
                <w:color w:val="8D7C75"/>
                <w:spacing w:val="25"/>
                <w:sz w:val="14"/>
                <w:szCs w:val="14"/>
              </w:rPr>
              <w:t xml:space="preserve">BLOCK</w:t>
            </w:r>
          </w:p>
        </w:tc>
        <w:tc>
          <w:tcPr>
            <w:tcW w:type="dxa" w:w="7038"/>
            <w:shd w:fill="F6EFE6" w:color="auto" w:val="clear"/>
            <w:tcMar>
              <w:top w:type="dxa" w:w="110"/>
              <w:left w:type="dxa" w:w="140"/>
              <w:bottom w:type="dxa" w:w="110"/>
              <w:right w:type="dxa" w:w="140"/>
            </w:tcMar>
          </w:tcPr>
          <w:p>
            <w:r>
              <w:rPr>
                <w:rFonts w:ascii="Georgia" w:cs="Georgia" w:eastAsia="Georgia" w:hAnsi="Georgia"/>
                <w:b/>
                <w:bCs/>
                <w:color w:val="8D7C75"/>
                <w:spacing w:val="25"/>
                <w:sz w:val="14"/>
                <w:szCs w:val="14"/>
              </w:rPr>
              <w:t xml:space="preserve">SHOWS</w:t>
            </w:r>
          </w:p>
        </w:tc>
      </w:tr>
      <w:tr>
        <w:tc>
          <w:tcPr>
            <w:tcW w:type="dxa" w:w="2600"/>
            <w:tcMar>
              <w:top w:type="dxa" w:w="110"/>
              <w:left w:type="dxa" w:w="140"/>
              <w:bottom w:type="dxa" w:w="110"/>
              <w:right w:type="dxa" w:w="140"/>
            </w:tcMar>
          </w:tcPr>
          <w:p>
            <w:pPr>
              <w:spacing w:line="260"/>
            </w:pPr>
            <w:r>
              <w:rPr>
                <w:rFonts w:ascii="Calibri" w:cs="Calibri" w:eastAsia="Calibri" w:hAnsi="Calibri"/>
                <w:b/>
                <w:bCs/>
                <w:i w:val="false"/>
                <w:iCs w:val="false"/>
                <w:color w:val="2C2422"/>
                <w:sz w:val="20"/>
                <w:szCs w:val="20"/>
              </w:rPr>
              <w:t xml:space="preserve">1. Who this is</w:t>
            </w:r>
          </w:p>
        </w:tc>
        <w:tc>
          <w:tcPr>
            <w:tcW w:type="dxa" w:w="7038"/>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Name, contact details, the event and whether this is the pre- or post-event survey, when it was submitted and how long it took. Their participation status — ticket uploaded, attendance verified — plus how many surveys they have completed before and how those scored. Repeat good respondents are visible as such.</w:t>
            </w:r>
          </w:p>
        </w:tc>
      </w:tr>
      <w:tr>
        <w:tc>
          <w:tcPr>
            <w:tcW w:type="dxa" w:w="2600"/>
            <w:tcMar>
              <w:top w:type="dxa" w:w="110"/>
              <w:left w:type="dxa" w:w="140"/>
              <w:bottom w:type="dxa" w:w="110"/>
              <w:right w:type="dxa" w:w="140"/>
            </w:tcMar>
          </w:tcPr>
          <w:p>
            <w:pPr>
              <w:spacing w:line="260"/>
            </w:pPr>
            <w:r>
              <w:rPr>
                <w:rFonts w:ascii="Calibri" w:cs="Calibri" w:eastAsia="Calibri" w:hAnsi="Calibri"/>
                <w:b/>
                <w:bCs/>
                <w:i w:val="false"/>
                <w:iCs w:val="false"/>
                <w:color w:val="2C2422"/>
                <w:sz w:val="20"/>
                <w:szCs w:val="20"/>
              </w:rPr>
              <w:t xml:space="preserve">2. The score, with its reasons</w:t>
            </w:r>
          </w:p>
        </w:tc>
        <w:tc>
          <w:tcPr>
            <w:tcW w:type="dxa" w:w="7038"/>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The number out of 100, then every signal as its own line: sub-score, weight, contribution, verdict, and the evidence that triggered it.</w:t>
            </w:r>
          </w:p>
        </w:tc>
      </w:tr>
      <w:tr>
        <w:tc>
          <w:tcPr>
            <w:tcW w:type="dxa" w:w="2600"/>
            <w:tcMar>
              <w:top w:type="dxa" w:w="110"/>
              <w:left w:type="dxa" w:w="140"/>
              <w:bottom w:type="dxa" w:w="110"/>
              <w:right w:type="dxa" w:w="140"/>
            </w:tcMar>
          </w:tcPr>
          <w:p>
            <w:pPr>
              <w:spacing w:line="260"/>
            </w:pPr>
            <w:r>
              <w:rPr>
                <w:rFonts w:ascii="Calibri" w:cs="Calibri" w:eastAsia="Calibri" w:hAnsi="Calibri"/>
                <w:b/>
                <w:bCs/>
                <w:i w:val="false"/>
                <w:iCs w:val="false"/>
                <w:color w:val="2C2422"/>
                <w:sz w:val="20"/>
                <w:szCs w:val="20"/>
              </w:rPr>
              <w:t xml:space="preserve">3. Their answers</w:t>
            </w:r>
          </w:p>
        </w:tc>
        <w:tc>
          <w:tcPr>
            <w:tcW w:type="dxa" w:w="7038"/>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Every answer in form order with the time spent on each, and the flags shown inline against the answers that caused them. Attention checks marked as such, with the expected answer beside the given one.</w:t>
            </w:r>
          </w:p>
        </w:tc>
      </w:tr>
      <w:tr>
        <w:tc>
          <w:tcPr>
            <w:tcW w:type="dxa" w:w="2600"/>
            <w:tcMar>
              <w:top w:type="dxa" w:w="110"/>
              <w:left w:type="dxa" w:w="140"/>
              <w:bottom w:type="dxa" w:w="110"/>
              <w:right w:type="dxa" w:w="140"/>
            </w:tcMar>
          </w:tcPr>
          <w:p>
            <w:pPr>
              <w:spacing w:line="260"/>
            </w:pPr>
            <w:r>
              <w:rPr>
                <w:rFonts w:ascii="Calibri" w:cs="Calibri" w:eastAsia="Calibri" w:hAnsi="Calibri"/>
                <w:b/>
                <w:bCs/>
                <w:i w:val="false"/>
                <w:iCs w:val="false"/>
                <w:color w:val="2C2422"/>
                <w:sz w:val="20"/>
                <w:szCs w:val="20"/>
              </w:rPr>
              <w:t xml:space="preserve">4. The decision</w:t>
            </w:r>
          </w:p>
        </w:tc>
        <w:tc>
          <w:tcPr>
            <w:tcW w:type="dxa" w:w="7038"/>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Approve or reject, with a reason box — required on a rejection and on any override of the engine. Which reward tier they would receive is shown next to the buttons, so the decision is made knowing what it costs.</w:t>
            </w:r>
          </w:p>
        </w:tc>
      </w:tr>
    </w:tbl>
    <w:p>
      <w:pPr>
        <w:spacing w:after="160"/>
      </w:pPr>
      <w:r>
        <w:rPr>
          <w:sz w:val="2"/>
          <w:szCs w:val="2"/>
        </w:rPr>
        <w:t xml:space="preserve"/>
      </w:r>
    </w:p>
    <w:p>
      <w:pPr>
        <w:spacing w:after="140" w:line="276"/>
      </w:pPr>
      <w:r>
        <w:rPr>
          <w:rFonts w:ascii="Calibri" w:cs="Calibri" w:eastAsia="Calibri" w:hAnsi="Calibri"/>
          <w:b w:val="false"/>
          <w:bCs w:val="false"/>
          <w:i w:val="false"/>
          <w:iCs w:val="false"/>
          <w:color w:val="2C2422"/>
          <w:sz w:val="21"/>
          <w:szCs w:val="21"/>
        </w:rPr>
        <w:t xml:space="preserve">Block 2 is the one that determines whether this screen is usable. A bare score of 68 is not something anyone can act on; the same 68 with its reasons attached is a fifteen-second decision:</w:t>
      </w:r>
    </w:p>
    <w:tbl>
      <w:tblPr>
        <w:tblW w:type="dxa" w:w="9638"/>
        <w:tblBorders>
          <w:top w:val="single" w:color="E6DBCF" w:sz="4"/>
          <w:left w:val="none" w:color="auto" w:sz="0"/>
          <w:bottom w:val="single" w:color="E6DBCF" w:sz="4"/>
          <w:right w:val="none" w:color="auto" w:sz="0"/>
          <w:insideH w:val="single" w:color="E6DBCF" w:sz="4"/>
          <w:insideV w:val="none" w:color="auto" w:sz="0"/>
        </w:tblBorders>
      </w:tblPr>
      <w:tblGrid>
        <w:gridCol w:w="3000"/>
        <w:gridCol w:w="1700"/>
        <w:gridCol w:w="4938"/>
      </w:tblGrid>
      <w:tr>
        <w:tc>
          <w:tcPr>
            <w:tcW w:type="dxa" w:w="3000"/>
            <w:shd w:fill="F6EFE6" w:color="auto" w:val="clear"/>
            <w:tcMar>
              <w:top w:type="dxa" w:w="110"/>
              <w:left w:type="dxa" w:w="140"/>
              <w:bottom w:type="dxa" w:w="110"/>
              <w:right w:type="dxa" w:w="140"/>
            </w:tcMar>
          </w:tcPr>
          <w:p>
            <w:r>
              <w:rPr>
                <w:rFonts w:ascii="Georgia" w:cs="Georgia" w:eastAsia="Georgia" w:hAnsi="Georgia"/>
                <w:b/>
                <w:bCs/>
                <w:color w:val="2C2422"/>
                <w:sz w:val="18"/>
                <w:szCs w:val="18"/>
              </w:rPr>
              <w:t xml:space="preserve">Straight-lining</w:t>
            </w:r>
          </w:p>
        </w:tc>
        <w:tc>
          <w:tcPr>
            <w:tcW w:type="dxa" w:w="1700"/>
            <w:shd w:fill="F6EFE6" w:color="auto" w:val="clear"/>
            <w:tcMar>
              <w:top w:type="dxa" w:w="110"/>
              <w:left w:type="dxa" w:w="140"/>
              <w:bottom w:type="dxa" w:w="110"/>
              <w:right w:type="dxa" w:w="140"/>
            </w:tcMar>
          </w:tcPr>
          <w:p>
            <w:r>
              <w:rPr>
                <w:rFonts w:ascii="Georgia" w:cs="Georgia" w:eastAsia="Georgia" w:hAnsi="Georgia"/>
                <w:b/>
                <w:bCs/>
                <w:color w:val="A02C4A"/>
                <w:sz w:val="17"/>
                <w:szCs w:val="17"/>
              </w:rPr>
              <w:t xml:space="preserve">Failed · −18</w:t>
            </w:r>
          </w:p>
        </w:tc>
        <w:tc>
          <w:tcPr>
            <w:tcW w:type="dxa" w:w="4938"/>
            <w:shd w:fill="F6EFE6" w:color="auto" w:val="clear"/>
            <w:tcMar>
              <w:top w:type="dxa" w:w="110"/>
              <w:left w:type="dxa" w:w="140"/>
              <w:bottom w:type="dxa" w:w="110"/>
              <w:right w:type="dxa" w:w="140"/>
            </w:tcMar>
          </w:tcPr>
          <w:p>
            <w:r>
              <w:rPr>
                <w:rFonts w:ascii="Consolas" w:cs="Consolas" w:eastAsia="Consolas" w:hAnsi="Consolas"/>
                <w:color w:val="6F6360"/>
                <w:sz w:val="17"/>
                <w:szCs w:val="17"/>
              </w:rPr>
              <w:t xml:space="preserve">Q4–Q9 all answered “4”. No variation across six scale questions.</w:t>
            </w:r>
          </w:p>
        </w:tc>
      </w:tr>
      <w:tr>
        <w:tc>
          <w:tcPr>
            <w:tcW w:type="dxa" w:w="3000"/>
            <w:shd w:fill="F6EFE6" w:color="auto" w:val="clear"/>
            <w:tcMar>
              <w:top w:type="dxa" w:w="110"/>
              <w:left w:type="dxa" w:w="140"/>
              <w:bottom w:type="dxa" w:w="110"/>
              <w:right w:type="dxa" w:w="140"/>
            </w:tcMar>
          </w:tcPr>
          <w:p>
            <w:r>
              <w:rPr>
                <w:rFonts w:ascii="Georgia" w:cs="Georgia" w:eastAsia="Georgia" w:hAnsi="Georgia"/>
                <w:b/>
                <w:bCs/>
                <w:color w:val="2C2422"/>
                <w:sz w:val="18"/>
                <w:szCs w:val="18"/>
              </w:rPr>
              <w:t xml:space="preserve">Completion time</w:t>
            </w:r>
          </w:p>
        </w:tc>
        <w:tc>
          <w:tcPr>
            <w:tcW w:type="dxa" w:w="1700"/>
            <w:shd w:fill="F6EFE6" w:color="auto" w:val="clear"/>
            <w:tcMar>
              <w:top w:type="dxa" w:w="110"/>
              <w:left w:type="dxa" w:w="140"/>
              <w:bottom w:type="dxa" w:w="110"/>
              <w:right w:type="dxa" w:w="140"/>
            </w:tcMar>
          </w:tcPr>
          <w:p>
            <w:r>
              <w:rPr>
                <w:rFonts w:ascii="Georgia" w:cs="Georgia" w:eastAsia="Georgia" w:hAnsi="Georgia"/>
                <w:b/>
                <w:bCs/>
                <w:color w:val="C9762A"/>
                <w:sz w:val="17"/>
                <w:szCs w:val="17"/>
              </w:rPr>
              <w:t xml:space="preserve">Warning · −8</w:t>
            </w:r>
          </w:p>
        </w:tc>
        <w:tc>
          <w:tcPr>
            <w:tcW w:type="dxa" w:w="4938"/>
            <w:shd w:fill="F6EFE6" w:color="auto" w:val="clear"/>
            <w:tcMar>
              <w:top w:type="dxa" w:w="110"/>
              <w:left w:type="dxa" w:w="140"/>
              <w:bottom w:type="dxa" w:w="110"/>
              <w:right w:type="dxa" w:w="140"/>
            </w:tcMar>
          </w:tcPr>
          <w:p>
            <w:r>
              <w:rPr>
                <w:rFonts w:ascii="Consolas" w:cs="Consolas" w:eastAsia="Consolas" w:hAnsi="Consolas"/>
                <w:color w:val="6F6360"/>
                <w:sz w:val="17"/>
                <w:szCs w:val="17"/>
              </w:rPr>
              <w:t xml:space="preserve">51 seconds. Median for this survey is 3m 42s.</w:t>
            </w:r>
          </w:p>
        </w:tc>
      </w:tr>
      <w:tr>
        <w:tc>
          <w:tcPr>
            <w:tcW w:type="dxa" w:w="3000"/>
            <w:shd w:fill="F6EFE6" w:color="auto" w:val="clear"/>
            <w:tcMar>
              <w:top w:type="dxa" w:w="110"/>
              <w:left w:type="dxa" w:w="140"/>
              <w:bottom w:type="dxa" w:w="110"/>
              <w:right w:type="dxa" w:w="140"/>
            </w:tcMar>
          </w:tcPr>
          <w:p>
            <w:r>
              <w:rPr>
                <w:rFonts w:ascii="Georgia" w:cs="Georgia" w:eastAsia="Georgia" w:hAnsi="Georgia"/>
                <w:b/>
                <w:bCs/>
                <w:color w:val="2C2422"/>
                <w:sz w:val="18"/>
                <w:szCs w:val="18"/>
              </w:rPr>
              <w:t xml:space="preserve">Attention check</w:t>
            </w:r>
          </w:p>
        </w:tc>
        <w:tc>
          <w:tcPr>
            <w:tcW w:type="dxa" w:w="1700"/>
            <w:shd w:fill="F6EFE6" w:color="auto" w:val="clear"/>
            <w:tcMar>
              <w:top w:type="dxa" w:w="110"/>
              <w:left w:type="dxa" w:w="140"/>
              <w:bottom w:type="dxa" w:w="110"/>
              <w:right w:type="dxa" w:w="140"/>
            </w:tcMar>
          </w:tcPr>
          <w:p>
            <w:r>
              <w:rPr>
                <w:rFonts w:ascii="Georgia" w:cs="Georgia" w:eastAsia="Georgia" w:hAnsi="Georgia"/>
                <w:b/>
                <w:bCs/>
                <w:color w:val="A02C4A"/>
                <w:sz w:val="17"/>
                <w:szCs w:val="17"/>
              </w:rPr>
              <w:t xml:space="preserve">Failed · −6</w:t>
            </w:r>
          </w:p>
        </w:tc>
        <w:tc>
          <w:tcPr>
            <w:tcW w:type="dxa" w:w="4938"/>
            <w:shd w:fill="F6EFE6" w:color="auto" w:val="clear"/>
            <w:tcMar>
              <w:top w:type="dxa" w:w="110"/>
              <w:left w:type="dxa" w:w="140"/>
              <w:bottom w:type="dxa" w:w="110"/>
              <w:right w:type="dxa" w:w="140"/>
            </w:tcMar>
          </w:tcPr>
          <w:p>
            <w:r>
              <w:rPr>
                <w:rFonts w:ascii="Consolas" w:cs="Consolas" w:eastAsia="Consolas" w:hAnsi="Consolas"/>
                <w:color w:val="6F6360"/>
                <w:sz w:val="17"/>
                <w:szCs w:val="17"/>
              </w:rPr>
              <w:t xml:space="preserve">Q6 expected “Somewhat agree” — answered “Strongly disagree”.</w:t>
            </w:r>
          </w:p>
        </w:tc>
      </w:tr>
      <w:tr>
        <w:tc>
          <w:tcPr>
            <w:tcW w:type="dxa" w:w="3000"/>
            <w:shd w:fill="F6EFE6" w:color="auto" w:val="clear"/>
            <w:tcMar>
              <w:top w:type="dxa" w:w="110"/>
              <w:left w:type="dxa" w:w="140"/>
              <w:bottom w:type="dxa" w:w="110"/>
              <w:right w:type="dxa" w:w="140"/>
            </w:tcMar>
          </w:tcPr>
          <w:p>
            <w:r>
              <w:rPr>
                <w:rFonts w:ascii="Georgia" w:cs="Georgia" w:eastAsia="Georgia" w:hAnsi="Georgia"/>
                <w:b/>
                <w:bCs/>
                <w:color w:val="2C2422"/>
                <w:sz w:val="18"/>
                <w:szCs w:val="18"/>
              </w:rPr>
              <w:t xml:space="preserve">Open-text quality</w:t>
            </w:r>
          </w:p>
        </w:tc>
        <w:tc>
          <w:tcPr>
            <w:tcW w:type="dxa" w:w="1700"/>
            <w:shd w:fill="F6EFE6" w:color="auto" w:val="clear"/>
            <w:tcMar>
              <w:top w:type="dxa" w:w="110"/>
              <w:left w:type="dxa" w:w="140"/>
              <w:bottom w:type="dxa" w:w="110"/>
              <w:right w:type="dxa" w:w="140"/>
            </w:tcMar>
          </w:tcPr>
          <w:p>
            <w:r>
              <w:rPr>
                <w:rFonts w:ascii="Georgia" w:cs="Georgia" w:eastAsia="Georgia" w:hAnsi="Georgia"/>
                <w:b/>
                <w:bCs/>
                <w:color w:val="C9762A"/>
                <w:sz w:val="17"/>
                <w:szCs w:val="17"/>
              </w:rPr>
              <w:t xml:space="preserve">Warning · −0</w:t>
            </w:r>
          </w:p>
        </w:tc>
        <w:tc>
          <w:tcPr>
            <w:tcW w:type="dxa" w:w="4938"/>
            <w:shd w:fill="F6EFE6" w:color="auto" w:val="clear"/>
            <w:tcMar>
              <w:top w:type="dxa" w:w="110"/>
              <w:left w:type="dxa" w:w="140"/>
              <w:bottom w:type="dxa" w:w="110"/>
              <w:right w:type="dxa" w:w="140"/>
            </w:tcMar>
          </w:tcPr>
          <w:p>
            <w:r>
              <w:rPr>
                <w:rFonts w:ascii="Consolas" w:cs="Consolas" w:eastAsia="Consolas" w:hAnsi="Consolas"/>
                <w:color w:val="6F6360"/>
                <w:sz w:val="17"/>
                <w:szCs w:val="17"/>
              </w:rPr>
              <w:t xml:space="preserve">Q11 “asdf” · Q14 “good” — both under the meaningful-length threshold.</w:t>
            </w:r>
          </w:p>
        </w:tc>
      </w:tr>
      <w:tr>
        <w:tc>
          <w:tcPr>
            <w:tcW w:type="dxa" w:w="3000"/>
            <w:shd w:fill="F6EFE6" w:color="auto" w:val="clear"/>
            <w:tcMar>
              <w:top w:type="dxa" w:w="110"/>
              <w:left w:type="dxa" w:w="140"/>
              <w:bottom w:type="dxa" w:w="110"/>
              <w:right w:type="dxa" w:w="140"/>
            </w:tcMar>
          </w:tcPr>
          <w:p>
            <w:r>
              <w:rPr>
                <w:rFonts w:ascii="Georgia" w:cs="Georgia" w:eastAsia="Georgia" w:hAnsi="Georgia"/>
                <w:b/>
                <w:bCs/>
                <w:color w:val="2C2422"/>
                <w:sz w:val="18"/>
                <w:szCs w:val="18"/>
              </w:rPr>
              <w:t xml:space="preserve">Duplicate, behaviour, fraud, coverage, contradictions</w:t>
            </w:r>
          </w:p>
        </w:tc>
        <w:tc>
          <w:tcPr>
            <w:tcW w:type="dxa" w:w="1700"/>
            <w:shd w:fill="F6EFE6" w:color="auto" w:val="clear"/>
            <w:tcMar>
              <w:top w:type="dxa" w:w="110"/>
              <w:left w:type="dxa" w:w="140"/>
              <w:bottom w:type="dxa" w:w="110"/>
              <w:right w:type="dxa" w:w="140"/>
            </w:tcMar>
          </w:tcPr>
          <w:p>
            <w:r>
              <w:rPr>
                <w:rFonts w:ascii="Georgia" w:cs="Georgia" w:eastAsia="Georgia" w:hAnsi="Georgia"/>
                <w:b/>
                <w:bCs/>
                <w:color w:val="4F6B15"/>
                <w:sz w:val="17"/>
                <w:szCs w:val="17"/>
              </w:rPr>
              <w:t xml:space="preserve">Clear</w:t>
            </w:r>
          </w:p>
        </w:tc>
        <w:tc>
          <w:tcPr>
            <w:tcW w:type="dxa" w:w="4938"/>
            <w:shd w:fill="F6EFE6" w:color="auto" w:val="clear"/>
            <w:tcMar>
              <w:top w:type="dxa" w:w="110"/>
              <w:left w:type="dxa" w:w="140"/>
              <w:bottom w:type="dxa" w:w="110"/>
              <w:right w:type="dxa" w:w="140"/>
            </w:tcMar>
          </w:tcPr>
          <w:p>
            <w:r>
              <w:rPr>
                <w:rFonts w:ascii="Consolas" w:cs="Consolas" w:eastAsia="Consolas" w:hAnsi="Consolas"/>
                <w:color w:val="6F6360"/>
                <w:sz w:val="17"/>
                <w:szCs w:val="17"/>
              </w:rPr>
              <w:t xml:space="preserve"/>
            </w:r>
          </w:p>
        </w:tc>
      </w:tr>
      <w:tr>
        <w:tc>
          <w:tcPr>
            <w:tcW w:type="dxa" w:w="9638"/>
            <w:gridSpan w:val="3"/>
            <w:shd w:fill="F6EFE6" w:color="auto" w:val="clear"/>
            <w:tcMar>
              <w:top w:type="dxa" w:w="110"/>
              <w:left w:type="dxa" w:w="140"/>
              <w:bottom w:type="dxa" w:w="110"/>
              <w:right w:type="dxa" w:w="140"/>
            </w:tcMar>
          </w:tcPr>
          <w:p>
            <w:r>
              <w:rPr>
                <w:rFonts w:ascii="Georgia" w:cs="Georgia" w:eastAsia="Georgia" w:hAnsi="Georgia"/>
                <w:b/>
                <w:bCs/>
                <w:color w:val="2C2422"/>
                <w:sz w:val="20"/>
                <w:szCs w:val="20"/>
              </w:rPr>
              <w:t xml:space="preserve">Score 68 of 100 — manual review</w:t>
            </w:r>
          </w:p>
        </w:tc>
      </w:tr>
    </w:tbl>
    <w:p>
      <w:pPr>
        <w:spacing w:after="160"/>
      </w:pPr>
      <w:r>
        <w:rPr>
          <w:sz w:val="2"/>
          <w:szCs w:val="2"/>
        </w:rPr>
        <w:t xml:space="preserve"/>
      </w:r>
    </w:p>
    <w:p>
      <w:pPr>
        <w:spacing w:after="140" w:line="276"/>
      </w:pPr>
      <w:r>
        <w:rPr>
          <w:rFonts w:ascii="Calibri" w:cs="Calibri" w:eastAsia="Calibri" w:hAnsi="Calibri"/>
          <w:b w:val="false"/>
          <w:bCs w:val="false"/>
          <w:i w:val="false"/>
          <w:iCs w:val="false"/>
          <w:color w:val="2C2422"/>
          <w:sz w:val="21"/>
          <w:szCs w:val="21"/>
        </w:rPr>
        <w:t xml:space="preserve">The queue itself supports bulk approve and bulk reject for the obvious cases, with the same reason recorded against each.</w:t>
      </w:r>
    </w:p>
    <w:p>
      <w:pPr>
        <w:pStyle w:val="Heading2"/>
        <w:spacing w:after="100" w:before="300"/>
      </w:pPr>
      <w:r>
        <w:rPr>
          <w:rFonts w:ascii="Georgia" w:cs="Georgia" w:eastAsia="Georgia" w:hAnsi="Georgia"/>
          <w:b/>
          <w:bCs/>
          <w:color w:val="2C2422"/>
          <w:sz w:val="23"/>
          <w:szCs w:val="23"/>
        </w:rPr>
        <w:t xml:space="preserve">Which scores each person sees</w:t>
      </w:r>
    </w:p>
    <w:tbl>
      <w:tblPr>
        <w:tblW w:type="dxa" w:w="9638"/>
        <w:tblBorders>
          <w:top w:val="single" w:color="E6DBCF" w:sz="4"/>
          <w:left w:val="single" w:color="E6DBCF" w:sz="4"/>
          <w:bottom w:val="single" w:color="E6DBCF" w:sz="4"/>
          <w:right w:val="single" w:color="E6DBCF" w:sz="4"/>
          <w:insideH w:val="single" w:color="E6DBCF" w:sz="4"/>
          <w:insideV w:val="single" w:color="E6DBCF" w:sz="4"/>
        </w:tblBorders>
      </w:tblPr>
      <w:tblGrid>
        <w:gridCol w:w="2000"/>
        <w:gridCol w:w="1900"/>
        <w:gridCol w:w="2400"/>
        <w:gridCol w:w="3338"/>
      </w:tblGrid>
      <w:tr>
        <w:trPr>
          <w:tblHeader/>
        </w:trPr>
        <w:tc>
          <w:tcPr>
            <w:tcW w:type="dxa" w:w="2000"/>
            <w:shd w:fill="F6EFE6" w:color="auto" w:val="clear"/>
            <w:tcMar>
              <w:top w:type="dxa" w:w="110"/>
              <w:left w:type="dxa" w:w="140"/>
              <w:bottom w:type="dxa" w:w="110"/>
              <w:right w:type="dxa" w:w="140"/>
            </w:tcMar>
          </w:tcPr>
          <w:p>
            <w:r>
              <w:rPr>
                <w:rFonts w:ascii="Georgia" w:cs="Georgia" w:eastAsia="Georgia" w:hAnsi="Georgia"/>
                <w:b/>
                <w:bCs/>
                <w:color w:val="8D7C75"/>
                <w:spacing w:val="25"/>
                <w:sz w:val="14"/>
                <w:szCs w:val="14"/>
              </w:rPr>
              <w:t xml:space="preserve">SEES</w:t>
            </w:r>
          </w:p>
        </w:tc>
        <w:tc>
          <w:tcPr>
            <w:tcW w:type="dxa" w:w="1900"/>
            <w:shd w:fill="F6EFE6" w:color="auto" w:val="clear"/>
            <w:tcMar>
              <w:top w:type="dxa" w:w="110"/>
              <w:left w:type="dxa" w:w="140"/>
              <w:bottom w:type="dxa" w:w="110"/>
              <w:right w:type="dxa" w:w="140"/>
            </w:tcMar>
          </w:tcPr>
          <w:p>
            <w:r>
              <w:rPr>
                <w:rFonts w:ascii="Georgia" w:cs="Georgia" w:eastAsia="Georgia" w:hAnsi="Georgia"/>
                <w:b/>
                <w:bCs/>
                <w:color w:val="8D7C75"/>
                <w:spacing w:val="25"/>
                <w:sz w:val="14"/>
                <w:szCs w:val="14"/>
              </w:rPr>
              <w:t xml:space="preserve">SCORE</w:t>
            </w:r>
          </w:p>
        </w:tc>
        <w:tc>
          <w:tcPr>
            <w:tcW w:type="dxa" w:w="2400"/>
            <w:shd w:fill="F6EFE6" w:color="auto" w:val="clear"/>
            <w:tcMar>
              <w:top w:type="dxa" w:w="110"/>
              <w:left w:type="dxa" w:w="140"/>
              <w:bottom w:type="dxa" w:w="110"/>
              <w:right w:type="dxa" w:w="140"/>
            </w:tcMar>
          </w:tcPr>
          <w:p>
            <w:r>
              <w:rPr>
                <w:rFonts w:ascii="Georgia" w:cs="Georgia" w:eastAsia="Georgia" w:hAnsi="Georgia"/>
                <w:b/>
                <w:bCs/>
                <w:color w:val="8D7C75"/>
                <w:spacing w:val="25"/>
                <w:sz w:val="14"/>
                <w:szCs w:val="14"/>
              </w:rPr>
              <w:t xml:space="preserve">SIGNAL BREAKDOWN</w:t>
            </w:r>
          </w:p>
        </w:tc>
        <w:tc>
          <w:tcPr>
            <w:tcW w:type="dxa" w:w="3338"/>
            <w:shd w:fill="F6EFE6" w:color="auto" w:val="clear"/>
            <w:tcMar>
              <w:top w:type="dxa" w:w="110"/>
              <w:left w:type="dxa" w:w="140"/>
              <w:bottom w:type="dxa" w:w="110"/>
              <w:right w:type="dxa" w:w="140"/>
            </w:tcMar>
          </w:tcPr>
          <w:p>
            <w:r>
              <w:rPr>
                <w:rFonts w:ascii="Georgia" w:cs="Georgia" w:eastAsia="Georgia" w:hAnsi="Georgia"/>
                <w:b/>
                <w:bCs/>
                <w:color w:val="8D7C75"/>
                <w:spacing w:val="25"/>
                <w:sz w:val="14"/>
                <w:szCs w:val="14"/>
              </w:rPr>
              <w:t xml:space="preserve">EVIDENCE</w:t>
            </w:r>
          </w:p>
        </w:tc>
      </w:tr>
      <w:tr>
        <w:tc>
          <w:tcPr>
            <w:tcW w:type="dxa" w:w="2000"/>
            <w:tcMar>
              <w:top w:type="dxa" w:w="110"/>
              <w:left w:type="dxa" w:w="140"/>
              <w:bottom w:type="dxa" w:w="110"/>
              <w:right w:type="dxa" w:w="140"/>
            </w:tcMar>
          </w:tcPr>
          <w:p>
            <w:pPr>
              <w:spacing w:line="260"/>
            </w:pPr>
            <w:r>
              <w:rPr>
                <w:rFonts w:ascii="Calibri" w:cs="Calibri" w:eastAsia="Calibri" w:hAnsi="Calibri"/>
                <w:b/>
                <w:bCs/>
                <w:i w:val="false"/>
                <w:iCs w:val="false"/>
                <w:color w:val="2C2422"/>
                <w:sz w:val="20"/>
                <w:szCs w:val="20"/>
              </w:rPr>
              <w:t xml:space="preserve">Admin</w:t>
            </w:r>
          </w:p>
        </w:tc>
        <w:tc>
          <w:tcPr>
            <w:tcW w:type="dxa" w:w="1900"/>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Yes</w:t>
            </w:r>
          </w:p>
        </w:tc>
        <w:tc>
          <w:tcPr>
            <w:tcW w:type="dxa" w:w="2400"/>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Yes</w:t>
            </w:r>
          </w:p>
        </w:tc>
        <w:tc>
          <w:tcPr>
            <w:tcW w:type="dxa" w:w="3338"/>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Yes — the full readout above</w:t>
            </w:r>
          </w:p>
        </w:tc>
      </w:tr>
      <w:tr>
        <w:tc>
          <w:tcPr>
            <w:tcW w:type="dxa" w:w="2000"/>
            <w:tcMar>
              <w:top w:type="dxa" w:w="110"/>
              <w:left w:type="dxa" w:w="140"/>
              <w:bottom w:type="dxa" w:w="110"/>
              <w:right w:type="dxa" w:w="140"/>
            </w:tcMar>
          </w:tcPr>
          <w:p>
            <w:pPr>
              <w:spacing w:line="260"/>
            </w:pPr>
            <w:r>
              <w:rPr>
                <w:rFonts w:ascii="Calibri" w:cs="Calibri" w:eastAsia="Calibri" w:hAnsi="Calibri"/>
                <w:b/>
                <w:bCs/>
                <w:i w:val="false"/>
                <w:iCs w:val="false"/>
                <w:color w:val="2C2422"/>
                <w:sz w:val="20"/>
                <w:szCs w:val="20"/>
              </w:rPr>
              <w:t xml:space="preserve">Respondent</w:t>
            </w:r>
          </w:p>
        </w:tc>
        <w:tc>
          <w:tcPr>
            <w:tcW w:type="dxa" w:w="1900"/>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No</w:t>
            </w:r>
          </w:p>
        </w:tc>
        <w:tc>
          <w:tcPr>
            <w:tcW w:type="dxa" w:w="2400"/>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No</w:t>
            </w:r>
          </w:p>
        </w:tc>
        <w:tc>
          <w:tcPr>
            <w:tcW w:type="dxa" w:w="3338"/>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No</w:t>
            </w:r>
          </w:p>
        </w:tc>
      </w:tr>
      <w:tr>
        <w:tc>
          <w:tcPr>
            <w:tcW w:type="dxa" w:w="2000"/>
            <w:tcMar>
              <w:top w:type="dxa" w:w="110"/>
              <w:left w:type="dxa" w:w="140"/>
              <w:bottom w:type="dxa" w:w="110"/>
              <w:right w:type="dxa" w:w="140"/>
            </w:tcMar>
          </w:tcPr>
          <w:p>
            <w:pPr>
              <w:spacing w:line="260"/>
            </w:pPr>
            <w:r>
              <w:rPr>
                <w:rFonts w:ascii="Calibri" w:cs="Calibri" w:eastAsia="Calibri" w:hAnsi="Calibri"/>
                <w:b/>
                <w:bCs/>
                <w:i w:val="false"/>
                <w:iCs w:val="false"/>
                <w:color w:val="2C2422"/>
                <w:sz w:val="20"/>
                <w:szCs w:val="20"/>
              </w:rPr>
              <w:t xml:space="preserve">Brand</w:t>
            </w:r>
          </w:p>
        </w:tc>
        <w:tc>
          <w:tcPr>
            <w:tcW w:type="dxa" w:w="1900"/>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Aggregate only</w:t>
            </w:r>
          </w:p>
        </w:tc>
        <w:tc>
          <w:tcPr>
            <w:tcW w:type="dxa" w:w="2400"/>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Aggregate only</w:t>
            </w:r>
          </w:p>
        </w:tc>
        <w:tc>
          <w:tcPr>
            <w:tcW w:type="dxa" w:w="3338"/>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No</w:t>
            </w:r>
          </w:p>
        </w:tc>
      </w:tr>
    </w:tbl>
    <w:p>
      <w:pPr>
        <w:spacing w:after="160"/>
      </w:pPr>
      <w:r>
        <w:rPr>
          <w:sz w:val="2"/>
          <w:szCs w:val="2"/>
        </w:rPr>
        <w:t xml:space="preserve"/>
      </w:r>
    </w:p>
    <w:p>
      <w:pPr>
        <w:spacing w:after="140" w:line="276"/>
      </w:pPr>
      <w:r>
        <w:rPr>
          <w:rFonts w:ascii="Calibri" w:cs="Calibri" w:eastAsia="Calibri" w:hAnsi="Calibri"/>
          <w:b w:val="false"/>
          <w:bCs w:val="false"/>
          <w:i w:val="false"/>
          <w:iCs w:val="false"/>
          <w:color w:val="2C2422"/>
          <w:sz w:val="21"/>
          <w:szCs w:val="21"/>
        </w:rPr>
        <w:t xml:space="preserve">Respondents are told the outcome — reward released, or not eligible — and nothing about how it was reached. That is deliberate: publishing the rubric to respondents is a manual on how to defeat it, and the people most motivated to read it are exactly the ones the engine exists to catch. Brands see the quality mix across a campaign, never a person's score.</w:t>
      </w:r>
    </w:p>
    <w:p>
      <w:pPr>
        <w:pStyle w:val="Heading2"/>
        <w:spacing w:after="100" w:before="300"/>
      </w:pPr>
      <w:r>
        <w:rPr>
          <w:rFonts w:ascii="Georgia" w:cs="Georgia" w:eastAsia="Georgia" w:hAnsi="Georgia"/>
          <w:b/>
          <w:bCs/>
          <w:color w:val="2C2422"/>
          <w:sz w:val="23"/>
          <w:szCs w:val="23"/>
        </w:rPr>
        <w:t xml:space="preserve">What the decision sets off</w:t>
      </w:r>
    </w:p>
    <w:tbl>
      <w:tblPr>
        <w:tblW w:type="dxa" w:w="9638"/>
        <w:tblBorders>
          <w:top w:val="none" w:color="auto" w:sz="0"/>
          <w:left w:val="single" w:color="C9762A" w:sz="18"/>
          <w:bottom w:val="none" w:color="auto" w:sz="0"/>
          <w:right w:val="none" w:color="auto" w:sz="0"/>
          <w:insideH w:val="none" w:color="auto" w:sz="0"/>
          <w:insideV w:val="none" w:color="auto" w:sz="0"/>
        </w:tblBorders>
      </w:tblPr>
      <w:tblGrid>
        <w:gridCol w:w="9638"/>
      </w:tblGrid>
      <w:tr>
        <w:tc>
          <w:tcPr>
            <w:tcW w:type="dxa" w:w="9638"/>
            <w:shd w:fill="FDF8F2" w:color="auto" w:val="clear"/>
            <w:tcMar>
              <w:top w:type="dxa" w:w="110"/>
              <w:left w:type="dxa" w:w="140"/>
              <w:bottom w:type="dxa" w:w="110"/>
              <w:right w:type="dxa" w:w="140"/>
            </w:tcMar>
          </w:tcPr>
          <w:p>
            <w:pPr>
              <w:spacing w:after="80"/>
            </w:pPr>
            <w:r>
              <w:rPr>
                <w:rFonts w:ascii="Georgia" w:cs="Georgia" w:eastAsia="Georgia" w:hAnsi="Georgia"/>
                <w:b/>
                <w:bCs/>
                <w:color w:val="C9762A"/>
                <w:spacing w:val="25"/>
                <w:sz w:val="14"/>
                <w:szCs w:val="14"/>
              </w:rPr>
              <w:t xml:space="preserve">NO WEBHOOKS — THIS ALL HAPPENS INSIDE THE PLATFORM</w:t>
            </w:r>
          </w:p>
          <w:p>
            <w:pPr>
              <w:spacing w:line="276"/>
            </w:pPr>
            <w:r>
              <w:rPr>
                <w:rFonts w:ascii="Calibri" w:cs="Calibri" w:eastAsia="Calibri" w:hAnsi="Calibri"/>
                <w:color w:val="2C2422"/>
                <w:sz w:val="21"/>
                <w:szCs w:val="21"/>
              </w:rPr>
              <w:t xml:space="preserve">Worth stating plainly, because it is a common assumption: there is no external service and no webhook anywhere in this flow. The only outbound call in the entire pipeline is verifying the CAPTCHA token with Cloudflare. Everything else is the platform's own server-side code, in the same pattern as every other admin action already in the app.</w:t>
            </w:r>
          </w:p>
        </w:tc>
      </w:tr>
    </w:tbl>
    <w:p>
      <w:pPr>
        <w:spacing w:after="160"/>
      </w:pPr>
      <w:r>
        <w:rPr>
          <w:sz w:val="2"/>
          <w:szCs w:val="2"/>
        </w:rPr>
        <w:t xml:space="preserve"/>
      </w:r>
    </w:p>
    <w:p>
      <w:pPr>
        <w:spacing w:after="140" w:line="276"/>
      </w:pPr>
      <w:r>
        <w:rPr>
          <w:rFonts w:ascii="Calibri" w:cs="Calibri" w:eastAsia="Calibri" w:hAnsi="Calibri"/>
          <w:b w:val="false"/>
          <w:bCs w:val="false"/>
          <w:i w:val="false"/>
          <w:iCs w:val="false"/>
          <w:color w:val="2C2422"/>
          <w:sz w:val="21"/>
          <w:szCs w:val="21"/>
        </w:rPr>
        <w:t xml:space="preserve">Approving a response runs a chain that is already built, except for its first link:</w:t>
      </w:r>
    </w:p>
    <w:p>
      <w:pPr>
        <w:pStyle w:val="ListParagraph"/>
        <w:numPr>
          <w:ilvl w:val="0"/>
          <w:numId w:val="2"/>
        </w:numPr>
        <w:spacing w:after="80" w:line="276"/>
      </w:pPr>
      <w:r>
        <w:rPr>
          <w:rFonts w:ascii="Calibri" w:cs="Calibri" w:eastAsia="Calibri" w:hAnsi="Calibri"/>
          <w:b/>
          <w:bCs/>
          <w:i w:val="false"/>
          <w:iCs w:val="false"/>
          <w:color w:val="2C2422"/>
          <w:sz w:val="21"/>
          <w:szCs w:val="21"/>
        </w:rPr>
        <w:t xml:space="preserve">The response is marked passed</w:t>
      </w:r>
      <w:r>
        <w:rPr>
          <w:rFonts w:ascii="Calibri" w:cs="Calibri" w:eastAsia="Calibri" w:hAnsi="Calibri"/>
          <w:b w:val="false"/>
          <w:bCs w:val="false"/>
          <w:i w:val="false"/>
          <w:iCs w:val="false"/>
          <w:color w:val="2C2422"/>
          <w:sz w:val="21"/>
          <w:szCs w:val="21"/>
        </w:rPr>
        <w:t xml:space="preserve"> — which makes that participation reward-eligible. This is the new part.</w:t>
      </w:r>
    </w:p>
    <w:p>
      <w:pPr>
        <w:pStyle w:val="ListParagraph"/>
        <w:numPr>
          <w:ilvl w:val="0"/>
          <w:numId w:val="2"/>
        </w:numPr>
        <w:spacing w:after="80" w:line="276"/>
      </w:pPr>
      <w:r>
        <w:rPr>
          <w:rFonts w:ascii="Calibri" w:cs="Calibri" w:eastAsia="Calibri" w:hAnsi="Calibri"/>
          <w:b/>
          <w:bCs/>
          <w:i w:val="false"/>
          <w:iCs w:val="false"/>
          <w:color w:val="2C2422"/>
          <w:sz w:val="21"/>
          <w:szCs w:val="21"/>
        </w:rPr>
        <w:t xml:space="preserve">The reward code is issued</w:t>
      </w:r>
      <w:r>
        <w:rPr>
          <w:rFonts w:ascii="Calibri" w:cs="Calibri" w:eastAsia="Calibri" w:hAnsi="Calibri"/>
          <w:b w:val="false"/>
          <w:bCs w:val="false"/>
          <w:i w:val="false"/>
          <w:iCs w:val="false"/>
          <w:color w:val="2C2422"/>
          <w:sz w:val="21"/>
          <w:szCs w:val="21"/>
        </w:rPr>
        <w:t xml:space="preserve"> — a code row is written against the participation, stamped with which admin issued it and under which reward tier. This code already exists in the platform; the survey result is simply the new condition for reaching it.</w:t>
      </w:r>
    </w:p>
    <w:p>
      <w:pPr>
        <w:pStyle w:val="ListParagraph"/>
        <w:numPr>
          <w:ilvl w:val="0"/>
          <w:numId w:val="2"/>
        </w:numPr>
        <w:spacing w:after="80" w:line="276"/>
      </w:pPr>
      <w:r>
        <w:rPr>
          <w:rFonts w:ascii="Calibri" w:cs="Calibri" w:eastAsia="Calibri" w:hAnsi="Calibri"/>
          <w:b/>
          <w:bCs/>
          <w:i w:val="false"/>
          <w:iCs w:val="false"/>
          <w:color w:val="2C2422"/>
          <w:sz w:val="21"/>
          <w:szCs w:val="21"/>
        </w:rPr>
        <w:t xml:space="preserve">The respondent is notified</w:t>
      </w:r>
      <w:r>
        <w:rPr>
          <w:rFonts w:ascii="Calibri" w:cs="Calibri" w:eastAsia="Calibri" w:hAnsi="Calibri"/>
          <w:b w:val="false"/>
          <w:bCs w:val="false"/>
          <w:i w:val="false"/>
          <w:iCs w:val="false"/>
          <w:color w:val="2C2422"/>
          <w:sz w:val="21"/>
          <w:szCs w:val="21"/>
        </w:rPr>
        <w:t xml:space="preserve"> — an in-app notification and a queued email, and the code appears on their rewards page. Also already built.</w:t>
      </w:r>
    </w:p>
    <w:p>
      <w:pPr>
        <w:spacing w:after="140" w:line="276"/>
      </w:pPr>
      <w:r>
        <w:rPr>
          <w:rFonts w:ascii="Calibri" w:cs="Calibri" w:eastAsia="Calibri" w:hAnsi="Calibri"/>
          <w:b w:val="false"/>
          <w:bCs w:val="false"/>
          <w:i w:val="false"/>
          <w:iCs w:val="false"/>
          <w:color w:val="2C2422"/>
          <w:sz w:val="21"/>
          <w:szCs w:val="21"/>
        </w:rPr>
        <w:t xml:space="preserve">Rejecting sets the opposite verdict, releases no code, and records the reason against the response. One piece of groundwork this needs: the platform only sends notifications for events that exist in its catalogue, and there is no “survey rejected” event in it today — so telling someone their response was not accepted needs that event, its settings and its message template added, not just a line of code. It is small, but it is easy to miss.</w:t>
      </w:r>
    </w:p>
    <w:p>
      <w:pPr>
        <w:pStyle w:val="Heading2"/>
        <w:spacing w:after="100" w:before="300"/>
      </w:pPr>
      <w:r>
        <w:rPr>
          <w:rFonts w:ascii="Georgia" w:cs="Georgia" w:eastAsia="Georgia" w:hAnsi="Georgia"/>
          <w:b/>
          <w:bCs/>
          <w:color w:val="2C2422"/>
          <w:sz w:val="23"/>
          <w:szCs w:val="23"/>
        </w:rPr>
        <w:t xml:space="preserve">Guardrails</w:t>
      </w:r>
    </w:p>
    <w:p>
      <w:pPr>
        <w:pStyle w:val="ListParagraph"/>
        <w:numPr>
          <w:ilvl w:val="0"/>
          <w:numId w:val="2"/>
        </w:numPr>
        <w:spacing w:after="80" w:line="276"/>
      </w:pPr>
      <w:r>
        <w:rPr>
          <w:rFonts w:ascii="Calibri" w:cs="Calibri" w:eastAsia="Calibri" w:hAnsi="Calibri"/>
          <w:b/>
          <w:bCs/>
          <w:i w:val="false"/>
          <w:iCs w:val="false"/>
          <w:color w:val="2C2422"/>
          <w:sz w:val="21"/>
          <w:szCs w:val="21"/>
        </w:rPr>
        <w:t xml:space="preserve">Admin can override the engine in both directions</w:t>
      </w:r>
      <w:r>
        <w:rPr>
          <w:rFonts w:ascii="Calibri" w:cs="Calibri" w:eastAsia="Calibri" w:hAnsi="Calibri"/>
          <w:b w:val="false"/>
          <w:bCs w:val="false"/>
          <w:i w:val="false"/>
          <w:iCs w:val="false"/>
          <w:color w:val="2C2422"/>
          <w:sz w:val="21"/>
          <w:szCs w:val="21"/>
        </w:rPr>
        <w:t xml:space="preserve"> — approve something the engine scored below 60, or reject something it passed. A reason is required, and the override is recorded with who did it and when.</w:t>
      </w:r>
    </w:p>
    <w:p>
      <w:pPr>
        <w:pStyle w:val="ListParagraph"/>
        <w:numPr>
          <w:ilvl w:val="0"/>
          <w:numId w:val="2"/>
        </w:numPr>
        <w:spacing w:after="80" w:line="276"/>
      </w:pPr>
      <w:r>
        <w:rPr>
          <w:rFonts w:ascii="Calibri" w:cs="Calibri" w:eastAsia="Calibri" w:hAnsi="Calibri"/>
          <w:b/>
          <w:bCs/>
          <w:i w:val="false"/>
          <w:iCs w:val="false"/>
          <w:color w:val="2C2422"/>
          <w:sz w:val="21"/>
          <w:szCs w:val="21"/>
        </w:rPr>
        <w:t xml:space="preserve">An issued code cannot be un-issued.</w:t>
      </w:r>
      <w:r>
        <w:rPr>
          <w:rFonts w:ascii="Calibri" w:cs="Calibri" w:eastAsia="Calibri" w:hAnsi="Calibri"/>
          <w:b w:val="false"/>
          <w:bCs w:val="false"/>
          <w:i w:val="false"/>
          <w:iCs w:val="false"/>
          <w:color w:val="2C2422"/>
          <w:sz w:val="21"/>
          <w:szCs w:val="21"/>
        </w:rPr>
        <w:t xml:space="preserve"> It can be voided, which is a separate, logged action — because by then the respondent may already have used it.</w:t>
      </w:r>
    </w:p>
    <w:p>
      <w:pPr>
        <w:pStyle w:val="ListParagraph"/>
        <w:numPr>
          <w:ilvl w:val="0"/>
          <w:numId w:val="2"/>
        </w:numPr>
        <w:spacing w:after="80" w:line="276"/>
      </w:pPr>
      <w:r>
        <w:rPr>
          <w:rFonts w:ascii="Calibri" w:cs="Calibri" w:eastAsia="Calibri" w:hAnsi="Calibri"/>
          <w:b/>
          <w:bCs/>
          <w:i w:val="false"/>
          <w:iCs w:val="false"/>
          <w:color w:val="2C2422"/>
          <w:sz w:val="21"/>
          <w:szCs w:val="21"/>
        </w:rPr>
        <w:t xml:space="preserve">Issuance stays inside the tier cap and the event's remaining budget</w:t>
      </w:r>
      <w:r>
        <w:rPr>
          <w:rFonts w:ascii="Calibri" w:cs="Calibri" w:eastAsia="Calibri" w:hAnsi="Calibri"/>
          <w:b w:val="false"/>
          <w:bCs w:val="false"/>
          <w:i w:val="false"/>
          <w:iCs w:val="false"/>
          <w:color w:val="2C2422"/>
          <w:sz w:val="21"/>
          <w:szCs w:val="21"/>
        </w:rPr>
        <w:t xml:space="preserve">, whether it happened automatically or by hand. The quality verdict decides eligibility; it does not override the campaign's limits.</w:t>
      </w:r>
    </w:p>
    <w:p>
      <w:pPr>
        <w:pStyle w:val="ListParagraph"/>
        <w:numPr>
          <w:ilvl w:val="0"/>
          <w:numId w:val="2"/>
        </w:numPr>
        <w:spacing w:after="80" w:line="276"/>
      </w:pPr>
      <w:r>
        <w:rPr>
          <w:rFonts w:ascii="Calibri" w:cs="Calibri" w:eastAsia="Calibri" w:hAnsi="Calibri"/>
          <w:b/>
          <w:bCs/>
          <w:i w:val="false"/>
          <w:iCs w:val="false"/>
          <w:color w:val="2C2422"/>
          <w:sz w:val="21"/>
          <w:szCs w:val="21"/>
        </w:rPr>
        <w:t xml:space="preserve">Changing the signal weights never silently re-grades old responses.</w:t>
      </w:r>
      <w:r>
        <w:rPr>
          <w:rFonts w:ascii="Calibri" w:cs="Calibri" w:eastAsia="Calibri" w:hAnsi="Calibri"/>
          <w:b w:val="false"/>
          <w:bCs w:val="false"/>
          <w:i w:val="false"/>
          <w:iCs w:val="false"/>
          <w:color w:val="2C2422"/>
          <w:sz w:val="21"/>
          <w:szCs w:val="21"/>
        </w:rPr>
        <w:t xml:space="preserve"> Existing verdicts stand; re-scoring a past survey is an explicit action with its own audit entry.</w:t>
      </w:r>
    </w:p>
    <w:p>
      <w:pPr>
        <w:pStyle w:val="Heading1"/>
        <w:spacing w:after="120" w:before="460"/>
      </w:pPr>
      <w:r>
        <w:rPr>
          <w:rFonts w:ascii="Georgia" w:cs="Georgia" w:eastAsia="Georgia" w:hAnsi="Georgia"/>
          <w:b/>
          <w:bCs/>
          <w:color w:val="C9762A"/>
          <w:sz w:val="22"/>
          <w:szCs w:val="22"/>
        </w:rPr>
        <w:t xml:space="preserve">05   </w:t>
      </w:r>
      <w:r>
        <w:rPr>
          <w:rFonts w:ascii="Georgia" w:cs="Georgia" w:eastAsia="Georgia" w:hAnsi="Georgia"/>
          <w:b/>
          <w:bCs/>
          <w:color w:val="2C2422"/>
          <w:sz w:val="30"/>
          <w:szCs w:val="30"/>
        </w:rPr>
        <w:t xml:space="preserve">Who can see what</w:t>
      </w:r>
    </w:p>
    <w:p>
      <w:pPr>
        <w:spacing w:after="140" w:line="276"/>
      </w:pPr>
      <w:r>
        <w:rPr>
          <w:rFonts w:ascii="Calibri" w:cs="Calibri" w:eastAsia="Calibri" w:hAnsi="Calibri"/>
          <w:b w:val="false"/>
          <w:bCs w:val="false"/>
          <w:i w:val="false"/>
          <w:iCs w:val="false"/>
          <w:color w:val="6F6360"/>
          <w:sz w:val="21"/>
          <w:szCs w:val="21"/>
        </w:rPr>
        <w:t xml:space="preserve">Survey answers are personal data about audience members collected on a brand's behalf. Access is enforced at the database level, the same as every other table on the platform.</w:t>
      </w:r>
    </w:p>
    <w:tbl>
      <w:tblPr>
        <w:tblW w:type="dxa" w:w="9638"/>
        <w:tblBorders>
          <w:top w:val="single" w:color="E6DBCF" w:sz="4"/>
          <w:left w:val="single" w:color="E6DBCF" w:sz="4"/>
          <w:bottom w:val="single" w:color="E6DBCF" w:sz="4"/>
          <w:right w:val="single" w:color="E6DBCF" w:sz="4"/>
          <w:insideH w:val="single" w:color="E6DBCF" w:sz="4"/>
          <w:insideV w:val="single" w:color="E6DBCF" w:sz="4"/>
        </w:tblBorders>
      </w:tblPr>
      <w:tblGrid>
        <w:gridCol w:w="2200"/>
        <w:gridCol w:w="3900"/>
        <w:gridCol w:w="3538"/>
      </w:tblGrid>
      <w:tr>
        <w:trPr>
          <w:tblHeader/>
        </w:trPr>
        <w:tc>
          <w:tcPr>
            <w:tcW w:type="dxa" w:w="2200"/>
            <w:shd w:fill="F6EFE6" w:color="auto" w:val="clear"/>
            <w:tcMar>
              <w:top w:type="dxa" w:w="110"/>
              <w:left w:type="dxa" w:w="140"/>
              <w:bottom w:type="dxa" w:w="110"/>
              <w:right w:type="dxa" w:w="140"/>
            </w:tcMar>
          </w:tcPr>
          <w:p>
            <w:r>
              <w:rPr>
                <w:rFonts w:ascii="Georgia" w:cs="Georgia" w:eastAsia="Georgia" w:hAnsi="Georgia"/>
                <w:b/>
                <w:bCs/>
                <w:color w:val="8D7C75"/>
                <w:spacing w:val="25"/>
                <w:sz w:val="14"/>
                <w:szCs w:val="14"/>
              </w:rPr>
              <w:t xml:space="preserve">ROLE</w:t>
            </w:r>
          </w:p>
        </w:tc>
        <w:tc>
          <w:tcPr>
            <w:tcW w:type="dxa" w:w="3900"/>
            <w:shd w:fill="F6EFE6" w:color="auto" w:val="clear"/>
            <w:tcMar>
              <w:top w:type="dxa" w:w="110"/>
              <w:left w:type="dxa" w:w="140"/>
              <w:bottom w:type="dxa" w:w="110"/>
              <w:right w:type="dxa" w:w="140"/>
            </w:tcMar>
          </w:tcPr>
          <w:p>
            <w:r>
              <w:rPr>
                <w:rFonts w:ascii="Georgia" w:cs="Georgia" w:eastAsia="Georgia" w:hAnsi="Georgia"/>
                <w:b/>
                <w:bCs/>
                <w:color w:val="8D7C75"/>
                <w:spacing w:val="25"/>
                <w:sz w:val="14"/>
                <w:szCs w:val="14"/>
              </w:rPr>
              <w:t xml:space="preserve">CAN SEE</w:t>
            </w:r>
          </w:p>
        </w:tc>
        <w:tc>
          <w:tcPr>
            <w:tcW w:type="dxa" w:w="3538"/>
            <w:shd w:fill="F6EFE6" w:color="auto" w:val="clear"/>
            <w:tcMar>
              <w:top w:type="dxa" w:w="110"/>
              <w:left w:type="dxa" w:w="140"/>
              <w:bottom w:type="dxa" w:w="110"/>
              <w:right w:type="dxa" w:w="140"/>
            </w:tcMar>
          </w:tcPr>
          <w:p>
            <w:r>
              <w:rPr>
                <w:rFonts w:ascii="Georgia" w:cs="Georgia" w:eastAsia="Georgia" w:hAnsi="Georgia"/>
                <w:b/>
                <w:bCs/>
                <w:color w:val="8D7C75"/>
                <w:spacing w:val="25"/>
                <w:sz w:val="14"/>
                <w:szCs w:val="14"/>
              </w:rPr>
              <w:t xml:space="preserve">CANNOT SEE</w:t>
            </w:r>
          </w:p>
        </w:tc>
      </w:tr>
      <w:tr>
        <w:tc>
          <w:tcPr>
            <w:tcW w:type="dxa" w:w="2200"/>
            <w:tcMar>
              <w:top w:type="dxa" w:w="110"/>
              <w:left w:type="dxa" w:w="140"/>
              <w:bottom w:type="dxa" w:w="110"/>
              <w:right w:type="dxa" w:w="140"/>
            </w:tcMar>
          </w:tcPr>
          <w:p>
            <w:pPr>
              <w:spacing w:line="260"/>
            </w:pPr>
            <w:r>
              <w:rPr>
                <w:rFonts w:ascii="Calibri" w:cs="Calibri" w:eastAsia="Calibri" w:hAnsi="Calibri"/>
                <w:b/>
                <w:bCs/>
                <w:i w:val="false"/>
                <w:iCs w:val="false"/>
                <w:color w:val="2C2422"/>
                <w:sz w:val="20"/>
                <w:szCs w:val="20"/>
              </w:rPr>
              <w:t xml:space="preserve">Admin</w:t>
            </w:r>
          </w:p>
        </w:tc>
        <w:tc>
          <w:tcPr>
            <w:tcW w:type="dxa" w:w="3900"/>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Everything — builds surveys, works the review queue, issues rewards</w:t>
            </w:r>
          </w:p>
        </w:tc>
        <w:tc>
          <w:tcPr>
            <w:tcW w:type="dxa" w:w="3538"/>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w:t>
            </w:r>
          </w:p>
        </w:tc>
      </w:tr>
      <w:tr>
        <w:tc>
          <w:tcPr>
            <w:tcW w:type="dxa" w:w="2200"/>
            <w:tcMar>
              <w:top w:type="dxa" w:w="110"/>
              <w:left w:type="dxa" w:w="140"/>
              <w:bottom w:type="dxa" w:w="110"/>
              <w:right w:type="dxa" w:w="140"/>
            </w:tcMar>
          </w:tcPr>
          <w:p>
            <w:pPr>
              <w:spacing w:line="260"/>
            </w:pPr>
            <w:r>
              <w:rPr>
                <w:rFonts w:ascii="Calibri" w:cs="Calibri" w:eastAsia="Calibri" w:hAnsi="Calibri"/>
                <w:b/>
                <w:bCs/>
                <w:i w:val="false"/>
                <w:iCs w:val="false"/>
                <w:color w:val="2C2422"/>
                <w:sz w:val="20"/>
                <w:szCs w:val="20"/>
              </w:rPr>
              <w:t xml:space="preserve">Audience member</w:t>
            </w:r>
          </w:p>
        </w:tc>
        <w:tc>
          <w:tcPr>
            <w:tcW w:type="dxa" w:w="3900"/>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Their own response, and whether their reward was released</w:t>
            </w:r>
          </w:p>
        </w:tc>
        <w:tc>
          <w:tcPr>
            <w:tcW w:type="dxa" w:w="3538"/>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Anyone else's answers; their own quality score or which signals they failed</w:t>
            </w:r>
          </w:p>
        </w:tc>
      </w:tr>
      <w:tr>
        <w:tc>
          <w:tcPr>
            <w:tcW w:type="dxa" w:w="2200"/>
            <w:tcMar>
              <w:top w:type="dxa" w:w="110"/>
              <w:left w:type="dxa" w:w="140"/>
              <w:bottom w:type="dxa" w:w="110"/>
              <w:right w:type="dxa" w:w="140"/>
            </w:tcMar>
          </w:tcPr>
          <w:p>
            <w:pPr>
              <w:spacing w:line="260"/>
            </w:pPr>
            <w:r>
              <w:rPr>
                <w:rFonts w:ascii="Calibri" w:cs="Calibri" w:eastAsia="Calibri" w:hAnsi="Calibri"/>
                <w:b/>
                <w:bCs/>
                <w:i w:val="false"/>
                <w:iCs w:val="false"/>
                <w:color w:val="2C2422"/>
                <w:sz w:val="20"/>
                <w:szCs w:val="20"/>
              </w:rPr>
              <w:t xml:space="preserve">Brand</w:t>
            </w:r>
          </w:p>
        </w:tc>
        <w:tc>
          <w:tcPr>
            <w:tcW w:type="dxa" w:w="3900"/>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Aggregated results, completion rate, and the participant list as Anonymised name · Survey completed · Verified attendance</w:t>
            </w:r>
          </w:p>
        </w:tc>
        <w:tc>
          <w:tcPr>
            <w:tcW w:type="dxa" w:w="3538"/>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Respondent identities, contact details, or raw answers tied to a person</w:t>
            </w:r>
          </w:p>
        </w:tc>
      </w:tr>
      <w:tr>
        <w:tc>
          <w:tcPr>
            <w:tcW w:type="dxa" w:w="2200"/>
            <w:tcMar>
              <w:top w:type="dxa" w:w="110"/>
              <w:left w:type="dxa" w:w="140"/>
              <w:bottom w:type="dxa" w:w="110"/>
              <w:right w:type="dxa" w:w="140"/>
            </w:tcMar>
          </w:tcPr>
          <w:p>
            <w:pPr>
              <w:spacing w:line="260"/>
            </w:pPr>
            <w:r>
              <w:rPr>
                <w:rFonts w:ascii="Calibri" w:cs="Calibri" w:eastAsia="Calibri" w:hAnsi="Calibri"/>
                <w:b/>
                <w:bCs/>
                <w:i w:val="false"/>
                <w:iCs w:val="false"/>
                <w:color w:val="2C2422"/>
                <w:sz w:val="20"/>
                <w:szCs w:val="20"/>
              </w:rPr>
              <w:t xml:space="preserve">Artist / organiser</w:t>
            </w:r>
          </w:p>
        </w:tc>
        <w:tc>
          <w:tcPr>
            <w:tcW w:type="dxa" w:w="3900"/>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Completion counts for their own event</w:t>
            </w:r>
          </w:p>
        </w:tc>
        <w:tc>
          <w:tcPr>
            <w:tcW w:type="dxa" w:w="3538"/>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Answers and identities</w:t>
            </w:r>
          </w:p>
        </w:tc>
      </w:tr>
    </w:tbl>
    <w:p>
      <w:pPr>
        <w:spacing w:after="160"/>
      </w:pPr>
      <w:r>
        <w:rPr>
          <w:sz w:val="2"/>
          <w:szCs w:val="2"/>
        </w:rPr>
        <w:t xml:space="preserve"/>
      </w:r>
    </w:p>
    <w:p>
      <w:pPr>
        <w:spacing w:after="140" w:line="276"/>
      </w:pPr>
      <w:r>
        <w:rPr>
          <w:rFonts w:ascii="Calibri" w:cs="Calibri" w:eastAsia="Calibri" w:hAnsi="Calibri"/>
          <w:b w:val="false"/>
          <w:bCs w:val="false"/>
          <w:i w:val="false"/>
          <w:iCs w:val="false"/>
          <w:color w:val="2C2422"/>
          <w:sz w:val="21"/>
          <w:szCs w:val="21"/>
        </w:rPr>
        <w:t xml:space="preserve">The brand-facing view is built as a purpose-made, anonymised view with an explicit list of columns — the same technique already used for public profile pages — rather than by filtering in the application. That way an accidental query cannot leak a column that was never meant to be exposed.</w:t>
      </w:r>
    </w:p>
    <w:p>
      <w:pPr>
        <w:pStyle w:val="Heading2"/>
        <w:spacing w:after="100" w:before="300"/>
      </w:pPr>
      <w:r>
        <w:rPr>
          <w:rFonts w:ascii="Georgia" w:cs="Georgia" w:eastAsia="Georgia" w:hAnsi="Georgia"/>
          <w:b/>
          <w:bCs/>
          <w:color w:val="2C2422"/>
          <w:sz w:val="23"/>
          <w:szCs w:val="23"/>
        </w:rPr>
        <w:t xml:space="preserve">Technical appendix — data model</w:t>
      </w:r>
    </w:p>
    <w:p>
      <w:pPr>
        <w:spacing w:after="140" w:line="276"/>
      </w:pPr>
      <w:r>
        <w:rPr>
          <w:rFonts w:ascii="Calibri" w:cs="Calibri" w:eastAsia="Calibri" w:hAnsi="Calibri"/>
          <w:b w:val="false"/>
          <w:bCs w:val="false"/>
          <w:i w:val="false"/>
          <w:iCs w:val="false"/>
          <w:color w:val="2C2422"/>
          <w:sz w:val="21"/>
          <w:szCs w:val="21"/>
        </w:rPr>
        <w:t xml:space="preserve">Four new tables, added without altering anything that exists, so the live database can take the change safely:</w:t>
      </w:r>
    </w:p>
    <w:p>
      <w:pPr>
        <w:pStyle w:val="ListParagraph"/>
        <w:numPr>
          <w:ilvl w:val="0"/>
          <w:numId w:val="2"/>
        </w:numPr>
        <w:spacing w:after="80" w:line="276"/>
      </w:pPr>
      <w:r>
        <w:rPr>
          <w:rFonts w:ascii="Calibri" w:cs="Calibri" w:eastAsia="Calibri" w:hAnsi="Calibri"/>
          <w:b/>
          <w:bCs/>
          <w:i w:val="false"/>
          <w:iCs w:val="false"/>
          <w:color w:val="2C2422"/>
          <w:sz w:val="21"/>
          <w:szCs w:val="21"/>
        </w:rPr>
        <w:t xml:space="preserve">survey_templates</w:t>
      </w:r>
      <w:r>
        <w:rPr>
          <w:rFonts w:ascii="Calibri" w:cs="Calibri" w:eastAsia="Calibri" w:hAnsi="Calibri"/>
          <w:b w:val="false"/>
          <w:bCs w:val="false"/>
          <w:i w:val="false"/>
          <w:iCs w:val="false"/>
          <w:color w:val="2C2422"/>
          <w:sz w:val="21"/>
          <w:szCs w:val="21"/>
        </w:rPr>
        <w:t xml:space="preserve"> — one survey, tied to a campaign, marked pre-event or post-event, in draft / published / archived state.</w:t>
      </w:r>
    </w:p>
    <w:p>
      <w:pPr>
        <w:pStyle w:val="ListParagraph"/>
        <w:numPr>
          <w:ilvl w:val="0"/>
          <w:numId w:val="2"/>
        </w:numPr>
        <w:spacing w:after="80" w:line="276"/>
      </w:pPr>
      <w:r>
        <w:rPr>
          <w:rFonts w:ascii="Calibri" w:cs="Calibri" w:eastAsia="Calibri" w:hAnsi="Calibri"/>
          <w:b/>
          <w:bCs/>
          <w:i w:val="false"/>
          <w:iCs w:val="false"/>
          <w:color w:val="2C2422"/>
          <w:sz w:val="21"/>
          <w:szCs w:val="21"/>
        </w:rPr>
        <w:t xml:space="preserve">survey_questions</w:t>
      </w:r>
      <w:r>
        <w:rPr>
          <w:rFonts w:ascii="Calibri" w:cs="Calibri" w:eastAsia="Calibri" w:hAnsi="Calibri"/>
          <w:b w:val="false"/>
          <w:bCs w:val="false"/>
          <w:i w:val="false"/>
          <w:iCs w:val="false"/>
          <w:color w:val="2C2422"/>
          <w:sz w:val="21"/>
          <w:szCs w:val="21"/>
        </w:rPr>
        <w:t xml:space="preserve"> — the ordered questions, their type, options and per-type settings.</w:t>
      </w:r>
    </w:p>
    <w:p>
      <w:pPr>
        <w:pStyle w:val="ListParagraph"/>
        <w:numPr>
          <w:ilvl w:val="0"/>
          <w:numId w:val="2"/>
        </w:numPr>
        <w:spacing w:after="80" w:line="276"/>
      </w:pPr>
      <w:r>
        <w:rPr>
          <w:rFonts w:ascii="Calibri" w:cs="Calibri" w:eastAsia="Calibri" w:hAnsi="Calibri"/>
          <w:b/>
          <w:bCs/>
          <w:i w:val="false"/>
          <w:iCs w:val="false"/>
          <w:color w:val="2C2422"/>
          <w:sz w:val="21"/>
          <w:szCs w:val="21"/>
        </w:rPr>
        <w:t xml:space="preserve">survey_responses</w:t>
      </w:r>
      <w:r>
        <w:rPr>
          <w:rFonts w:ascii="Calibri" w:cs="Calibri" w:eastAsia="Calibri" w:hAnsi="Calibri"/>
          <w:b w:val="false"/>
          <w:bCs w:val="false"/>
          <w:i w:val="false"/>
          <w:iCs w:val="false"/>
          <w:color w:val="2C2422"/>
          <w:sz w:val="21"/>
          <w:szCs w:val="21"/>
        </w:rPr>
        <w:t xml:space="preserve"> — one row per person per survey, carrying the quality score, the verdict, and any duplicate link. A uniqueness constraint on (survey, participation) is what makes a second submission impossible.</w:t>
      </w:r>
    </w:p>
    <w:p>
      <w:pPr>
        <w:pStyle w:val="ListParagraph"/>
        <w:numPr>
          <w:ilvl w:val="0"/>
          <w:numId w:val="2"/>
        </w:numPr>
        <w:spacing w:after="80" w:line="276"/>
      </w:pPr>
      <w:r>
        <w:rPr>
          <w:rFonts w:ascii="Calibri" w:cs="Calibri" w:eastAsia="Calibri" w:hAnsi="Calibri"/>
          <w:b/>
          <w:bCs/>
          <w:i w:val="false"/>
          <w:iCs w:val="false"/>
          <w:color w:val="2C2422"/>
          <w:sz w:val="21"/>
          <w:szCs w:val="21"/>
        </w:rPr>
        <w:t xml:space="preserve">survey_answers</w:t>
      </w:r>
      <w:r>
        <w:rPr>
          <w:rFonts w:ascii="Calibri" w:cs="Calibri" w:eastAsia="Calibri" w:hAnsi="Calibri"/>
          <w:b w:val="false"/>
          <w:bCs w:val="false"/>
          <w:i w:val="false"/>
          <w:iCs w:val="false"/>
          <w:color w:val="2C2422"/>
          <w:sz w:val="21"/>
          <w:szCs w:val="21"/>
        </w:rPr>
        <w:t xml:space="preserve"> — the answers themselves, each with the moment the question was shown and the moment it was answered.</w:t>
      </w:r>
    </w:p>
    <w:p>
      <w:pPr>
        <w:spacing w:after="140" w:line="276"/>
      </w:pPr>
      <w:r>
        <w:rPr>
          <w:rFonts w:ascii="Calibri" w:cs="Calibri" w:eastAsia="Calibri" w:hAnsi="Calibri"/>
          <w:b w:val="false"/>
          <w:bCs w:val="false"/>
          <w:i w:val="false"/>
          <w:iCs w:val="false"/>
          <w:color w:val="2C2422"/>
          <w:sz w:val="21"/>
          <w:szCs w:val="21"/>
        </w:rPr>
        <w:t xml:space="preserve">Responses link to the existing participation record, which already connects through to the campaign and the brand — so the brand-facing “participants” panel needs no new plumbing, only the anonymised view described above.</w:t>
      </w:r>
    </w:p>
    <w:p>
      <w:pPr>
        <w:pStyle w:val="Heading1"/>
        <w:spacing w:after="120" w:before="460"/>
      </w:pPr>
      <w:r>
        <w:rPr>
          <w:rFonts w:ascii="Georgia" w:cs="Georgia" w:eastAsia="Georgia" w:hAnsi="Georgia"/>
          <w:b/>
          <w:bCs/>
          <w:color w:val="C9762A"/>
          <w:sz w:val="22"/>
          <w:szCs w:val="22"/>
        </w:rPr>
        <w:t xml:space="preserve">06   </w:t>
      </w:r>
      <w:r>
        <w:rPr>
          <w:rFonts w:ascii="Georgia" w:cs="Georgia" w:eastAsia="Georgia" w:hAnsi="Georgia"/>
          <w:b/>
          <w:bCs/>
          <w:color w:val="2C2422"/>
          <w:sz w:val="30"/>
          <w:szCs w:val="30"/>
        </w:rPr>
        <w:t xml:space="preserve">Results, analytics and export</w:t>
      </w:r>
    </w:p>
    <w:p>
      <w:pPr>
        <w:spacing w:after="140" w:line="276"/>
      </w:pPr>
      <w:r>
        <w:rPr>
          <w:rFonts w:ascii="Calibri" w:cs="Calibri" w:eastAsia="Calibri" w:hAnsi="Calibri"/>
          <w:b w:val="false"/>
          <w:bCs w:val="false"/>
          <w:i w:val="false"/>
          <w:iCs w:val="false"/>
          <w:color w:val="6F6360"/>
          <w:sz w:val="21"/>
          <w:szCs w:val="21"/>
        </w:rPr>
        <w:t xml:space="preserve">Collecting responses is only half the product — the campaign performance report is what the brand actually bought. Results are readable on screen, and everything is extractable as a spreadsheet.</w:t>
      </w:r>
    </w:p>
    <w:p>
      <w:pPr>
        <w:pStyle w:val="Heading2"/>
        <w:spacing w:after="100" w:before="300"/>
      </w:pPr>
      <w:r>
        <w:rPr>
          <w:rFonts w:ascii="Georgia" w:cs="Georgia" w:eastAsia="Georgia" w:hAnsi="Georgia"/>
          <w:b/>
          <w:bCs/>
          <w:color w:val="2C2422"/>
          <w:sz w:val="23"/>
          <w:szCs w:val="23"/>
        </w:rPr>
        <w:t xml:space="preserve">On screen — the survey results page</w:t>
      </w:r>
    </w:p>
    <w:p>
      <w:pPr>
        <w:spacing w:after="140" w:line="276"/>
      </w:pPr>
      <w:r>
        <w:rPr>
          <w:rFonts w:ascii="Calibri" w:cs="Calibri" w:eastAsia="Calibri" w:hAnsi="Calibri"/>
          <w:b w:val="false"/>
          <w:bCs w:val="false"/>
          <w:i w:val="false"/>
          <w:iCs w:val="false"/>
          <w:color w:val="2C2422"/>
          <w:sz w:val="21"/>
          <w:szCs w:val="21"/>
        </w:rPr>
        <w:t xml:space="preserve">One page per survey, with the headline numbers first and the per-question detail below. Because a campaign can run a pre-event and a post-event survey, the two sit side by side so the shift in brand perception is readable as a before-and-after rather than two unrelated reports.</w:t>
      </w:r>
    </w:p>
    <w:tbl>
      <w:tblPr>
        <w:tblW w:type="dxa" w:w="9638"/>
        <w:tblBorders>
          <w:top w:val="single" w:color="E6DBCF" w:sz="4"/>
          <w:left w:val="single" w:color="E6DBCF" w:sz="4"/>
          <w:bottom w:val="single" w:color="E6DBCF" w:sz="4"/>
          <w:right w:val="single" w:color="E6DBCF" w:sz="4"/>
          <w:insideH w:val="single" w:color="E6DBCF" w:sz="4"/>
          <w:insideV w:val="single" w:color="E6DBCF" w:sz="4"/>
        </w:tblBorders>
      </w:tblPr>
      <w:tblGrid>
        <w:gridCol w:w="2500"/>
        <w:gridCol w:w="7138"/>
      </w:tblGrid>
      <w:tr>
        <w:trPr>
          <w:tblHeader/>
        </w:trPr>
        <w:tc>
          <w:tcPr>
            <w:tcW w:type="dxa" w:w="2500"/>
            <w:shd w:fill="F6EFE6" w:color="auto" w:val="clear"/>
            <w:tcMar>
              <w:top w:type="dxa" w:w="110"/>
              <w:left w:type="dxa" w:w="140"/>
              <w:bottom w:type="dxa" w:w="110"/>
              <w:right w:type="dxa" w:w="140"/>
            </w:tcMar>
          </w:tcPr>
          <w:p>
            <w:r>
              <w:rPr>
                <w:rFonts w:ascii="Georgia" w:cs="Georgia" w:eastAsia="Georgia" w:hAnsi="Georgia"/>
                <w:b/>
                <w:bCs/>
                <w:color w:val="8D7C75"/>
                <w:spacing w:val="25"/>
                <w:sz w:val="14"/>
                <w:szCs w:val="14"/>
              </w:rPr>
              <w:t xml:space="preserve">PANEL</w:t>
            </w:r>
          </w:p>
        </w:tc>
        <w:tc>
          <w:tcPr>
            <w:tcW w:type="dxa" w:w="7138"/>
            <w:shd w:fill="F6EFE6" w:color="auto" w:val="clear"/>
            <w:tcMar>
              <w:top w:type="dxa" w:w="110"/>
              <w:left w:type="dxa" w:w="140"/>
              <w:bottom w:type="dxa" w:w="110"/>
              <w:right w:type="dxa" w:w="140"/>
            </w:tcMar>
          </w:tcPr>
          <w:p>
            <w:r>
              <w:rPr>
                <w:rFonts w:ascii="Georgia" w:cs="Georgia" w:eastAsia="Georgia" w:hAnsi="Georgia"/>
                <w:b/>
                <w:bCs/>
                <w:color w:val="8D7C75"/>
                <w:spacing w:val="25"/>
                <w:sz w:val="14"/>
                <w:szCs w:val="14"/>
              </w:rPr>
              <w:t xml:space="preserve">SHOWS</w:t>
            </w:r>
          </w:p>
        </w:tc>
      </w:tr>
      <w:tr>
        <w:tc>
          <w:tcPr>
            <w:tcW w:type="dxa" w:w="2500"/>
            <w:tcMar>
              <w:top w:type="dxa" w:w="110"/>
              <w:left w:type="dxa" w:w="140"/>
              <w:bottom w:type="dxa" w:w="110"/>
              <w:right w:type="dxa" w:w="140"/>
            </w:tcMar>
          </w:tcPr>
          <w:p>
            <w:pPr>
              <w:spacing w:line="260"/>
            </w:pPr>
            <w:r>
              <w:rPr>
                <w:rFonts w:ascii="Calibri" w:cs="Calibri" w:eastAsia="Calibri" w:hAnsi="Calibri"/>
                <w:b/>
                <w:bCs/>
                <w:i w:val="false"/>
                <w:iCs w:val="false"/>
                <w:color w:val="2C2422"/>
                <w:sz w:val="20"/>
                <w:szCs w:val="20"/>
              </w:rPr>
              <w:t xml:space="preserve">Completion funnel</w:t>
            </w:r>
          </w:p>
        </w:tc>
        <w:tc>
          <w:tcPr>
            <w:tcW w:type="dxa" w:w="7138"/>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Invited → started → submitted → passed quality. Completion rate and drop-off point, which is the number that tells us whether a survey is too long.</w:t>
            </w:r>
          </w:p>
        </w:tc>
      </w:tr>
      <w:tr>
        <w:tc>
          <w:tcPr>
            <w:tcW w:type="dxa" w:w="2500"/>
            <w:tcMar>
              <w:top w:type="dxa" w:w="110"/>
              <w:left w:type="dxa" w:w="140"/>
              <w:bottom w:type="dxa" w:w="110"/>
              <w:right w:type="dxa" w:w="140"/>
            </w:tcMar>
          </w:tcPr>
          <w:p>
            <w:pPr>
              <w:spacing w:line="260"/>
            </w:pPr>
            <w:r>
              <w:rPr>
                <w:rFonts w:ascii="Calibri" w:cs="Calibri" w:eastAsia="Calibri" w:hAnsi="Calibri"/>
                <w:b/>
                <w:bCs/>
                <w:i w:val="false"/>
                <w:iCs w:val="false"/>
                <w:color w:val="2C2422"/>
                <w:sz w:val="20"/>
                <w:szCs w:val="20"/>
              </w:rPr>
              <w:t xml:space="preserve">Quality mix</w:t>
            </w:r>
          </w:p>
        </w:tc>
        <w:tc>
          <w:tcPr>
            <w:tcW w:type="dxa" w:w="7138"/>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How the submissions split across pass / manual review / rejected, and which signals fired most often.</w:t>
            </w:r>
          </w:p>
        </w:tc>
      </w:tr>
      <w:tr>
        <w:tc>
          <w:tcPr>
            <w:tcW w:type="dxa" w:w="2500"/>
            <w:tcMar>
              <w:top w:type="dxa" w:w="110"/>
              <w:left w:type="dxa" w:w="140"/>
              <w:bottom w:type="dxa" w:w="110"/>
              <w:right w:type="dxa" w:w="140"/>
            </w:tcMar>
          </w:tcPr>
          <w:p>
            <w:pPr>
              <w:spacing w:line="260"/>
            </w:pPr>
            <w:r>
              <w:rPr>
                <w:rFonts w:ascii="Calibri" w:cs="Calibri" w:eastAsia="Calibri" w:hAnsi="Calibri"/>
                <w:b/>
                <w:bCs/>
                <w:i w:val="false"/>
                <w:iCs w:val="false"/>
                <w:color w:val="2C2422"/>
                <w:sz w:val="20"/>
                <w:szCs w:val="20"/>
              </w:rPr>
              <w:t xml:space="preserve">Per-question results</w:t>
            </w:r>
          </w:p>
        </w:tc>
        <w:tc>
          <w:tcPr>
            <w:tcW w:type="dxa" w:w="7138"/>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A result block per question, drawn to suit the type — bars for choice questions, a distribution for scales, average and spread for numbers, average position for ranking, and a readable list for open text.</w:t>
            </w:r>
          </w:p>
        </w:tc>
      </w:tr>
      <w:tr>
        <w:tc>
          <w:tcPr>
            <w:tcW w:type="dxa" w:w="2500"/>
            <w:tcMar>
              <w:top w:type="dxa" w:w="110"/>
              <w:left w:type="dxa" w:w="140"/>
              <w:bottom w:type="dxa" w:w="110"/>
              <w:right w:type="dxa" w:w="140"/>
            </w:tcMar>
          </w:tcPr>
          <w:p>
            <w:pPr>
              <w:spacing w:line="260"/>
            </w:pPr>
            <w:r>
              <w:rPr>
                <w:rFonts w:ascii="Calibri" w:cs="Calibri" w:eastAsia="Calibri" w:hAnsi="Calibri"/>
                <w:b/>
                <w:bCs/>
                <w:i w:val="false"/>
                <w:iCs w:val="false"/>
                <w:color w:val="2C2422"/>
                <w:sz w:val="20"/>
                <w:szCs w:val="20"/>
              </w:rPr>
              <w:t xml:space="preserve">Pre vs post comparison</w:t>
            </w:r>
          </w:p>
        </w:tc>
        <w:tc>
          <w:tcPr>
            <w:tcW w:type="dxa" w:w="7138"/>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The same question asked before and after the event, shown as a shift — the measurement the brand is paying for.</w:t>
            </w:r>
          </w:p>
        </w:tc>
      </w:tr>
      <w:tr>
        <w:tc>
          <w:tcPr>
            <w:tcW w:type="dxa" w:w="2500"/>
            <w:tcMar>
              <w:top w:type="dxa" w:w="110"/>
              <w:left w:type="dxa" w:w="140"/>
              <w:bottom w:type="dxa" w:w="110"/>
              <w:right w:type="dxa" w:w="140"/>
            </w:tcMar>
          </w:tcPr>
          <w:p>
            <w:pPr>
              <w:spacing w:line="260"/>
            </w:pPr>
            <w:r>
              <w:rPr>
                <w:rFonts w:ascii="Calibri" w:cs="Calibri" w:eastAsia="Calibri" w:hAnsi="Calibri"/>
                <w:b/>
                <w:bCs/>
                <w:i w:val="false"/>
                <w:iCs w:val="false"/>
                <w:color w:val="2C2422"/>
                <w:sz w:val="20"/>
                <w:szCs w:val="20"/>
              </w:rPr>
              <w:t xml:space="preserve">Demographic breakdown</w:t>
            </w:r>
          </w:p>
        </w:tc>
        <w:tc>
          <w:tcPr>
            <w:tcW w:type="dxa" w:w="7138"/>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Results split by the demographic questions and by profile data (age band, region), so “who said this” is answerable without exposing who they are.</w:t>
            </w:r>
          </w:p>
        </w:tc>
      </w:tr>
    </w:tbl>
    <w:p>
      <w:pPr>
        <w:spacing w:after="160"/>
      </w:pPr>
      <w:r>
        <w:rPr>
          <w:sz w:val="2"/>
          <w:szCs w:val="2"/>
        </w:rPr>
        <w:t xml:space="preserve"/>
      </w:r>
    </w:p>
    <w:p>
      <w:pPr>
        <w:pStyle w:val="Heading2"/>
        <w:spacing w:after="100" w:before="300"/>
      </w:pPr>
      <w:r>
        <w:rPr>
          <w:rFonts w:ascii="Georgia" w:cs="Georgia" w:eastAsia="Georgia" w:hAnsi="Georgia"/>
          <w:b/>
          <w:bCs/>
          <w:color w:val="2C2422"/>
          <w:sz w:val="23"/>
          <w:szCs w:val="23"/>
        </w:rPr>
        <w:t xml:space="preserve">Export to spreadsheet</w:t>
      </w:r>
    </w:p>
    <w:p>
      <w:pPr>
        <w:spacing w:after="140" w:line="276"/>
      </w:pPr>
      <w:r>
        <w:rPr>
          <w:rFonts w:ascii="Calibri" w:cs="Calibri" w:eastAsia="Calibri" w:hAnsi="Calibri"/>
          <w:b w:val="false"/>
          <w:bCs w:val="false"/>
          <w:i w:val="false"/>
          <w:iCs w:val="false"/>
          <w:color w:val="2C2422"/>
          <w:sz w:val="21"/>
          <w:szCs w:val="21"/>
        </w:rPr>
        <w:t xml:space="preserve">The platform already does this well in one place: the admin participants list has a CSV export that honours whatever filters are active on the page, and formats dates as DD/MM/YYYY HH:mm so Excel reads them as dates rather than as text. That was a fix from the 3 August standup, and the survey exports copy the same approach rather than inventing a second one. Four exports:</w:t>
      </w:r>
    </w:p>
    <w:tbl>
      <w:tblPr>
        <w:tblW w:type="dxa" w:w="9638"/>
        <w:tblBorders>
          <w:top w:val="single" w:color="E6DBCF" w:sz="4"/>
          <w:left w:val="single" w:color="E6DBCF" w:sz="4"/>
          <w:bottom w:val="single" w:color="E6DBCF" w:sz="4"/>
          <w:right w:val="single" w:color="E6DBCF" w:sz="4"/>
          <w:insideH w:val="single" w:color="E6DBCF" w:sz="4"/>
          <w:insideV w:val="single" w:color="E6DBCF" w:sz="4"/>
        </w:tblBorders>
      </w:tblPr>
      <w:tblGrid>
        <w:gridCol w:w="2100"/>
        <w:gridCol w:w="1800"/>
        <w:gridCol w:w="5738"/>
      </w:tblGrid>
      <w:tr>
        <w:trPr>
          <w:tblHeader/>
        </w:trPr>
        <w:tc>
          <w:tcPr>
            <w:tcW w:type="dxa" w:w="2100"/>
            <w:shd w:fill="F6EFE6" w:color="auto" w:val="clear"/>
            <w:tcMar>
              <w:top w:type="dxa" w:w="110"/>
              <w:left w:type="dxa" w:w="140"/>
              <w:bottom w:type="dxa" w:w="110"/>
              <w:right w:type="dxa" w:w="140"/>
            </w:tcMar>
          </w:tcPr>
          <w:p>
            <w:r>
              <w:rPr>
                <w:rFonts w:ascii="Georgia" w:cs="Georgia" w:eastAsia="Georgia" w:hAnsi="Georgia"/>
                <w:b/>
                <w:bCs/>
                <w:color w:val="8D7C75"/>
                <w:spacing w:val="25"/>
                <w:sz w:val="14"/>
                <w:szCs w:val="14"/>
              </w:rPr>
              <w:t xml:space="preserve">EXPORT</w:t>
            </w:r>
          </w:p>
        </w:tc>
        <w:tc>
          <w:tcPr>
            <w:tcW w:type="dxa" w:w="1800"/>
            <w:shd w:fill="F6EFE6" w:color="auto" w:val="clear"/>
            <w:tcMar>
              <w:top w:type="dxa" w:w="110"/>
              <w:left w:type="dxa" w:w="140"/>
              <w:bottom w:type="dxa" w:w="110"/>
              <w:right w:type="dxa" w:w="140"/>
            </w:tcMar>
          </w:tcPr>
          <w:p>
            <w:r>
              <w:rPr>
                <w:rFonts w:ascii="Georgia" w:cs="Georgia" w:eastAsia="Georgia" w:hAnsi="Georgia"/>
                <w:b/>
                <w:bCs/>
                <w:color w:val="8D7C75"/>
                <w:spacing w:val="25"/>
                <w:sz w:val="14"/>
                <w:szCs w:val="14"/>
              </w:rPr>
              <w:t xml:space="preserve">ONE ROW PER</w:t>
            </w:r>
          </w:p>
        </w:tc>
        <w:tc>
          <w:tcPr>
            <w:tcW w:type="dxa" w:w="5738"/>
            <w:shd w:fill="F6EFE6" w:color="auto" w:val="clear"/>
            <w:tcMar>
              <w:top w:type="dxa" w:w="110"/>
              <w:left w:type="dxa" w:w="140"/>
              <w:bottom w:type="dxa" w:w="110"/>
              <w:right w:type="dxa" w:w="140"/>
            </w:tcMar>
          </w:tcPr>
          <w:p>
            <w:r>
              <w:rPr>
                <w:rFonts w:ascii="Georgia" w:cs="Georgia" w:eastAsia="Georgia" w:hAnsi="Georgia"/>
                <w:b/>
                <w:bCs/>
                <w:color w:val="8D7C75"/>
                <w:spacing w:val="25"/>
                <w:sz w:val="14"/>
                <w:szCs w:val="14"/>
              </w:rPr>
              <w:t xml:space="preserve">COLUMNS</w:t>
            </w:r>
          </w:p>
        </w:tc>
      </w:tr>
      <w:tr>
        <w:tc>
          <w:tcPr>
            <w:tcW w:type="dxa" w:w="2100"/>
            <w:tcMar>
              <w:top w:type="dxa" w:w="110"/>
              <w:left w:type="dxa" w:w="140"/>
              <w:bottom w:type="dxa" w:w="110"/>
              <w:right w:type="dxa" w:w="140"/>
            </w:tcMar>
          </w:tcPr>
          <w:p>
            <w:pPr>
              <w:spacing w:line="260"/>
            </w:pPr>
            <w:r>
              <w:rPr>
                <w:rFonts w:ascii="Calibri" w:cs="Calibri" w:eastAsia="Calibri" w:hAnsi="Calibri"/>
                <w:b/>
                <w:bCs/>
                <w:i w:val="false"/>
                <w:iCs w:val="false"/>
                <w:color w:val="2C2422"/>
                <w:sz w:val="20"/>
                <w:szCs w:val="20"/>
              </w:rPr>
              <w:t xml:space="preserve">Survey responses</w:t>
            </w:r>
          </w:p>
        </w:tc>
        <w:tc>
          <w:tcPr>
            <w:tcW w:type="dxa" w:w="1800"/>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Respondent</w:t>
            </w:r>
          </w:p>
        </w:tc>
        <w:tc>
          <w:tcPr>
            <w:tcW w:type="dxa" w:w="5738"/>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One column per question, in form order — the layout anyone analysing this in Excel expects. Plus submission time, time taken, quality score, verdict, and whether a reward was issued. Multi-select answers are joined in one cell; ranking answers are written in order.</w:t>
            </w:r>
          </w:p>
        </w:tc>
      </w:tr>
      <w:tr>
        <w:tc>
          <w:tcPr>
            <w:tcW w:type="dxa" w:w="2100"/>
            <w:tcMar>
              <w:top w:type="dxa" w:w="110"/>
              <w:left w:type="dxa" w:w="140"/>
              <w:bottom w:type="dxa" w:w="110"/>
              <w:right w:type="dxa" w:w="140"/>
            </w:tcMar>
          </w:tcPr>
          <w:p>
            <w:pPr>
              <w:spacing w:line="260"/>
            </w:pPr>
            <w:r>
              <w:rPr>
                <w:rFonts w:ascii="Calibri" w:cs="Calibri" w:eastAsia="Calibri" w:hAnsi="Calibri"/>
                <w:b/>
                <w:bCs/>
                <w:i w:val="false"/>
                <w:iCs w:val="false"/>
                <w:color w:val="2C2422"/>
                <w:sz w:val="20"/>
                <w:szCs w:val="20"/>
              </w:rPr>
              <w:t xml:space="preserve">Answer-level detail</w:t>
            </w:r>
          </w:p>
        </w:tc>
        <w:tc>
          <w:tcPr>
            <w:tcW w:type="dxa" w:w="1800"/>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Answer</w:t>
            </w:r>
          </w:p>
        </w:tc>
        <w:tc>
          <w:tcPr>
            <w:tcW w:type="dxa" w:w="5738"/>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Respondent reference, question, answer, time shown, time answered. The long format, for anyone loading the data into a proper analysis tool or pivoting it.</w:t>
            </w:r>
          </w:p>
        </w:tc>
      </w:tr>
      <w:tr>
        <w:tc>
          <w:tcPr>
            <w:tcW w:type="dxa" w:w="2100"/>
            <w:tcMar>
              <w:top w:type="dxa" w:w="110"/>
              <w:left w:type="dxa" w:w="140"/>
              <w:bottom w:type="dxa" w:w="110"/>
              <w:right w:type="dxa" w:w="140"/>
            </w:tcMar>
          </w:tcPr>
          <w:p>
            <w:pPr>
              <w:spacing w:line="260"/>
            </w:pPr>
            <w:r>
              <w:rPr>
                <w:rFonts w:ascii="Calibri" w:cs="Calibri" w:eastAsia="Calibri" w:hAnsi="Calibri"/>
                <w:b/>
                <w:bCs/>
                <w:i w:val="false"/>
                <w:iCs w:val="false"/>
                <w:color w:val="2C2422"/>
                <w:sz w:val="20"/>
                <w:szCs w:val="20"/>
              </w:rPr>
              <w:t xml:space="preserve">Participants</w:t>
            </w:r>
          </w:p>
        </w:tc>
        <w:tc>
          <w:tcPr>
            <w:tcW w:type="dxa" w:w="1800"/>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Participant</w:t>
            </w:r>
          </w:p>
        </w:tc>
        <w:tc>
          <w:tcPr>
            <w:tcW w:type="dxa" w:w="5738"/>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The existing export, extended with survey completed, quality verdict, and reward code status — so one file answers “who took part and what did they get”.</w:t>
            </w:r>
          </w:p>
        </w:tc>
      </w:tr>
      <w:tr>
        <w:tc>
          <w:tcPr>
            <w:tcW w:type="dxa" w:w="2100"/>
            <w:tcMar>
              <w:top w:type="dxa" w:w="110"/>
              <w:left w:type="dxa" w:w="140"/>
              <w:bottom w:type="dxa" w:w="110"/>
              <w:right w:type="dxa" w:w="140"/>
            </w:tcMar>
          </w:tcPr>
          <w:p>
            <w:pPr>
              <w:spacing w:line="260"/>
            </w:pPr>
            <w:r>
              <w:rPr>
                <w:rFonts w:ascii="Calibri" w:cs="Calibri" w:eastAsia="Calibri" w:hAnsi="Calibri"/>
                <w:b/>
                <w:bCs/>
                <w:i w:val="false"/>
                <w:iCs w:val="false"/>
                <w:color w:val="2C2422"/>
                <w:sz w:val="20"/>
                <w:szCs w:val="20"/>
              </w:rPr>
              <w:t xml:space="preserve">Question summary</w:t>
            </w:r>
          </w:p>
        </w:tc>
        <w:tc>
          <w:tcPr>
            <w:tcW w:type="dxa" w:w="1800"/>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Answer option</w:t>
            </w:r>
          </w:p>
        </w:tc>
        <w:tc>
          <w:tcPr>
            <w:tcW w:type="dxa" w:w="5738"/>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Counts and percentages per option, already aggregated — the file you paste straight into a client report or chart without touching the raw data.</w:t>
            </w:r>
          </w:p>
        </w:tc>
      </w:tr>
    </w:tbl>
    <w:p>
      <w:pPr>
        <w:spacing w:after="160"/>
      </w:pPr>
      <w:r>
        <w:rPr>
          <w:sz w:val="2"/>
          <w:szCs w:val="2"/>
        </w:rPr>
        <w:t xml:space="preserve"/>
      </w:r>
    </w:p>
    <w:tbl>
      <w:tblPr>
        <w:tblW w:type="dxa" w:w="9638"/>
        <w:tblBorders>
          <w:top w:val="none" w:color="auto" w:sz="0"/>
          <w:left w:val="single" w:color="C9762A" w:sz="18"/>
          <w:bottom w:val="none" w:color="auto" w:sz="0"/>
          <w:right w:val="none" w:color="auto" w:sz="0"/>
          <w:insideH w:val="none" w:color="auto" w:sz="0"/>
          <w:insideV w:val="none" w:color="auto" w:sz="0"/>
        </w:tblBorders>
      </w:tblPr>
      <w:tblGrid>
        <w:gridCol w:w="9638"/>
      </w:tblGrid>
      <w:tr>
        <w:tc>
          <w:tcPr>
            <w:tcW w:type="dxa" w:w="9638"/>
            <w:shd w:fill="FDF8F2" w:color="auto" w:val="clear"/>
            <w:tcMar>
              <w:top w:type="dxa" w:w="110"/>
              <w:left w:type="dxa" w:w="140"/>
              <w:bottom w:type="dxa" w:w="110"/>
              <w:right w:type="dxa" w:w="140"/>
            </w:tcMar>
          </w:tcPr>
          <w:p>
            <w:pPr>
              <w:spacing w:after="80"/>
            </w:pPr>
            <w:r>
              <w:rPr>
                <w:rFonts w:ascii="Georgia" w:cs="Georgia" w:eastAsia="Georgia" w:hAnsi="Georgia"/>
                <w:b/>
                <w:bCs/>
                <w:color w:val="C9762A"/>
                <w:spacing w:val="25"/>
                <w:sz w:val="14"/>
                <w:szCs w:val="14"/>
              </w:rPr>
              <w:t xml:space="preserve">WHO GETS WHICH FILE</w:t>
            </w:r>
          </w:p>
          <w:p>
            <w:pPr>
              <w:spacing w:after="120" w:line="276"/>
            </w:pPr>
            <w:r>
              <w:rPr>
                <w:rFonts w:ascii="Calibri" w:cs="Calibri" w:eastAsia="Calibri" w:hAnsi="Calibri"/>
                <w:color w:val="2C2422"/>
                <w:sz w:val="21"/>
                <w:szCs w:val="21"/>
              </w:rPr>
              <w:t xml:space="preserve">Exports follow the same rule as the screens in section 05. </w:t>
            </w:r>
            <w:r>
              <w:rPr>
                <w:rFonts w:ascii="Calibri" w:cs="Calibri" w:eastAsia="Calibri" w:hAnsi="Calibri"/>
                <w:b/>
                <w:bCs/>
                <w:color w:val="2C2422"/>
                <w:sz w:val="21"/>
                <w:szCs w:val="21"/>
              </w:rPr>
              <w:t xml:space="preserve">Admin exports carry identity</w:t>
            </w:r>
            <w:r>
              <w:rPr>
                <w:rFonts w:ascii="Calibri" w:cs="Calibri" w:eastAsia="Calibri" w:hAnsi="Calibri"/>
                <w:color w:val="2C2422"/>
                <w:sz w:val="21"/>
                <w:szCs w:val="21"/>
              </w:rPr>
              <w:t xml:space="preserve"> — name, email, phone — because admin already has that access and needs it to resolve payment and reward queries. </w:t>
            </w:r>
            <w:r>
              <w:rPr>
                <w:rFonts w:ascii="Calibri" w:cs="Calibri" w:eastAsia="Calibri" w:hAnsi="Calibri"/>
                <w:b/>
                <w:bCs/>
                <w:color w:val="2C2422"/>
                <w:sz w:val="21"/>
                <w:szCs w:val="21"/>
              </w:rPr>
              <w:t xml:space="preserve">Brand exports are anonymised at the point of generation</w:t>
            </w:r>
            <w:r>
              <w:rPr>
                <w:rFonts w:ascii="Calibri" w:cs="Calibri" w:eastAsia="Calibri" w:hAnsi="Calibri"/>
                <w:color w:val="2C2422"/>
                <w:sz w:val="21"/>
                <w:szCs w:val="21"/>
              </w:rPr>
              <w:t xml:space="preserve">: each respondent appears as a stable reference (RSP-00042) plus their demographic answers, never a name or contact detail. The anonymisation happens when the file is built, not by hiding columns in the interface, so there is no version of the brand's file that contains identity at all.</w:t>
            </w:r>
          </w:p>
          <w:p>
            <w:pPr>
              <w:spacing w:line="276"/>
            </w:pPr>
            <w:r>
              <w:rPr>
                <w:rFonts w:ascii="Calibri" w:cs="Calibri" w:eastAsia="Calibri" w:hAnsi="Calibri"/>
                <w:color w:val="2C2422"/>
                <w:sz w:val="21"/>
                <w:szCs w:val="21"/>
              </w:rPr>
              <w:t xml:space="preserve">Rejected and pending-review responses are excluded from the brand's exports by default, with a toggle for admin to include them when auditing.</w:t>
            </w:r>
          </w:p>
        </w:tc>
      </w:tr>
    </w:tbl>
    <w:p>
      <w:pPr>
        <w:spacing w:after="160"/>
      </w:pPr>
      <w:r>
        <w:rPr>
          <w:sz w:val="2"/>
          <w:szCs w:val="2"/>
        </w:rPr>
        <w:t xml:space="preserve"/>
      </w:r>
    </w:p>
    <w:p>
      <w:pPr>
        <w:pStyle w:val="Heading2"/>
        <w:spacing w:after="100" w:before="300"/>
      </w:pPr>
      <w:r>
        <w:rPr>
          <w:rFonts w:ascii="Georgia" w:cs="Georgia" w:eastAsia="Georgia" w:hAnsi="Georgia"/>
          <w:b/>
          <w:bCs/>
          <w:color w:val="2C2422"/>
          <w:sz w:val="23"/>
          <w:szCs w:val="23"/>
        </w:rPr>
        <w:t xml:space="preserve">Format, and one dependency question</w:t>
      </w:r>
    </w:p>
    <w:p>
      <w:pPr>
        <w:spacing w:after="140" w:line="276"/>
      </w:pPr>
      <w:r>
        <w:rPr>
          <w:rFonts w:ascii="Calibri" w:cs="Calibri" w:eastAsia="Calibri" w:hAnsi="Calibri"/>
          <w:b w:val="false"/>
          <w:bCs w:val="false"/>
          <w:i w:val="false"/>
          <w:iCs w:val="false"/>
          <w:color w:val="2C2422"/>
          <w:sz w:val="21"/>
          <w:szCs w:val="21"/>
        </w:rPr>
        <w:t xml:space="preserve">CSV is the default: it opens in Excel, Google Sheets and Numbers, needs no library, and matches the export the platform already ships. If you want a formatted </w:t>
      </w:r>
      <w:r>
        <w:rPr>
          <w:rFonts w:ascii="Calibri" w:cs="Calibri" w:eastAsia="Calibri" w:hAnsi="Calibri"/>
          <w:b/>
          <w:bCs/>
          <w:i w:val="false"/>
          <w:iCs w:val="false"/>
          <w:color w:val="2C2422"/>
          <w:sz w:val="21"/>
          <w:szCs w:val="21"/>
        </w:rPr>
        <w:t xml:space="preserve">.xlsx</w:t>
      </w:r>
      <w:r>
        <w:rPr>
          <w:rFonts w:ascii="Calibri" w:cs="Calibri" w:eastAsia="Calibri" w:hAnsi="Calibri"/>
          <w:b w:val="false"/>
          <w:bCs w:val="false"/>
          <w:i w:val="false"/>
          <w:iCs w:val="false"/>
          <w:color w:val="2C2422"/>
          <w:sz w:val="21"/>
          <w:szCs w:val="21"/>
        </w:rPr>
        <w:t xml:space="preserve"> instead — multiple tabs in one workbook, frozen headers, the summary and the raw data side by side — that is a small addition, but it does mean adding a spreadsheet library. Worth deciding before we build the exports rather than after; it is listed in the decisions below.</w:t>
      </w:r>
    </w:p>
    <w:p>
      <w:pPr>
        <w:spacing w:after="140" w:line="276"/>
      </w:pPr>
      <w:r>
        <w:rPr>
          <w:rFonts w:ascii="Calibri" w:cs="Calibri" w:eastAsia="Calibri" w:hAnsi="Calibri"/>
          <w:b w:val="false"/>
          <w:bCs w:val="false"/>
          <w:i w:val="false"/>
          <w:iCs w:val="false"/>
          <w:color w:val="2C2422"/>
          <w:sz w:val="21"/>
          <w:szCs w:val="21"/>
        </w:rPr>
        <w:t xml:space="preserve">Scheduled or emailed reports (“send the brand their campaign report when the survey closes”) are deliberately not in this phase. The platform queues emails but has no email provider connected yet, so anything automatic depends on that being provisioned first. Until then, exports are downloaded on demand from the dashboard.</w:t>
      </w:r>
    </w:p>
    <w:p>
      <w:pPr>
        <w:pStyle w:val="Heading1"/>
        <w:spacing w:after="120" w:before="460"/>
      </w:pPr>
      <w:r>
        <w:rPr>
          <w:rFonts w:ascii="Georgia" w:cs="Georgia" w:eastAsia="Georgia" w:hAnsi="Georgia"/>
          <w:b/>
          <w:bCs/>
          <w:color w:val="C9762A"/>
          <w:sz w:val="22"/>
          <w:szCs w:val="22"/>
        </w:rPr>
        <w:t xml:space="preserve">07   </w:t>
      </w:r>
      <w:r>
        <w:rPr>
          <w:rFonts w:ascii="Georgia" w:cs="Georgia" w:eastAsia="Georgia" w:hAnsi="Georgia"/>
          <w:b/>
          <w:bCs/>
          <w:color w:val="2C2422"/>
          <w:sz w:val="30"/>
          <w:szCs w:val="30"/>
        </w:rPr>
        <w:t xml:space="preserve">Build order</w:t>
      </w:r>
    </w:p>
    <w:p>
      <w:pPr>
        <w:spacing w:after="140" w:line="276"/>
      </w:pPr>
      <w:r>
        <w:rPr>
          <w:rFonts w:ascii="Calibri" w:cs="Calibri" w:eastAsia="Calibri" w:hAnsi="Calibri"/>
          <w:b w:val="false"/>
          <w:bCs w:val="false"/>
          <w:i w:val="false"/>
          <w:iCs w:val="false"/>
          <w:color w:val="6F6360"/>
          <w:sz w:val="21"/>
          <w:szCs w:val="21"/>
        </w:rPr>
        <w:t xml:space="preserve">Sequenced so the quality engine can be developed in parallel with the drag-and-drop UI rather than queued behind it. Sizes are relative; dates follow once the decisions in the next section are closed.</w:t>
      </w:r>
    </w:p>
    <w:tbl>
      <w:tblPr>
        <w:tblW w:type="dxa" w:w="9638"/>
        <w:tblBorders>
          <w:top w:val="single" w:color="E6DBCF" w:sz="4"/>
          <w:left w:val="single" w:color="E6DBCF" w:sz="4"/>
          <w:bottom w:val="single" w:color="E6DBCF" w:sz="4"/>
          <w:right w:val="single" w:color="E6DBCF" w:sz="4"/>
          <w:insideH w:val="single" w:color="E6DBCF" w:sz="4"/>
          <w:insideV w:val="single" w:color="E6DBCF" w:sz="4"/>
        </w:tblBorders>
      </w:tblPr>
      <w:tblGrid>
        <w:gridCol w:w="2700"/>
        <w:gridCol w:w="5638"/>
        <w:gridCol w:w="1300"/>
      </w:tblGrid>
      <w:tr>
        <w:trPr>
          <w:tblHeader/>
        </w:trPr>
        <w:tc>
          <w:tcPr>
            <w:tcW w:type="dxa" w:w="2700"/>
            <w:shd w:fill="F6EFE6" w:color="auto" w:val="clear"/>
            <w:tcMar>
              <w:top w:type="dxa" w:w="110"/>
              <w:left w:type="dxa" w:w="140"/>
              <w:bottom w:type="dxa" w:w="110"/>
              <w:right w:type="dxa" w:w="140"/>
            </w:tcMar>
          </w:tcPr>
          <w:p>
            <w:r>
              <w:rPr>
                <w:rFonts w:ascii="Georgia" w:cs="Georgia" w:eastAsia="Georgia" w:hAnsi="Georgia"/>
                <w:b/>
                <w:bCs/>
                <w:color w:val="8D7C75"/>
                <w:spacing w:val="25"/>
                <w:sz w:val="14"/>
                <w:szCs w:val="14"/>
              </w:rPr>
              <w:t xml:space="preserve">STEP</w:t>
            </w:r>
          </w:p>
        </w:tc>
        <w:tc>
          <w:tcPr>
            <w:tcW w:type="dxa" w:w="5638"/>
            <w:shd w:fill="F6EFE6" w:color="auto" w:val="clear"/>
            <w:tcMar>
              <w:top w:type="dxa" w:w="110"/>
              <w:left w:type="dxa" w:w="140"/>
              <w:bottom w:type="dxa" w:w="110"/>
              <w:right w:type="dxa" w:w="140"/>
            </w:tcMar>
          </w:tcPr>
          <w:p>
            <w:r>
              <w:rPr>
                <w:rFonts w:ascii="Georgia" w:cs="Georgia" w:eastAsia="Georgia" w:hAnsi="Georgia"/>
                <w:b/>
                <w:bCs/>
                <w:color w:val="8D7C75"/>
                <w:spacing w:val="25"/>
                <w:sz w:val="14"/>
                <w:szCs w:val="14"/>
              </w:rPr>
              <w:t xml:space="preserve">WHAT IT DELIVERS</w:t>
            </w:r>
          </w:p>
        </w:tc>
        <w:tc>
          <w:tcPr>
            <w:tcW w:type="dxa" w:w="1300"/>
            <w:shd w:fill="F6EFE6" w:color="auto" w:val="clear"/>
            <w:tcMar>
              <w:top w:type="dxa" w:w="110"/>
              <w:left w:type="dxa" w:w="140"/>
              <w:bottom w:type="dxa" w:w="110"/>
              <w:right w:type="dxa" w:w="140"/>
            </w:tcMar>
          </w:tcPr>
          <w:p>
            <w:r>
              <w:rPr>
                <w:rFonts w:ascii="Georgia" w:cs="Georgia" w:eastAsia="Georgia" w:hAnsi="Georgia"/>
                <w:b/>
                <w:bCs/>
                <w:color w:val="8D7C75"/>
                <w:spacing w:val="25"/>
                <w:sz w:val="14"/>
                <w:szCs w:val="14"/>
              </w:rPr>
              <w:t xml:space="preserve">SIZE</w:t>
            </w:r>
          </w:p>
        </w:tc>
      </w:tr>
      <w:tr>
        <w:tc>
          <w:tcPr>
            <w:tcW w:type="dxa" w:w="2700"/>
            <w:tcMar>
              <w:top w:type="dxa" w:w="110"/>
              <w:left w:type="dxa" w:w="140"/>
              <w:bottom w:type="dxa" w:w="110"/>
              <w:right w:type="dxa" w:w="140"/>
            </w:tcMar>
          </w:tcPr>
          <w:p>
            <w:pPr>
              <w:spacing w:line="260"/>
            </w:pPr>
            <w:r>
              <w:rPr>
                <w:rFonts w:ascii="Calibri" w:cs="Calibri" w:eastAsia="Calibri" w:hAnsi="Calibri"/>
                <w:b/>
                <w:bCs/>
                <w:i w:val="false"/>
                <w:iCs w:val="false"/>
                <w:color w:val="2C2422"/>
                <w:sz w:val="20"/>
                <w:szCs w:val="20"/>
              </w:rPr>
              <w:t xml:space="preserve">1. Database foundation</w:t>
            </w:r>
          </w:p>
        </w:tc>
        <w:tc>
          <w:tcPr>
            <w:tcW w:type="dxa" w:w="5638"/>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The four tables, the access rules, and the one-response-per-person constraint.</w:t>
            </w:r>
          </w:p>
        </w:tc>
        <w:tc>
          <w:tcPr>
            <w:tcW w:type="dxa" w:w="1300"/>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Small</w:t>
            </w:r>
          </w:p>
        </w:tc>
      </w:tr>
      <w:tr>
        <w:tc>
          <w:tcPr>
            <w:tcW w:type="dxa" w:w="2700"/>
            <w:tcMar>
              <w:top w:type="dxa" w:w="110"/>
              <w:left w:type="dxa" w:w="140"/>
              <w:bottom w:type="dxa" w:w="110"/>
              <w:right w:type="dxa" w:w="140"/>
            </w:tcMar>
          </w:tcPr>
          <w:p>
            <w:pPr>
              <w:spacing w:line="260"/>
            </w:pPr>
            <w:r>
              <w:rPr>
                <w:rFonts w:ascii="Calibri" w:cs="Calibri" w:eastAsia="Calibri" w:hAnsi="Calibri"/>
                <w:b/>
                <w:bCs/>
                <w:i w:val="false"/>
                <w:iCs w:val="false"/>
                <w:color w:val="2C2422"/>
                <w:sz w:val="20"/>
                <w:szCs w:val="20"/>
              </w:rPr>
              <w:t xml:space="preserve">2. Participant survey screen</w:t>
            </w:r>
          </w:p>
        </w:tc>
        <w:tc>
          <w:tcPr>
            <w:tcW w:type="dxa" w:w="5638"/>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All eleven question types rendering against a hand-built test survey, with the timing capture. Unblocks work on the engine before the builder UI exists.</w:t>
            </w:r>
          </w:p>
        </w:tc>
        <w:tc>
          <w:tcPr>
            <w:tcW w:type="dxa" w:w="1300"/>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Medium</w:t>
            </w:r>
          </w:p>
        </w:tc>
      </w:tr>
      <w:tr>
        <w:tc>
          <w:tcPr>
            <w:tcW w:type="dxa" w:w="2700"/>
            <w:tcMar>
              <w:top w:type="dxa" w:w="110"/>
              <w:left w:type="dxa" w:w="140"/>
              <w:bottom w:type="dxa" w:w="110"/>
              <w:right w:type="dxa" w:w="140"/>
            </w:tcMar>
          </w:tcPr>
          <w:p>
            <w:pPr>
              <w:spacing w:line="260"/>
            </w:pPr>
            <w:r>
              <w:rPr>
                <w:rFonts w:ascii="Calibri" w:cs="Calibri" w:eastAsia="Calibri" w:hAnsi="Calibri"/>
                <w:b/>
                <w:bCs/>
                <w:i w:val="false"/>
                <w:iCs w:val="false"/>
                <w:color w:val="2C2422"/>
                <w:sz w:val="20"/>
                <w:szCs w:val="20"/>
              </w:rPr>
              <w:t xml:space="preserve">3. Submission pipeline</w:t>
            </w:r>
          </w:p>
        </w:tc>
        <w:tc>
          <w:tcPr>
            <w:tcW w:type="dxa" w:w="5638"/>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CAPTCHA, honeypot, rate limiting, eligibility, duplicate matching, server-side validation — stages 1 to 3 of section 03.</w:t>
            </w:r>
          </w:p>
        </w:tc>
        <w:tc>
          <w:tcPr>
            <w:tcW w:type="dxa" w:w="1300"/>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Medium</w:t>
            </w:r>
          </w:p>
        </w:tc>
      </w:tr>
      <w:tr>
        <w:tc>
          <w:tcPr>
            <w:tcW w:type="dxa" w:w="2700"/>
            <w:tcMar>
              <w:top w:type="dxa" w:w="110"/>
              <w:left w:type="dxa" w:w="140"/>
              <w:bottom w:type="dxa" w:w="110"/>
              <w:right w:type="dxa" w:w="140"/>
            </w:tcMar>
          </w:tcPr>
          <w:p>
            <w:pPr>
              <w:spacing w:line="260"/>
            </w:pPr>
            <w:r>
              <w:rPr>
                <w:rFonts w:ascii="Calibri" w:cs="Calibri" w:eastAsia="Calibri" w:hAnsi="Calibri"/>
                <w:b/>
                <w:bCs/>
                <w:i w:val="false"/>
                <w:iCs w:val="false"/>
                <w:color w:val="2C2422"/>
                <w:sz w:val="20"/>
                <w:szCs w:val="20"/>
              </w:rPr>
              <w:t xml:space="preserve">4. Admin drag-and-drop builder</w:t>
            </w:r>
          </w:p>
        </w:tc>
        <w:tc>
          <w:tcPr>
            <w:tcW w:type="dxa" w:w="5638"/>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Palette, form canvas, question settings, live preview, save and publish. The largest single piece, and the most visible one.</w:t>
            </w:r>
          </w:p>
        </w:tc>
        <w:tc>
          <w:tcPr>
            <w:tcW w:type="dxa" w:w="1300"/>
            <w:tcMar>
              <w:top w:type="dxa" w:w="110"/>
              <w:left w:type="dxa" w:w="140"/>
              <w:bottom w:type="dxa" w:w="110"/>
              <w:right w:type="dxa" w:w="140"/>
            </w:tcMar>
          </w:tcPr>
          <w:p>
            <w:pPr>
              <w:spacing w:line="260"/>
            </w:pPr>
            <w:r>
              <w:rPr>
                <w:rFonts w:ascii="Calibri" w:cs="Calibri" w:eastAsia="Calibri" w:hAnsi="Calibri"/>
                <w:b/>
                <w:bCs/>
                <w:i w:val="false"/>
                <w:iCs w:val="false"/>
                <w:color w:val="C9762A"/>
                <w:sz w:val="20"/>
                <w:szCs w:val="20"/>
              </w:rPr>
              <w:t xml:space="preserve">Large</w:t>
            </w:r>
          </w:p>
        </w:tc>
      </w:tr>
      <w:tr>
        <w:tc>
          <w:tcPr>
            <w:tcW w:type="dxa" w:w="2700"/>
            <w:tcMar>
              <w:top w:type="dxa" w:w="110"/>
              <w:left w:type="dxa" w:w="140"/>
              <w:bottom w:type="dxa" w:w="110"/>
              <w:right w:type="dxa" w:w="140"/>
            </w:tcMar>
          </w:tcPr>
          <w:p>
            <w:pPr>
              <w:spacing w:line="260"/>
            </w:pPr>
            <w:r>
              <w:rPr>
                <w:rFonts w:ascii="Calibri" w:cs="Calibri" w:eastAsia="Calibri" w:hAnsi="Calibri"/>
                <w:b/>
                <w:bCs/>
                <w:i w:val="false"/>
                <w:iCs w:val="false"/>
                <w:color w:val="2C2422"/>
                <w:sz w:val="20"/>
                <w:szCs w:val="20"/>
              </w:rPr>
              <w:t xml:space="preserve">5. Quality engine &amp; review queue</w:t>
            </w:r>
          </w:p>
        </w:tc>
        <w:tc>
          <w:tcPr>
            <w:tcW w:type="dxa" w:w="5638"/>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The nine signals, tunable weights, the three-band verdict, and the admin screens from section 04 — the queue and the individual response review.</w:t>
            </w:r>
          </w:p>
        </w:tc>
        <w:tc>
          <w:tcPr>
            <w:tcW w:type="dxa" w:w="1300"/>
            <w:tcMar>
              <w:top w:type="dxa" w:w="110"/>
              <w:left w:type="dxa" w:w="140"/>
              <w:bottom w:type="dxa" w:w="110"/>
              <w:right w:type="dxa" w:w="140"/>
            </w:tcMar>
          </w:tcPr>
          <w:p>
            <w:pPr>
              <w:spacing w:line="260"/>
            </w:pPr>
            <w:r>
              <w:rPr>
                <w:rFonts w:ascii="Calibri" w:cs="Calibri" w:eastAsia="Calibri" w:hAnsi="Calibri"/>
                <w:b/>
                <w:bCs/>
                <w:i w:val="false"/>
                <w:iCs w:val="false"/>
                <w:color w:val="C9762A"/>
                <w:sz w:val="20"/>
                <w:szCs w:val="20"/>
              </w:rPr>
              <w:t xml:space="preserve">Large</w:t>
            </w:r>
          </w:p>
        </w:tc>
      </w:tr>
      <w:tr>
        <w:tc>
          <w:tcPr>
            <w:tcW w:type="dxa" w:w="2700"/>
            <w:tcMar>
              <w:top w:type="dxa" w:w="110"/>
              <w:left w:type="dxa" w:w="140"/>
              <w:bottom w:type="dxa" w:w="110"/>
              <w:right w:type="dxa" w:w="140"/>
            </w:tcMar>
          </w:tcPr>
          <w:p>
            <w:pPr>
              <w:spacing w:line="260"/>
            </w:pPr>
            <w:r>
              <w:rPr>
                <w:rFonts w:ascii="Calibri" w:cs="Calibri" w:eastAsia="Calibri" w:hAnsi="Calibri"/>
                <w:b/>
                <w:bCs/>
                <w:i w:val="false"/>
                <w:iCs w:val="false"/>
                <w:color w:val="2C2422"/>
                <w:sz w:val="20"/>
                <w:szCs w:val="20"/>
              </w:rPr>
              <w:t xml:space="preserve">6. Reward gating</w:t>
            </w:r>
          </w:p>
        </w:tc>
        <w:tc>
          <w:tcPr>
            <w:tcW w:type="dxa" w:w="5638"/>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Switch reward issuance from admin discretion to the pass verdict, and add survey completion figures to the brand dashboard.</w:t>
            </w:r>
          </w:p>
        </w:tc>
        <w:tc>
          <w:tcPr>
            <w:tcW w:type="dxa" w:w="1300"/>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Small</w:t>
            </w:r>
          </w:p>
        </w:tc>
      </w:tr>
      <w:tr>
        <w:tc>
          <w:tcPr>
            <w:tcW w:type="dxa" w:w="2700"/>
            <w:tcMar>
              <w:top w:type="dxa" w:w="110"/>
              <w:left w:type="dxa" w:w="140"/>
              <w:bottom w:type="dxa" w:w="110"/>
              <w:right w:type="dxa" w:w="140"/>
            </w:tcMar>
          </w:tcPr>
          <w:p>
            <w:pPr>
              <w:spacing w:line="260"/>
            </w:pPr>
            <w:r>
              <w:rPr>
                <w:rFonts w:ascii="Calibri" w:cs="Calibri" w:eastAsia="Calibri" w:hAnsi="Calibri"/>
                <w:b/>
                <w:bCs/>
                <w:i w:val="false"/>
                <w:iCs w:val="false"/>
                <w:color w:val="2C2422"/>
                <w:sz w:val="20"/>
                <w:szCs w:val="20"/>
              </w:rPr>
              <w:t xml:space="preserve">7. Results, analytics &amp; exports</w:t>
            </w:r>
          </w:p>
        </w:tc>
        <w:tc>
          <w:tcPr>
            <w:tcW w:type="dxa" w:w="5638"/>
            <w:tcMar>
              <w:top w:type="dxa" w:w="110"/>
              <w:left w:type="dxa" w:w="140"/>
              <w:bottom w:type="dxa" w:w="110"/>
              <w:right w:type="dxa" w:w="140"/>
            </w:tcMar>
          </w:tcPr>
          <w:p>
            <w:pPr>
              <w:spacing w:line="260"/>
            </w:pPr>
            <w:r>
              <w:rPr>
                <w:rFonts w:ascii="Calibri" w:cs="Calibri" w:eastAsia="Calibri" w:hAnsi="Calibri"/>
                <w:b w:val="false"/>
                <w:bCs w:val="false"/>
                <w:i w:val="false"/>
                <w:iCs w:val="false"/>
                <w:color w:val="2C2422"/>
                <w:sz w:val="20"/>
                <w:szCs w:val="20"/>
              </w:rPr>
              <w:t xml:space="preserve">The survey results page, the pre/post comparison, and the four spreadsheet exports — everything in section 06.</w:t>
            </w:r>
          </w:p>
        </w:tc>
        <w:tc>
          <w:tcPr>
            <w:tcW w:type="dxa" w:w="1300"/>
            <w:tcMar>
              <w:top w:type="dxa" w:w="110"/>
              <w:left w:type="dxa" w:w="140"/>
              <w:bottom w:type="dxa" w:w="110"/>
              <w:right w:type="dxa" w:w="140"/>
            </w:tcMar>
          </w:tcPr>
          <w:p>
            <w:pPr>
              <w:spacing w:line="260"/>
            </w:pPr>
            <w:r>
              <w:rPr>
                <w:rFonts w:ascii="Calibri" w:cs="Calibri" w:eastAsia="Calibri" w:hAnsi="Calibri"/>
                <w:b/>
                <w:bCs/>
                <w:i w:val="false"/>
                <w:iCs w:val="false"/>
                <w:color w:val="C9762A"/>
                <w:sz w:val="20"/>
                <w:szCs w:val="20"/>
              </w:rPr>
              <w:t xml:space="preserve">Medium</w:t>
            </w:r>
          </w:p>
        </w:tc>
      </w:tr>
    </w:tbl>
    <w:p>
      <w:pPr>
        <w:spacing w:after="160"/>
      </w:pPr>
      <w:r>
        <w:rPr>
          <w:sz w:val="2"/>
          <w:szCs w:val="2"/>
        </w:rPr>
        <w:t xml:space="preserve"/>
      </w:r>
    </w:p>
    <w:p>
      <w:pPr>
        <w:spacing w:after="140" w:line="276"/>
      </w:pPr>
      <w:r>
        <w:rPr>
          <w:rFonts w:ascii="Calibri" w:cs="Calibri" w:eastAsia="Calibri" w:hAnsi="Calibri"/>
          <w:b w:val="false"/>
          <w:bCs w:val="false"/>
          <w:i w:val="false"/>
          <w:iCs w:val="false"/>
          <w:color w:val="2C2422"/>
          <w:sz w:val="21"/>
          <w:szCs w:val="21"/>
        </w:rPr>
        <w:t xml:space="preserve">One new open-source library is needed for the drag-and-drop, chosen because it is keyboard-accessible out of the box — an admin using a screen reader can still reorder questions — and because the same library drives the participant-facing ranking question. One dependency covers both sides.</w:t>
      </w:r>
    </w:p>
    <w:p>
      <w:pPr>
        <w:pStyle w:val="Heading1"/>
        <w:spacing w:after="120" w:before="460"/>
      </w:pPr>
      <w:r>
        <w:rPr>
          <w:rFonts w:ascii="Georgia" w:cs="Georgia" w:eastAsia="Georgia" w:hAnsi="Georgia"/>
          <w:b/>
          <w:bCs/>
          <w:color w:val="C9762A"/>
          <w:sz w:val="22"/>
          <w:szCs w:val="22"/>
        </w:rPr>
        <w:t xml:space="preserve">08   </w:t>
      </w:r>
      <w:r>
        <w:rPr>
          <w:rFonts w:ascii="Georgia" w:cs="Georgia" w:eastAsia="Georgia" w:hAnsi="Georgia"/>
          <w:b/>
          <w:bCs/>
          <w:color w:val="2C2422"/>
          <w:sz w:val="30"/>
          <w:szCs w:val="30"/>
        </w:rPr>
        <w:t xml:space="preserve">Decisions we need before starting</w:t>
      </w:r>
    </w:p>
    <w:p>
      <w:pPr>
        <w:spacing w:after="140" w:line="276"/>
      </w:pPr>
      <w:r>
        <w:rPr>
          <w:rFonts w:ascii="Calibri" w:cs="Calibri" w:eastAsia="Calibri" w:hAnsi="Calibri"/>
          <w:b w:val="false"/>
          <w:bCs w:val="false"/>
          <w:i w:val="false"/>
          <w:iCs w:val="false"/>
          <w:color w:val="6F6360"/>
          <w:sz w:val="21"/>
          <w:szCs w:val="21"/>
        </w:rPr>
        <w:t xml:space="preserve">Seven open points. The first three change what gets built; the rest can be settled while build is underway, but not after launch.</w:t>
      </w:r>
    </w:p>
    <w:p>
      <w:pPr>
        <w:pBdr>
          <w:bottom w:val="single" w:color="E6DBCF" w:sz="6"/>
        </w:pBdr>
        <w:spacing w:after="120" w:before="120"/>
      </w:pPr>
      <w:r>
        <w:rPr>
          <w:sz w:val="2"/>
          <w:szCs w:val="2"/>
        </w:rPr>
        <w:t xml:space="preserve"/>
      </w:r>
    </w:p>
    <w:p>
      <w:pPr>
        <w:spacing w:after="60" w:line="276"/>
      </w:pPr>
      <w:r>
        <w:rPr>
          <w:rFonts w:ascii="Calibri" w:cs="Calibri" w:eastAsia="Calibri" w:hAnsi="Calibri"/>
          <w:b/>
          <w:bCs/>
          <w:i w:val="false"/>
          <w:iCs w:val="false"/>
          <w:color w:val="2C2422"/>
          <w:sz w:val="22"/>
          <w:szCs w:val="22"/>
        </w:rPr>
        <w:t xml:space="preserve">On a pass, does the reward code issue automatically, or does admin confirm each one?</w:t>
      </w:r>
    </w:p>
    <w:p>
      <w:pPr>
        <w:spacing w:after="60" w:line="276"/>
      </w:pPr>
      <w:r>
        <w:rPr>
          <w:rFonts w:ascii="Calibri" w:cs="Calibri" w:eastAsia="Calibri" w:hAnsi="Calibri"/>
          <w:b w:val="false"/>
          <w:bCs w:val="false"/>
          <w:i w:val="false"/>
          <w:iCs w:val="false"/>
          <w:color w:val="2C2422"/>
          <w:sz w:val="21"/>
          <w:szCs w:val="21"/>
        </w:rPr>
        <w:t xml:space="preserve">Automatic means admin only ever touches the 60–79 band — the only version that holds up at fifty or more responses per campaign. Confirming each release puts a person behind every code, but turns hundreds of clear passes into clicks. Our recommendation: build it automatic with bulk issue, and run the first live campaign on manual confirmation as a calibration check, so you can see how the thresholds behave before codes go out unattended.</w:t>
      </w:r>
    </w:p>
    <w:p>
      <w:pPr>
        <w:spacing w:after="0" w:line="276"/>
      </w:pPr>
      <w:r>
        <w:rPr>
          <w:rFonts w:ascii="Calibri" w:cs="Calibri" w:eastAsia="Calibri" w:hAnsi="Calibri"/>
          <w:b/>
          <w:bCs/>
          <w:i w:val="false"/>
          <w:iCs w:val="false"/>
          <w:color w:val="8D7C75"/>
          <w:sz w:val="15"/>
          <w:szCs w:val="15"/>
        </w:rPr>
        <w:t xml:space="preserve">BLOCKS · REWARD GATING</w:t>
      </w:r>
    </w:p>
    <w:p>
      <w:pPr>
        <w:pBdr>
          <w:bottom w:val="single" w:color="E6DBCF" w:sz="6"/>
        </w:pBdr>
        <w:spacing w:after="120" w:before="120"/>
      </w:pPr>
      <w:r>
        <w:rPr>
          <w:sz w:val="2"/>
          <w:szCs w:val="2"/>
        </w:rPr>
        <w:t xml:space="preserve"/>
      </w:r>
    </w:p>
    <w:p>
      <w:pPr>
        <w:spacing w:after="60" w:line="276"/>
      </w:pPr>
      <w:r>
        <w:rPr>
          <w:rFonts w:ascii="Calibri" w:cs="Calibri" w:eastAsia="Calibri" w:hAnsi="Calibri"/>
          <w:b/>
          <w:bCs/>
          <w:i w:val="false"/>
          <w:iCs w:val="false"/>
          <w:color w:val="2C2422"/>
          <w:sz w:val="22"/>
          <w:szCs w:val="22"/>
        </w:rPr>
        <w:t xml:space="preserve">Does the question limit vary by package?</w:t>
      </w:r>
    </w:p>
    <w:p>
      <w:pPr>
        <w:spacing w:after="60" w:line="276"/>
      </w:pPr>
      <w:r>
        <w:rPr>
          <w:rFonts w:ascii="Calibri" w:cs="Calibri" w:eastAsia="Calibri" w:hAnsi="Calibri"/>
          <w:b w:val="false"/>
          <w:bCs w:val="false"/>
          <w:i w:val="false"/>
          <w:iCs w:val="false"/>
          <w:color w:val="2C2422"/>
          <w:sz w:val="21"/>
          <w:szCs w:val="21"/>
        </w:rPr>
        <w:t xml:space="preserve">The packages document says “up to 15 research questions, depending on package”. If the cap differs per tier, the builder has to enforce it and tell the admin when they hit it. We need the per-package numbers.</w:t>
      </w:r>
    </w:p>
    <w:p>
      <w:pPr>
        <w:spacing w:after="0" w:line="276"/>
      </w:pPr>
      <w:r>
        <w:rPr>
          <w:rFonts w:ascii="Calibri" w:cs="Calibri" w:eastAsia="Calibri" w:hAnsi="Calibri"/>
          <w:b/>
          <w:bCs/>
          <w:i w:val="false"/>
          <w:iCs w:val="false"/>
          <w:color w:val="8D7C75"/>
          <w:sz w:val="15"/>
          <w:szCs w:val="15"/>
        </w:rPr>
        <w:t xml:space="preserve">BLOCKS · BUILDER BUILD</w:t>
      </w:r>
    </w:p>
    <w:p>
      <w:pPr>
        <w:pBdr>
          <w:bottom w:val="single" w:color="E6DBCF" w:sz="6"/>
        </w:pBdr>
        <w:spacing w:after="120" w:before="120"/>
      </w:pPr>
      <w:r>
        <w:rPr>
          <w:sz w:val="2"/>
          <w:szCs w:val="2"/>
        </w:rPr>
        <w:t xml:space="preserve"/>
      </w:r>
    </w:p>
    <w:p>
      <w:pPr>
        <w:spacing w:after="60" w:line="276"/>
      </w:pPr>
      <w:r>
        <w:rPr>
          <w:rFonts w:ascii="Calibri" w:cs="Calibri" w:eastAsia="Calibri" w:hAnsi="Calibri"/>
          <w:b/>
          <w:bCs/>
          <w:i w:val="false"/>
          <w:iCs w:val="false"/>
          <w:color w:val="2C2422"/>
          <w:sz w:val="22"/>
          <w:szCs w:val="22"/>
        </w:rPr>
        <w:t xml:space="preserve">Can a published survey be edited once responses exist?</w:t>
      </w:r>
    </w:p>
    <w:p>
      <w:pPr>
        <w:spacing w:after="60" w:line="276"/>
      </w:pPr>
      <w:r>
        <w:rPr>
          <w:rFonts w:ascii="Calibri" w:cs="Calibri" w:eastAsia="Calibri" w:hAnsi="Calibri"/>
          <w:b w:val="false"/>
          <w:bCs w:val="false"/>
          <w:i w:val="false"/>
          <w:iCs w:val="false"/>
          <w:color w:val="2C2422"/>
          <w:sz w:val="21"/>
          <w:szCs w:val="21"/>
        </w:rPr>
        <w:t xml:space="preserve">Our proposal: reordering and adding are allowed, deleting is not, and changing the wording of a question that already has answers creates a new version rather than silently rewriting history. Confirm that is acceptable, or we build stricter versioning.</w:t>
      </w:r>
    </w:p>
    <w:p>
      <w:pPr>
        <w:spacing w:after="0" w:line="276"/>
      </w:pPr>
      <w:r>
        <w:rPr>
          <w:rFonts w:ascii="Calibri" w:cs="Calibri" w:eastAsia="Calibri" w:hAnsi="Calibri"/>
          <w:b/>
          <w:bCs/>
          <w:i w:val="false"/>
          <w:iCs w:val="false"/>
          <w:color w:val="8D7C75"/>
          <w:sz w:val="15"/>
          <w:szCs w:val="15"/>
        </w:rPr>
        <w:t xml:space="preserve">BLOCKS · DATA MODEL</w:t>
      </w:r>
    </w:p>
    <w:p>
      <w:pPr>
        <w:pBdr>
          <w:bottom w:val="single" w:color="E6DBCF" w:sz="6"/>
        </w:pBdr>
        <w:spacing w:after="120" w:before="120"/>
      </w:pPr>
      <w:r>
        <w:rPr>
          <w:sz w:val="2"/>
          <w:szCs w:val="2"/>
        </w:rPr>
        <w:t xml:space="preserve"/>
      </w:r>
    </w:p>
    <w:p>
      <w:pPr>
        <w:spacing w:after="60" w:line="276"/>
      </w:pPr>
      <w:r>
        <w:rPr>
          <w:rFonts w:ascii="Calibri" w:cs="Calibri" w:eastAsia="Calibri" w:hAnsi="Calibri"/>
          <w:b/>
          <w:bCs/>
          <w:i w:val="false"/>
          <w:iCs w:val="false"/>
          <w:color w:val="2C2422"/>
          <w:sz w:val="22"/>
          <w:szCs w:val="22"/>
        </w:rPr>
        <w:t xml:space="preserve">Where does the attention-check question sit?</w:t>
      </w:r>
    </w:p>
    <w:p>
      <w:pPr>
        <w:spacing w:after="60" w:line="276"/>
      </w:pPr>
      <w:r>
        <w:rPr>
          <w:rFonts w:ascii="Calibri" w:cs="Calibri" w:eastAsia="Calibri" w:hAnsi="Calibri"/>
          <w:b w:val="false"/>
          <w:bCs w:val="false"/>
          <w:i w:val="false"/>
          <w:iCs w:val="false"/>
          <w:color w:val="2C2422"/>
          <w:sz w:val="21"/>
          <w:szCs w:val="21"/>
        </w:rPr>
        <w:t xml:space="preserve">Fixed position for every respondent, or randomised per respondent? Randomising is harder to game and slightly more work to build.</w:t>
      </w:r>
    </w:p>
    <w:p>
      <w:pPr>
        <w:spacing w:after="0" w:line="276"/>
      </w:pPr>
      <w:r>
        <w:rPr>
          <w:rFonts w:ascii="Calibri" w:cs="Calibri" w:eastAsia="Calibri" w:hAnsi="Calibri"/>
          <w:b/>
          <w:bCs/>
          <w:i w:val="false"/>
          <w:iCs w:val="false"/>
          <w:color w:val="8D7C75"/>
          <w:sz w:val="15"/>
          <w:szCs w:val="15"/>
        </w:rPr>
        <w:t xml:space="preserve">AFFECTS · QUESTION ORDERING</w:t>
      </w:r>
    </w:p>
    <w:p>
      <w:pPr>
        <w:pBdr>
          <w:bottom w:val="single" w:color="E6DBCF" w:sz="6"/>
        </w:pBdr>
        <w:spacing w:after="120" w:before="120"/>
      </w:pPr>
      <w:r>
        <w:rPr>
          <w:sz w:val="2"/>
          <w:szCs w:val="2"/>
        </w:rPr>
        <w:t xml:space="preserve"/>
      </w:r>
    </w:p>
    <w:p>
      <w:pPr>
        <w:spacing w:after="60" w:line="276"/>
      </w:pPr>
      <w:r>
        <w:rPr>
          <w:rFonts w:ascii="Calibri" w:cs="Calibri" w:eastAsia="Calibri" w:hAnsi="Calibri"/>
          <w:b/>
          <w:bCs/>
          <w:i w:val="false"/>
          <w:iCs w:val="false"/>
          <w:color w:val="2C2422"/>
          <w:sz w:val="22"/>
          <w:szCs w:val="22"/>
        </w:rPr>
        <w:t xml:space="preserve">Are the score thresholds final?</w:t>
      </w:r>
    </w:p>
    <w:p>
      <w:pPr>
        <w:spacing w:after="60" w:line="276"/>
      </w:pPr>
      <w:r>
        <w:rPr>
          <w:rFonts w:ascii="Calibri" w:cs="Calibri" w:eastAsia="Calibri" w:hAnsi="Calibri"/>
          <w:b w:val="false"/>
          <w:bCs w:val="false"/>
          <w:i w:val="false"/>
          <w:iCs w:val="false"/>
          <w:color w:val="2C2422"/>
          <w:sz w:val="21"/>
          <w:szCs w:val="21"/>
        </w:rPr>
        <w:t xml:space="preserve">We will ship 80 / 60 as specified and make the weights adjustable so they can be tuned after the first live campaign, once we can see what real responses actually score.</w:t>
      </w:r>
    </w:p>
    <w:p>
      <w:pPr>
        <w:spacing w:after="0" w:line="276"/>
      </w:pPr>
      <w:r>
        <w:rPr>
          <w:rFonts w:ascii="Calibri" w:cs="Calibri" w:eastAsia="Calibri" w:hAnsi="Calibri"/>
          <w:b/>
          <w:bCs/>
          <w:i w:val="false"/>
          <w:iCs w:val="false"/>
          <w:color w:val="8D7C75"/>
          <w:sz w:val="15"/>
          <w:szCs w:val="15"/>
        </w:rPr>
        <w:t xml:space="preserve">CONFIRM · ENGINE TUNING</w:t>
      </w:r>
    </w:p>
    <w:p>
      <w:pPr>
        <w:pBdr>
          <w:bottom w:val="single" w:color="E6DBCF" w:sz="6"/>
        </w:pBdr>
        <w:spacing w:after="120" w:before="120"/>
      </w:pPr>
      <w:r>
        <w:rPr>
          <w:sz w:val="2"/>
          <w:szCs w:val="2"/>
        </w:rPr>
        <w:t xml:space="preserve"/>
      </w:r>
    </w:p>
    <w:p>
      <w:pPr>
        <w:spacing w:after="60" w:line="276"/>
      </w:pPr>
      <w:r>
        <w:rPr>
          <w:rFonts w:ascii="Calibri" w:cs="Calibri" w:eastAsia="Calibri" w:hAnsi="Calibri"/>
          <w:b/>
          <w:bCs/>
          <w:i w:val="false"/>
          <w:iCs w:val="false"/>
          <w:color w:val="2C2422"/>
          <w:sz w:val="22"/>
          <w:szCs w:val="22"/>
        </w:rPr>
        <w:t xml:space="preserve">CSV, or formatted Excel workbooks?</w:t>
      </w:r>
    </w:p>
    <w:p>
      <w:pPr>
        <w:spacing w:after="60" w:line="276"/>
      </w:pPr>
      <w:r>
        <w:rPr>
          <w:rFonts w:ascii="Calibri" w:cs="Calibri" w:eastAsia="Calibri" w:hAnsi="Calibri"/>
          <w:b w:val="false"/>
          <w:bCs w:val="false"/>
          <w:i w:val="false"/>
          <w:iCs w:val="false"/>
          <w:color w:val="2C2422"/>
          <w:sz w:val="21"/>
          <w:szCs w:val="21"/>
        </w:rPr>
        <w:t xml:space="preserve">CSV needs nothing new and opens everywhere. A formatted .xlsx — multiple tabs, frozen headers, summary and raw data in one file — looks better in a client report but adds a library. Our recommendation is to ship CSV with this phase and add .xlsx only if the brands ask for it.</w:t>
      </w:r>
    </w:p>
    <w:p>
      <w:pPr>
        <w:spacing w:after="0" w:line="276"/>
      </w:pPr>
      <w:r>
        <w:rPr>
          <w:rFonts w:ascii="Calibri" w:cs="Calibri" w:eastAsia="Calibri" w:hAnsi="Calibri"/>
          <w:b/>
          <w:bCs/>
          <w:i w:val="false"/>
          <w:iCs w:val="false"/>
          <w:color w:val="8D7C75"/>
          <w:sz w:val="15"/>
          <w:szCs w:val="15"/>
        </w:rPr>
        <w:t xml:space="preserve">AFFECTS · EXPORT BUILD</w:t>
      </w:r>
    </w:p>
    <w:p>
      <w:pPr>
        <w:pBdr>
          <w:bottom w:val="single" w:color="E6DBCF" w:sz="6"/>
        </w:pBdr>
        <w:spacing w:after="120" w:before="120"/>
      </w:pPr>
      <w:r>
        <w:rPr>
          <w:sz w:val="2"/>
          <w:szCs w:val="2"/>
        </w:rPr>
        <w:t xml:space="preserve"/>
      </w:r>
    </w:p>
    <w:p>
      <w:pPr>
        <w:spacing w:after="60" w:line="276"/>
      </w:pPr>
      <w:r>
        <w:rPr>
          <w:rFonts w:ascii="Calibri" w:cs="Calibri" w:eastAsia="Calibri" w:hAnsi="Calibri"/>
          <w:b/>
          <w:bCs/>
          <w:i w:val="false"/>
          <w:iCs w:val="false"/>
          <w:color w:val="2C2422"/>
          <w:sz w:val="22"/>
          <w:szCs w:val="22"/>
        </w:rPr>
        <w:t xml:space="preserve">How long do we keep raw survey answers?</w:t>
      </w:r>
    </w:p>
    <w:p>
      <w:pPr>
        <w:spacing w:after="60" w:line="276"/>
      </w:pPr>
      <w:r>
        <w:rPr>
          <w:rFonts w:ascii="Calibri" w:cs="Calibri" w:eastAsia="Calibri" w:hAnsi="Calibri"/>
          <w:b w:val="false"/>
          <w:bCs w:val="false"/>
          <w:i w:val="false"/>
          <w:iCs w:val="false"/>
          <w:color w:val="2C2422"/>
          <w:sz w:val="21"/>
          <w:szCs w:val="21"/>
        </w:rPr>
        <w:t xml:space="preserve">Answers are personal data. We should agree a retention period after which raw responses are deleted and only the aggregate results survive, and reflect it in the privacy policy before the first survey goes live.</w:t>
      </w:r>
    </w:p>
    <w:p>
      <w:pPr>
        <w:spacing w:after="0" w:line="276"/>
      </w:pPr>
      <w:r>
        <w:rPr>
          <w:rFonts w:ascii="Calibri" w:cs="Calibri" w:eastAsia="Calibri" w:hAnsi="Calibri"/>
          <w:b/>
          <w:bCs/>
          <w:i w:val="false"/>
          <w:iCs w:val="false"/>
          <w:color w:val="8D7C75"/>
          <w:sz w:val="15"/>
          <w:szCs w:val="15"/>
        </w:rPr>
        <w:t xml:space="preserve">CONFIRM · COMPLIANCE</w:t>
      </w:r>
    </w:p>
    <w:p>
      <w:pPr>
        <w:pBdr>
          <w:bottom w:val="single" w:color="E6DBCF" w:sz="6"/>
        </w:pBdr>
        <w:spacing w:after="120" w:before="120"/>
      </w:pPr>
      <w:r>
        <w:rPr>
          <w:sz w:val="2"/>
          <w:szCs w:val="2"/>
        </w:rPr>
        <w:t xml:space="preserve"/>
      </w:r>
    </w:p>
    <w:p>
      <w:pPr>
        <w:pBdr>
          <w:bottom w:val="single" w:color="2C2422" w:sz="18"/>
        </w:pBdr>
        <w:spacing w:after="320" w:before="320"/>
      </w:pPr>
      <w:r>
        <w:rPr>
          <w:sz w:val="2"/>
          <w:szCs w:val="2"/>
        </w:rPr>
        <w:t xml:space="preserve"/>
      </w:r>
    </w:p>
    <w:p>
      <w:pPr>
        <w:spacing w:after="0" w:line="276"/>
      </w:pPr>
      <w:r>
        <w:rPr>
          <w:rFonts w:ascii="Calibri" w:cs="Calibri" w:eastAsia="Calibri" w:hAnsi="Calibri"/>
          <w:b w:val="false"/>
          <w:bCs w:val="false"/>
          <w:i w:val="false"/>
          <w:iCs w:val="false"/>
          <w:color w:val="8D7C75"/>
          <w:sz w:val="17"/>
          <w:szCs w:val="17"/>
        </w:rPr>
        <w:t xml:space="preserve">Live-En-Synergy — survey and response quality engine, build plan. Prepared from the Survey and Packages Details briefs and the 24 August standup decisions, checked against the current codebase. Figures for what is and is not built reflect the repository as of 1 September 2026.</w:t>
      </w:r>
    </w:p>
    <w:sectPr>
      <w:pgSz w:w="11906" w:h="16838" w:orient="portrait"/>
      <w:pgMar w:top="12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8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4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Survey &amp; Response Quality Engine — Build Plan</dc:title>
  <dc:creator>Live-En-Synergy</dc:creator>
  <dc:description>Build plan for the in-house survey form builder and response quality engine.</dc:description>
  <cp:lastModifiedBy>Un-named</cp:lastModifiedBy>
  <cp:revision>1</cp:revision>
  <dcterms:created xsi:type="dcterms:W3CDTF">2026-09-01T11:16:42.620Z</dcterms:created>
  <dcterms:modified xsi:type="dcterms:W3CDTF">2026-09-01T11:16:42.633Z</dcterms:modified>
</cp:coreProperties>
</file>

<file path=docProps/custom.xml><?xml version="1.0" encoding="utf-8"?>
<Properties xmlns="http://schemas.openxmlformats.org/officeDocument/2006/custom-properties" xmlns:vt="http://schemas.openxmlformats.org/officeDocument/2006/docPropsVTypes"/>
</file>