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E4E79"/>
          <w:sz w:val="36"/>
          <w:szCs w:val="36"/>
        </w:rPr>
        <w:t xml:space="preserve">GLOBAL ATHLETIC APPAREL MARKET OUTLOOK 2025–2030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Apex Research Partners  |  Published January 2025  |  Report No. ARP-2025-014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1. Market Size &amp; Growth Projections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global athletic apparel market was valued at $217 billion in 2024, representing 7.2% year-over-year growth. Apex Research Partners projects the market will reach $350 billion by 2027, driven by four converging trends: post-pandemic durability of athleisure adoption, expansion of performance wear into workplace casual segments, growth of women's athletic categories, and the emergence of AI-enabled personalized retail channels.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Within this trajectory, the AI-personalized commerce segment is projected to represent 28% of total online athletic apparel sales by 2027, up from 11% in 2024. Brands deploying recommendation engines, dynamic pricing AI, and agentic customer service are capturing disproportionate share.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Geographic Distribution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North America remains the largest market by revenue at $89B (2024), followed by Asia-Pacific at $74B and EMEA at $54B. The fastest-growing regions are Southeast Asia (+18.4% CAGR projected through 2027) and Latin America (+14.1% CAGR). Premium performance wear is outpacing value segments across all geographies.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Channel Shift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Direct-to-consumer (DTC) online channels now represent 41% of total sales in the premium segment, up from 29% in 2021. AI-powered DTC experiences—defined as those incorporating personalized recommendations, intelligent search, and automated customer service—show average order values 23% higher than non-AI DTC channels.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2. AI Personalization Impact on Retail Conversion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Apex analysis of 47 retail deployments across 12 apparel brands confirms that AI-personalized product recommendation systems produce materially superior conversion outcomes. Across the analyzed cohort, customers receiving AI-curated product suggestions converted at an average rate of 8.4%, compared to 2.4% for customers served standard catalog browsing experiences—a 3.5x conversion multiple.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conversion premium is most pronounced in the $75–$200 price band, which represents the sweet spot for performance athletic apparel. Personalization algorithms trained on purchase history, activity type, and body metrics outperform generic bestseller recommendations by 61% in repeat purchase rate.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Methodology Note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Conversion data was collected via A/B testing frameworks deployed by partner brands, with statistical significance confirmed at p&lt;0.01 across all 47 deployments. Minimum test duration was 90 days; minimum sample size per cohort was 10,000 unique visitors.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3. Competitive Landscape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First-mover brands in AI personalization are establishing durable advantages. Analysis shows that customers who experience AI-personalized discovery have 2.1x higher lifetime value and 34% lower churn rates. Brands without personalization capabilities risk structural disadvantage as consumer expectations shift.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competitive dynamics in 2025: (1) acquisition of AI personalization startups accelerating; (2) cloud hyperscalers positioning native AI retail solutions; (3) emergence of agentic shopping assistants capable of autonomous purchase completion.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Source: Apex Research Partners, 'Global Athletic Apparel Market Outlook 2025–2030,' January 2025. All figures reflect primary research and proprietary modeling. Reproduction requires written permission.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E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2026-02-22T17:47:58.947Z</dcterms:created>
  <dcterms:modified xsi:type="dcterms:W3CDTF">2026-02-22T17:47:58.947Z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