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E4E79"/>
          <w:sz w:val="36"/>
          <w:szCs w:val="36"/>
        </w:rPr>
        <w:t xml:space="preserve">THE COST OF KNOWLEDGE FRAGMENTATION IN MID-MARKET RETAIL</w:t>
      </w:r>
    </w:p>
    <w:p>
      <w:r>
        <w:rPr>
          <w:rFonts w:ascii="Arial" w:cs="Arial" w:eastAsia="Arial" w:hAnsi="Arial"/>
          <w:color w:val="2E75B6"/>
          <w:sz w:val="24"/>
          <w:szCs w:val="24"/>
        </w:rPr>
        <w:t xml:space="preserve">A Benchmarking Study of Enterprise Knowledge Management Maturity</w:t>
      </w:r>
    </w:p>
    <w:p>
      <w:pPr>
        <w:spacing w:after="240"/>
      </w:pPr>
      <w:r>
        <w:rPr>
          <w:rFonts w:ascii="Arial" w:cs="Arial" w:eastAsia="Arial" w:hAnsi="Arial"/>
          <w:i/>
          <w:iCs/>
          <w:color w:val="595959"/>
          <w:sz w:val="18"/>
          <w:szCs w:val="18"/>
        </w:rPr>
        <w:t xml:space="preserve">Meridian Institute for Workforce Productivity  |  November 2024</w:t>
      </w:r>
    </w:p>
    <w:p>
      <w:pPr>
        <w:pBdr>
          <w:bottom w:val="single" w:color="2E75B6" w:sz="4" w:space="1"/>
        </w:pBdr>
      </w:pPr>
      <w:r>
        <w:t xml:space="preserve"/>
      </w:r>
    </w:p>
    <w:p>
      <w:r>
        <w:t xml:space="preserve"/>
      </w:r>
    </w:p>
    <w:p>
      <w:pPr>
        <w:pStyle w:val="Heading1"/>
      </w:pPr>
      <w:r>
        <w:rPr>
          <w:rFonts w:ascii="Arial" w:cs="Arial" w:eastAsia="Arial" w:hAnsi="Arial"/>
          <w:b/>
          <w:bCs/>
          <w:color w:val="1E4E79"/>
          <w:sz w:val="32"/>
          <w:szCs w:val="32"/>
        </w:rPr>
        <w:t xml:space="preserve">Key Findings</w:t>
      </w:r>
    </w:p>
    <w:p>
      <w:pPr>
        <w:spacing w:after="160"/>
      </w:pPr>
      <w:r>
        <w:rPr>
          <w:rFonts w:ascii="Arial" w:cs="Arial" w:eastAsia="Arial" w:hAnsi="Arial"/>
          <w:sz w:val="22"/>
          <w:szCs w:val="22"/>
        </w:rPr>
        <w:t xml:space="preserve">This study analyzed knowledge management practices at 112 mid-market retail and consumer goods companies (500–5,000 employees) across the United States and Canada. Participants completed a structured 180-question diagnostic and were interviewed by Meridian researchers over a 6-month period from May–October 2024.</w:t>
      </w:r>
    </w:p>
    <w:p>
      <w:r>
        <w:t xml:space="preserve"/>
      </w:r>
    </w:p>
    <w:p>
      <w:pPr>
        <w:pStyle w:val="Heading2"/>
      </w:pPr>
      <w:r>
        <w:rPr>
          <w:rFonts w:ascii="Arial" w:cs="Arial" w:eastAsia="Arial" w:hAnsi="Arial"/>
          <w:b/>
          <w:bCs/>
          <w:color w:val="2E75B6"/>
          <w:sz w:val="26"/>
          <w:szCs w:val="26"/>
        </w:rPr>
        <w:t xml:space="preserve">Finding 1: The Unstructured Data Problem</w:t>
      </w:r>
    </w:p>
    <w:p>
      <w:pPr>
        <w:spacing w:after="160"/>
      </w:pPr>
      <w:r>
        <w:rPr>
          <w:rFonts w:ascii="Arial" w:cs="Arial" w:eastAsia="Arial" w:hAnsi="Arial"/>
          <w:sz w:val="22"/>
          <w:szCs w:val="22"/>
        </w:rPr>
        <w:t xml:space="preserve">Across the study sample, an average of 81.3% of enterprise data was classified as unstructured—stored in email archives, chat threads, shared file drives, and document repositories with limited metadata. Of this unstructured data, researchers estimated that only 12% was practically discoverable by employees using standard search tools.</w:t>
      </w:r>
    </w:p>
    <w:p>
      <w:pPr>
        <w:spacing w:after="160"/>
      </w:pPr>
      <w:r>
        <w:rPr>
          <w:rFonts w:ascii="Arial" w:cs="Arial" w:eastAsia="Arial" w:hAnsi="Arial"/>
          <w:sz w:val="22"/>
          <w:szCs w:val="22"/>
        </w:rPr>
        <w:t xml:space="preserve">This aligns with the widely cited industry benchmark that 'over 80% of enterprise data remains unstructured and unsearchable,' a figure our research corroborates at 81.3% for the retail segment specifically. The practical consequence is that institutional knowledge is effectively invisible to the employees who need it most.</w:t>
      </w:r>
    </w:p>
    <w:p>
      <w:r>
        <w:t xml:space="preserve"/>
      </w:r>
    </w:p>
    <w:p>
      <w:pPr>
        <w:pStyle w:val="Heading2"/>
      </w:pPr>
      <w:r>
        <w:rPr>
          <w:rFonts w:ascii="Arial" w:cs="Arial" w:eastAsia="Arial" w:hAnsi="Arial"/>
          <w:b/>
          <w:bCs/>
          <w:color w:val="2E75B6"/>
          <w:sz w:val="26"/>
          <w:szCs w:val="26"/>
        </w:rPr>
        <w:t xml:space="preserve">Finding 2: The Cost of Duplication</w:t>
      </w:r>
    </w:p>
    <w:p>
      <w:pPr>
        <w:spacing w:after="160"/>
      </w:pPr>
      <w:r>
        <w:rPr>
          <w:rFonts w:ascii="Arial" w:cs="Arial" w:eastAsia="Arial" w:hAnsi="Arial"/>
          <w:sz w:val="22"/>
          <w:szCs w:val="22"/>
        </w:rPr>
        <w:t xml:space="preserve">Meridian researchers used time-diary methodology to quantify the cost of knowledge fragmentation. Study participants reported spending an average of 19.4% of productive work time searching for information that either did not surface or required re-creation from scratch. For a 500-person retail organization with median compensation of $72,000, this translates to approximately $4.1–$4.5 million in annual value destruction—consistent with estimates cited by internal operations teams at study participants.</w:t>
      </w:r>
    </w:p>
    <w:p>
      <w:pPr>
        <w:spacing w:after="160"/>
      </w:pPr>
      <w:r>
        <w:rPr>
          <w:rFonts w:ascii="Arial" w:cs="Arial" w:eastAsia="Arial" w:hAnsi="Arial"/>
          <w:sz w:val="22"/>
          <w:szCs w:val="22"/>
        </w:rPr>
        <w:t xml:space="preserve">The highest-impact categories of duplicated work were: (1) product knowledge and specification lookups (28% of search time), (2) policy and procedure questions (22%), (3) customer interaction context retrieval (19%), and (4) supplier and vendor terms research (17%).</w:t>
      </w:r>
    </w:p>
    <w:p>
      <w:r>
        <w:t xml:space="preserve"/>
      </w:r>
    </w:p>
    <w:p>
      <w:pPr>
        <w:pStyle w:val="Heading2"/>
      </w:pPr>
      <w:r>
        <w:rPr>
          <w:rFonts w:ascii="Arial" w:cs="Arial" w:eastAsia="Arial" w:hAnsi="Arial"/>
          <w:b/>
          <w:bCs/>
          <w:color w:val="2E75B6"/>
          <w:sz w:val="26"/>
          <w:szCs w:val="26"/>
        </w:rPr>
        <w:t xml:space="preserve">Finding 3: Onboarding Time-to-Productivity</w:t>
      </w:r>
    </w:p>
    <w:p>
      <w:pPr>
        <w:spacing w:after="160"/>
      </w:pPr>
      <w:r>
        <w:rPr>
          <w:rFonts w:ascii="Arial" w:cs="Arial" w:eastAsia="Arial" w:hAnsi="Arial"/>
          <w:sz w:val="22"/>
          <w:szCs w:val="22"/>
        </w:rPr>
        <w:t xml:space="preserve">New employees at organizations with mature AI knowledge management systems reached full productivity significantly faster than those at organizations relying on traditional documentation and tribal knowledge. Across the 18 companies in our sample that had deployed AI knowledge agents for at least 12 months, average time-to-full-productivity for customer-facing roles was reduced by 47.2% compared to the pre-deployment baseline.</w:t>
      </w:r>
    </w:p>
    <w:p>
      <w:pPr>
        <w:spacing w:after="160"/>
      </w:pPr>
      <w:r>
        <w:rPr>
          <w:rFonts w:ascii="Arial" w:cs="Arial" w:eastAsia="Arial" w:hAnsi="Arial"/>
          <w:sz w:val="22"/>
          <w:szCs w:val="22"/>
        </w:rPr>
        <w:t xml:space="preserve">Technical and supply chain roles showed even higher gains, averaging 53% reduction in time-to-productivity. The improvement is attributed to AI agents' ability to surface contextual institutional knowledge on demand—replacing weeks of 'shadowing' and peer mentoring with immediate, accurate answers.</w:t>
      </w:r>
    </w:p>
    <w:p>
      <w:r>
        <w:t xml:space="preserve"/>
      </w:r>
    </w:p>
    <w:p>
      <w:pPr>
        <w:pStyle w:val="Heading1"/>
      </w:pPr>
      <w:r>
        <w:rPr>
          <w:rFonts w:ascii="Arial" w:cs="Arial" w:eastAsia="Arial" w:hAnsi="Arial"/>
          <w:b/>
          <w:bCs/>
          <w:color w:val="1E4E79"/>
          <w:sz w:val="32"/>
          <w:szCs w:val="32"/>
        </w:rPr>
        <w:t xml:space="preserve">Study Limitations &amp; Notes</w:t>
      </w:r>
    </w:p>
    <w:p>
      <w:pPr>
        <w:spacing w:after="160"/>
      </w:pPr>
      <w:r>
        <w:rPr>
          <w:rFonts w:ascii="Arial" w:cs="Arial" w:eastAsia="Arial" w:hAnsi="Arial"/>
          <w:sz w:val="22"/>
          <w:szCs w:val="22"/>
        </w:rPr>
        <w:t xml:space="preserve">Time-diary methodology relies on self-reported data and is subject to recall bias. Cost estimates use median compensation; actual costs at specific organizations may vary significantly. AI knowledge agent deployments in the sample used varied technologies; results may not generalize across all platforms.</w:t>
      </w:r>
    </w:p>
    <w:p>
      <w:r>
        <w:t xml:space="preserve"/>
      </w:r>
    </w:p>
    <w:p>
      <w:r>
        <w:rPr>
          <w:rFonts w:ascii="Arial" w:cs="Arial" w:eastAsia="Arial" w:hAnsi="Arial"/>
          <w:i/>
          <w:iCs/>
          <w:color w:val="595959"/>
          <w:sz w:val="22"/>
          <w:szCs w:val="22"/>
        </w:rPr>
        <w:t xml:space="preserve">Source: Meridian Institute for Workforce Productivity, 'The Cost of Knowledge Fragmentation in Mid-Market Retail,' November 2024. Study conducted with informed consent; participant companies anonymized per research agreement.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E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2026-02-22T17:47:58.967Z</dcterms:created>
  <dcterms:modified xsi:type="dcterms:W3CDTF">2026-02-22T17:47:58.967Z</dcterms:modified>
</cp:coreProperties>
</file>

<file path=docProps/custom.xml><?xml version="1.0" encoding="utf-8"?>
<Properties xmlns="http://schemas.openxmlformats.org/officeDocument/2006/custom-properties" xmlns:vt="http://schemas.openxmlformats.org/officeDocument/2006/docPropsVTypes"/>
</file>