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E4E79"/>
          <w:sz w:val="36"/>
          <w:szCs w:val="36"/>
        </w:rPr>
        <w:t xml:space="preserve">AI-DRIVEN DEMAND FORECASTING IN CONSUMER GOODS: 2024 RESULTS SUMMARY</w:t>
      </w:r>
    </w:p>
    <w:p>
      <w:pPr>
        <w:spacing w:after="240"/>
      </w:pPr>
      <w:r>
        <w:rPr>
          <w:rFonts w:ascii="Arial" w:cs="Arial" w:eastAsia="Arial" w:hAnsi="Arial"/>
          <w:i/>
          <w:iCs/>
          <w:color w:val="595959"/>
          <w:sz w:val="18"/>
          <w:szCs w:val="18"/>
        </w:rPr>
        <w:t xml:space="preserve">Cascade Supply Chain Analytics  |  Q4 2024 Industry Report</w:t>
      </w:r>
    </w:p>
    <w:p>
      <w:pPr>
        <w:pBdr>
          <w:bottom w:val="single" w:color="2E75B6" w:sz="4" w:space="1"/>
        </w:pBdr>
      </w:pPr>
      <w:r>
        <w:t xml:space="preserve"/>
      </w:r>
    </w:p>
    <w:p>
      <w:r>
        <w:t xml:space="preserve"/>
      </w:r>
    </w:p>
    <w:p>
      <w:pPr>
        <w:pStyle w:val="Heading1"/>
      </w:pPr>
      <w:r>
        <w:rPr>
          <w:rFonts w:ascii="Arial" w:cs="Arial" w:eastAsia="Arial" w:hAnsi="Arial"/>
          <w:b/>
          <w:bCs/>
          <w:color w:val="1E4E79"/>
          <w:sz w:val="32"/>
          <w:szCs w:val="32"/>
        </w:rPr>
        <w:t xml:space="preserve">Executive Findings</w:t>
      </w:r>
    </w:p>
    <w:p>
      <w:pPr>
        <w:spacing w:after="160"/>
      </w:pPr>
      <w:r>
        <w:rPr>
          <w:rFonts w:ascii="Arial" w:cs="Arial" w:eastAsia="Arial" w:hAnsi="Arial"/>
          <w:sz w:val="22"/>
          <w:szCs w:val="22"/>
        </w:rPr>
        <w:t xml:space="preserve">Cascade Supply Chain Analytics tracked AI-powered demand forecasting deployments across 63 consumer goods and apparel companies throughout 2024. This report summarizes quantitative outcomes across inventory management, stockout reduction, and gross margin impact for companies that completed full-year production deployments.</w:t>
      </w:r>
    </w:p>
    <w:p>
      <w:r>
        <w:t xml:space="preserve"/>
      </w:r>
    </w:p>
    <w:p>
      <w:pPr>
        <w:pStyle w:val="Heading2"/>
      </w:pPr>
      <w:r>
        <w:rPr>
          <w:rFonts w:ascii="Arial" w:cs="Arial" w:eastAsia="Arial" w:hAnsi="Arial"/>
          <w:b/>
          <w:bCs/>
          <w:color w:val="2E75B6"/>
          <w:sz w:val="26"/>
          <w:szCs w:val="26"/>
        </w:rPr>
        <w:t xml:space="preserve">Inventory Reduction</w:t>
      </w:r>
    </w:p>
    <w:p>
      <w:pPr>
        <w:spacing w:after="160"/>
      </w:pPr>
      <w:r>
        <w:rPr>
          <w:rFonts w:ascii="Arial" w:cs="Arial" w:eastAsia="Arial" w:hAnsi="Arial"/>
          <w:sz w:val="22"/>
          <w:szCs w:val="22"/>
        </w:rPr>
        <w:t xml:space="preserve">Companies deploying ML-based demand forecasting models achieved an average 31.2% reduction in excess inventory measured at end-of-season. Traditional statistical forecasting methods (moving average, exponential smoothing) produced 11.3% excess inventory reduction on average over the same period—a 2.8x improvement from AI methods.</w:t>
      </w:r>
    </w:p>
    <w:p>
      <w:pPr>
        <w:spacing w:after="160"/>
      </w:pPr>
      <w:r>
        <w:rPr>
          <w:rFonts w:ascii="Arial" w:cs="Arial" w:eastAsia="Arial" w:hAnsi="Arial"/>
          <w:sz w:val="22"/>
          <w:szCs w:val="22"/>
        </w:rPr>
        <w:t xml:space="preserve">The 31% inventory reduction figure represents the mean outcome across all 63 deployments. Results ranged from 18% (lowest quartile) to 44% (highest quartile), with performance correlating strongly with data quality scores and integration depth with warehouse management systems.</w:t>
      </w:r>
    </w:p>
    <w:p>
      <w:r>
        <w:t xml:space="preserve"/>
      </w:r>
    </w:p>
    <w:p>
      <w:pPr>
        <w:pStyle w:val="Heading2"/>
      </w:pPr>
      <w:r>
        <w:rPr>
          <w:rFonts w:ascii="Arial" w:cs="Arial" w:eastAsia="Arial" w:hAnsi="Arial"/>
          <w:b/>
          <w:bCs/>
          <w:color w:val="2E75B6"/>
          <w:sz w:val="26"/>
          <w:szCs w:val="26"/>
        </w:rPr>
        <w:t xml:space="preserve">Stockout Event Reduction</w:t>
      </w:r>
    </w:p>
    <w:p>
      <w:pPr>
        <w:spacing w:after="160"/>
      </w:pPr>
      <w:r>
        <w:rPr>
          <w:rFonts w:ascii="Arial" w:cs="Arial" w:eastAsia="Arial" w:hAnsi="Arial"/>
          <w:sz w:val="22"/>
          <w:szCs w:val="22"/>
        </w:rPr>
        <w:t xml:space="preserve">Stockout events—instances where a SKU is unavailable to fulfill a customer order—declined by an average of 24.1% across AI-forecasting deployments. For companies in the athletic apparel and performance sportswear segment (n=14), stockout reduction averaged 26.7%, reflecting the seasonal concentration and event-driven demand patterns in that category.</w:t>
      </w:r>
    </w:p>
    <w:p>
      <w:pPr>
        <w:spacing w:after="160"/>
      </w:pPr>
      <w:r>
        <w:rPr>
          <w:rFonts w:ascii="Arial" w:cs="Arial" w:eastAsia="Arial" w:hAnsi="Arial"/>
          <w:sz w:val="22"/>
          <w:szCs w:val="22"/>
        </w:rPr>
        <w:t xml:space="preserve">Reducing stockouts has both direct revenue impact (lost sales) and indirect brand impact (customer satisfaction and loyalty). Cascade's customer lifetime value modeling estimates that each avoided stockout event in the premium apparel segment prevents an average of $340 in foregone future revenue from customers who would otherwise substitute to competitors.</w:t>
      </w:r>
    </w:p>
    <w:p>
      <w:r>
        <w:t xml:space="preserve"/>
      </w:r>
    </w:p>
    <w:p>
      <w:pPr>
        <w:pStyle w:val="Heading2"/>
      </w:pPr>
      <w:r>
        <w:rPr>
          <w:rFonts w:ascii="Arial" w:cs="Arial" w:eastAsia="Arial" w:hAnsi="Arial"/>
          <w:b/>
          <w:bCs/>
          <w:color w:val="2E75B6"/>
          <w:sz w:val="26"/>
          <w:szCs w:val="26"/>
        </w:rPr>
        <w:t xml:space="preserve">Gross Margin Impact</w:t>
      </w:r>
    </w:p>
    <w:p>
      <w:pPr>
        <w:spacing w:after="160"/>
      </w:pPr>
      <w:r>
        <w:rPr>
          <w:rFonts w:ascii="Arial" w:cs="Arial" w:eastAsia="Arial" w:hAnsi="Arial"/>
          <w:sz w:val="22"/>
          <w:szCs w:val="22"/>
        </w:rPr>
        <w:t xml:space="preserve">Combining inventory reduction (fewer markdowns, lower carrying costs) with stockout reduction (captured full-price sales), AI demand forecasting deployments produced an average gross margin improvement of 4.7 percentage points in year one. The range across the study population was 3.9–6.2 points, consistent with the 4–6 point range commonly cited in industry benchmarks.</w:t>
      </w:r>
    </w:p>
    <w:p>
      <w:pPr>
        <w:spacing w:after="160"/>
      </w:pPr>
      <w:r>
        <w:rPr>
          <w:rFonts w:ascii="Arial" w:cs="Arial" w:eastAsia="Arial" w:hAnsi="Arial"/>
          <w:sz w:val="22"/>
          <w:szCs w:val="22"/>
        </w:rPr>
        <w:t xml:space="preserve">At scale, this margin improvement is highly significant. For a retailer with $200M in annual revenue and a 42% baseline gross margin, a 4.7-point improvement represents approximately $9.4M in additional annual gross profit.</w:t>
      </w:r>
    </w:p>
    <w:p>
      <w:r>
        <w:t xml:space="preserve"/>
      </w:r>
    </w:p>
    <w:p>
      <w:pPr>
        <w:pStyle w:val="Heading1"/>
      </w:pPr>
      <w:r>
        <w:rPr>
          <w:rFonts w:ascii="Arial" w:cs="Arial" w:eastAsia="Arial" w:hAnsi="Arial"/>
          <w:b/>
          <w:bCs/>
          <w:color w:val="1E4E79"/>
          <w:sz w:val="32"/>
          <w:szCs w:val="32"/>
        </w:rPr>
        <w:t xml:space="preserve">Implementation Factors</w:t>
      </w:r>
    </w:p>
    <w:p>
      <w:pPr>
        <w:spacing w:after="160"/>
      </w:pPr>
      <w:r>
        <w:rPr>
          <w:rFonts w:ascii="Arial" w:cs="Arial" w:eastAsia="Arial" w:hAnsi="Arial"/>
          <w:sz w:val="22"/>
          <w:szCs w:val="22"/>
        </w:rPr>
        <w:t xml:space="preserve">Cascade identified four factors most predictive of strong outcomes: (1) clean historical sales data going back at least 3 years, (2) integration with real-time point-of-sale systems, (3) inclusion of external signals (weather, event calendars, social trends) in model inputs, and (4) active feedback loops between forecasting systems and buying teams.</w:t>
      </w:r>
    </w:p>
    <w:p>
      <w:r>
        <w:t xml:space="preserve"/>
      </w:r>
    </w:p>
    <w:p>
      <w:r>
        <w:rPr>
          <w:rFonts w:ascii="Arial" w:cs="Arial" w:eastAsia="Arial" w:hAnsi="Arial"/>
          <w:i/>
          <w:iCs/>
          <w:color w:val="595959"/>
          <w:sz w:val="22"/>
          <w:szCs w:val="22"/>
        </w:rPr>
        <w:t xml:space="preserve">Source: Cascade Supply Chain Analytics, 'AI-Driven Demand Forecasting in Consumer Goods: 2024 Results Summary,' Q4 2024. All outcomes represent production deployments; pilot or POC results excluded. Data provided by participating companies under NDA.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E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2026-02-22T17:47:58.987Z</dcterms:created>
  <dcterms:modified xsi:type="dcterms:W3CDTF">2026-02-22T17:47:58.987Z</dcterms:modified>
</cp:coreProperties>
</file>

<file path=docProps/custom.xml><?xml version="1.0" encoding="utf-8"?>
<Properties xmlns="http://schemas.openxmlformats.org/officeDocument/2006/custom-properties" xmlns:vt="http://schemas.openxmlformats.org/officeDocument/2006/docPropsVTypes"/>
</file>