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E4E79"/>
          <w:sz w:val="36"/>
          <w:szCs w:val="36"/>
        </w:rPr>
        <w:t xml:space="preserve">GOVERNING AUTONOMOUS AI: COMPLIANCE OUTCOMES ACROSS ENTERPRISE DEPLOYMENTS</w:t>
      </w:r>
    </w:p>
    <w:p>
      <w:pPr>
        <w:spacing w:after="240"/>
      </w:pPr>
      <w:r>
        <w:rPr>
          <w:rFonts w:ascii="Arial" w:cs="Arial" w:eastAsia="Arial" w:hAnsi="Arial"/>
          <w:i/>
          <w:iCs/>
          <w:color w:val="595959"/>
          <w:sz w:val="18"/>
          <w:szCs w:val="18"/>
        </w:rPr>
        <w:t xml:space="preserve">Enterprise Risk &amp; Compliance Institute (ERCI)  |  December 2024  |  White Paper WP-2024-91</w:t>
      </w:r>
    </w:p>
    <w:p>
      <w:pPr>
        <w:pBdr>
          <w:bottom w:val="single" w:color="2E75B6" w:sz="4" w:space="1"/>
        </w:pBdr>
      </w:pPr>
      <w:r>
        <w:t xml:space="preserve"/>
      </w:r>
    </w:p>
    <w:p>
      <w:r>
        <w:t xml:space="preserve"/>
      </w:r>
    </w:p>
    <w:p>
      <w:pPr>
        <w:pStyle w:val="Heading1"/>
      </w:pPr>
      <w:r>
        <w:rPr>
          <w:rFonts w:ascii="Arial" w:cs="Arial" w:eastAsia="Arial" w:hAnsi="Arial"/>
          <w:b/>
          <w:bCs/>
          <w:color w:val="1E4E79"/>
          <w:sz w:val="32"/>
          <w:szCs w:val="32"/>
        </w:rPr>
        <w:t xml:space="preserve">Abstract</w:t>
      </w:r>
    </w:p>
    <w:p>
      <w:pPr>
        <w:spacing w:after="160"/>
      </w:pPr>
      <w:r>
        <w:rPr>
          <w:rFonts w:ascii="Arial" w:cs="Arial" w:eastAsia="Arial" w:hAnsi="Arial"/>
          <w:sz w:val="22"/>
          <w:szCs w:val="22"/>
        </w:rPr>
        <w:t xml:space="preserve">This white paper examines AI governance preparedness and its relationship to compliance incident rates across 84 enterprises that deployed autonomous or semi-autonomous AI agent systems in 2023–2024. We find strong evidence that proactive governance frameworks—established prior to agent deployment—produce materially superior compliance outcomes compared to reactive governance approaches adopted after incidents occur.</w:t>
      </w:r>
    </w:p>
    <w:p>
      <w:r>
        <w:t xml:space="preserve"/>
      </w:r>
    </w:p>
    <w:p>
      <w:pPr>
        <w:pStyle w:val="Heading1"/>
      </w:pPr>
      <w:r>
        <w:rPr>
          <w:rFonts w:ascii="Arial" w:cs="Arial" w:eastAsia="Arial" w:hAnsi="Arial"/>
          <w:b/>
          <w:bCs/>
          <w:color w:val="1E4E79"/>
          <w:sz w:val="32"/>
          <w:szCs w:val="32"/>
        </w:rPr>
        <w:t xml:space="preserve">1. Governance Maturity Model</w:t>
      </w:r>
    </w:p>
    <w:p>
      <w:pPr>
        <w:spacing w:after="160"/>
      </w:pPr>
      <w:r>
        <w:rPr>
          <w:rFonts w:ascii="Arial" w:cs="Arial" w:eastAsia="Arial" w:hAnsi="Arial"/>
          <w:sz w:val="22"/>
          <w:szCs w:val="22"/>
        </w:rPr>
        <w:t xml:space="preserve">ERCI classifies enterprise AI governance maturity across four levels: Ad Hoc (no formal framework), Reactive (frameworks developed in response to incidents), Proactive (frameworks established before deployment), and Embedded (governance integrated into AI development lifecycle). Study participants were classified by independent auditors.</w:t>
      </w:r>
    </w:p>
    <w:p>
      <w:pPr>
        <w:spacing w:after="160"/>
      </w:pPr>
      <w:r>
        <w:rPr>
          <w:rFonts w:ascii="Arial" w:cs="Arial" w:eastAsia="Arial" w:hAnsi="Arial"/>
          <w:sz w:val="22"/>
          <w:szCs w:val="22"/>
        </w:rPr>
        <w:t xml:space="preserve">Of the 84 study participants, 31% were classified as Proactive or Embedded governance. The remaining 69% operated at Ad Hoc or Reactive levels at the time of initial AI agent deployment.</w:t>
      </w:r>
    </w:p>
    <w:p>
      <w:r>
        <w:t xml:space="preserve"/>
      </w:r>
    </w:p>
    <w:p>
      <w:pPr>
        <w:pStyle w:val="Heading1"/>
      </w:pPr>
      <w:r>
        <w:rPr>
          <w:rFonts w:ascii="Arial" w:cs="Arial" w:eastAsia="Arial" w:hAnsi="Arial"/>
          <w:b/>
          <w:bCs/>
          <w:color w:val="1E4E79"/>
          <w:sz w:val="32"/>
          <w:szCs w:val="32"/>
        </w:rPr>
        <w:t xml:space="preserve">2. Compliance Incident Rates</w:t>
      </w:r>
    </w:p>
    <w:p>
      <w:pPr>
        <w:spacing w:after="160"/>
      </w:pPr>
      <w:r>
        <w:rPr>
          <w:rFonts w:ascii="Arial" w:cs="Arial" w:eastAsia="Arial" w:hAnsi="Arial"/>
          <w:sz w:val="22"/>
          <w:szCs w:val="22"/>
        </w:rPr>
        <w:t xml:space="preserve">Proactive governance organizations reported a 2.3x lower rate of compliance incidents in the 18 months following autonomous agent deployment compared to Reactive organizations. Incidents tracked included: data privacy violations, unauthorized data access by AI systems, model outputs that created legal exposure, and process failures requiring regulatory disclosure.</w:t>
      </w:r>
    </w:p>
    <w:p>
      <w:pPr>
        <w:spacing w:after="160"/>
      </w:pPr>
      <w:r>
        <w:rPr>
          <w:rFonts w:ascii="Arial" w:cs="Arial" w:eastAsia="Arial" w:hAnsi="Arial"/>
          <w:sz w:val="22"/>
          <w:szCs w:val="22"/>
        </w:rPr>
        <w:t xml:space="preserve">The 2.3x improvement was statistically significant (p&lt;0.001, Mann-Whitney U test). Importantly, the benefit was consistent across company sizes, industries, and AI use case types—suggesting that governance maturity, not industry-specific factors, drives the outcome.</w:t>
      </w:r>
    </w:p>
    <w:p>
      <w:r>
        <w:t xml:space="preserve"/>
      </w:r>
    </w:p>
    <w:p>
      <w:pPr>
        <w:pStyle w:val="Heading2"/>
      </w:pPr>
      <w:r>
        <w:rPr>
          <w:rFonts w:ascii="Arial" w:cs="Arial" w:eastAsia="Arial" w:hAnsi="Arial"/>
          <w:b/>
          <w:bCs/>
          <w:color w:val="2E75B6"/>
          <w:sz w:val="26"/>
          <w:szCs w:val="26"/>
        </w:rPr>
        <w:t xml:space="preserve">2.1 Remediation Cost Differential</w:t>
      </w:r>
    </w:p>
    <w:p>
      <w:pPr>
        <w:spacing w:after="160"/>
      </w:pPr>
      <w:r>
        <w:rPr>
          <w:rFonts w:ascii="Arial" w:cs="Arial" w:eastAsia="Arial" w:hAnsi="Arial"/>
          <w:sz w:val="22"/>
          <w:szCs w:val="22"/>
        </w:rPr>
        <w:t xml:space="preserve">When incidents did occur, Proactive organizations resolved them at 40% lower total cost than Reactive organizations. Remediation cost includes direct remediation labor, external legal and audit fees, regulatory fines (where applicable), and customer notification and support costs. The cost difference stems from Proactive organizations having pre-established incident response playbooks, audit trails that satisfy regulator requirements, and escalation protocols that minimize remediation scope.</w:t>
      </w:r>
    </w:p>
    <w:p>
      <w:r>
        <w:t xml:space="preserve"/>
      </w:r>
    </w:p>
    <w:p>
      <w:pPr>
        <w:pStyle w:val="Heading1"/>
      </w:pPr>
      <w:r>
        <w:rPr>
          <w:rFonts w:ascii="Arial" w:cs="Arial" w:eastAsia="Arial" w:hAnsi="Arial"/>
          <w:b/>
          <w:bCs/>
          <w:color w:val="1E4E79"/>
          <w:sz w:val="32"/>
          <w:szCs w:val="32"/>
        </w:rPr>
        <w:t xml:space="preserve">3. Recommended Governance Components</w:t>
      </w:r>
    </w:p>
    <w:p>
      <w:pPr>
        <w:spacing w:after="160"/>
      </w:pPr>
      <w:r>
        <w:rPr>
          <w:rFonts w:ascii="Arial" w:cs="Arial" w:eastAsia="Arial" w:hAnsi="Arial"/>
          <w:sz w:val="22"/>
          <w:szCs w:val="22"/>
        </w:rPr>
        <w:t xml:space="preserve">ERCI's research identifies five components most predictive of proactive governance success: (1) a formal AI use policy ratified by executive leadership, (2) a model registry with mandatory documentation for all production AI systems, (3) a human-in-the-loop escalation framework for high-stakes decisions, (4) defined data provenance and access logging requirements, and (5) a quarterly review cycle with board-level AI risk reporting.</w:t>
      </w:r>
    </w:p>
    <w:p>
      <w:pPr>
        <w:spacing w:after="160"/>
      </w:pPr>
      <w:r>
        <w:rPr>
          <w:rFonts w:ascii="Arial" w:cs="Arial" w:eastAsia="Arial" w:hAnsi="Arial"/>
          <w:sz w:val="22"/>
          <w:szCs w:val="22"/>
        </w:rPr>
        <w:t xml:space="preserve">Organizations with all five components had the lowest incident rates in the study. The marginal benefit of each additional component was positive and statistically significant.</w:t>
      </w:r>
    </w:p>
    <w:p>
      <w:r>
        <w:t xml:space="preserve"/>
      </w:r>
    </w:p>
    <w:p>
      <w:pPr>
        <w:pStyle w:val="Heading1"/>
      </w:pPr>
      <w:r>
        <w:rPr>
          <w:rFonts w:ascii="Arial" w:cs="Arial" w:eastAsia="Arial" w:hAnsi="Arial"/>
          <w:b/>
          <w:bCs/>
          <w:color w:val="1E4E79"/>
          <w:sz w:val="32"/>
          <w:szCs w:val="32"/>
        </w:rPr>
        <w:t xml:space="preserve">4. The Cost of Reactive Governance</w:t>
      </w:r>
    </w:p>
    <w:p>
      <w:pPr>
        <w:spacing w:after="160"/>
      </w:pPr>
      <w:r>
        <w:rPr>
          <w:rFonts w:ascii="Arial" w:cs="Arial" w:eastAsia="Arial" w:hAnsi="Arial"/>
          <w:sz w:val="22"/>
          <w:szCs w:val="22"/>
        </w:rPr>
        <w:t xml:space="preserve">ERCI's data challenges the common assumption that governance is a cost center. Organizations that invested in proactive governance before deployment recovered their governance investment within an average of 8.4 months through avoided incident costs alone. When productivity and trust benefits are included, the ROI on proactive governance infrastructure is strongly positive.</w:t>
      </w:r>
    </w:p>
    <w:p>
      <w:r>
        <w:t xml:space="preserve"/>
      </w:r>
    </w:p>
    <w:p>
      <w:r>
        <w:rPr>
          <w:rFonts w:ascii="Arial" w:cs="Arial" w:eastAsia="Arial" w:hAnsi="Arial"/>
          <w:i/>
          <w:iCs/>
          <w:color w:val="595959"/>
          <w:sz w:val="22"/>
          <w:szCs w:val="22"/>
        </w:rPr>
        <w:t xml:space="preserve">Source: Enterprise Risk &amp; Compliance Institute, 'Governing Autonomous AI: Compliance Outcomes Across Enterprise Deployments,' December 2024. Study conducted with voluntary participation; all participant data anonymized. ERCI is an independent nonprofit research organization.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E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2026-02-22T17:47:59.025Z</dcterms:created>
  <dcterms:modified xsi:type="dcterms:W3CDTF">2026-02-22T17:47:59.025Z</dcterms:modified>
</cp:coreProperties>
</file>

<file path=docProps/custom.xml><?xml version="1.0" encoding="utf-8"?>
<Properties xmlns="http://schemas.openxmlformats.org/officeDocument/2006/custom-properties" xmlns:vt="http://schemas.openxmlformats.org/officeDocument/2006/docPropsVTypes"/>
</file>