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Arial" w:cs="Arial" w:eastAsia="Arial" w:hAnsi="Arial"/>
          <w:b/>
          <w:bCs/>
          <w:color w:val="1A3A5C"/>
          <w:sz w:val="36"/>
          <w:szCs w:val="36"/>
        </w:rPr>
        <w:t xml:space="preserve">ZAVA</w:t>
      </w:r>
      <w:r>
        <w:rPr>
          <w:rFonts w:ascii="Arial" w:cs="Arial" w:eastAsia="Arial" w:hAnsi="Arial"/>
          <w:color w:val="2980B9"/>
          <w:sz w:val="36"/>
          <w:szCs w:val="36"/>
        </w:rPr>
        <w:t xml:space="preserve"> CORP</w:t>
      </w:r>
    </w:p>
    <w:p>
      <w:pPr>
        <w:pBdr>
          <w:bottom w:val="single" w:color="2980B9" w:sz="4" w:space="8"/>
        </w:pBdr>
        <w:spacing w:after="300"/>
      </w:pPr>
    </w:p>
    <w:p>
      <w:pPr>
        <w:spacing w:after="100"/>
      </w:pPr>
      <w:r>
        <w:rPr>
          <w:rFonts w:ascii="Arial" w:cs="Arial" w:eastAsia="Arial" w:hAnsi="Arial"/>
          <w:b/>
          <w:bCs/>
          <w:color w:val="1A3A5C"/>
          <w:sz w:val="32"/>
          <w:szCs w:val="32"/>
        </w:rPr>
        <w:t xml:space="preserve">2026 Strategic Plan</w:t>
      </w:r>
    </w:p>
    <w:p>
      <w:pPr>
        <w:spacing w:after="300"/>
      </w:pPr>
      <w:r>
        <w:rPr>
          <w:rFonts w:ascii="Arial" w:cs="Arial" w:eastAsia="Arial" w:hAnsi="Arial"/>
          <w:i/>
          <w:iCs/>
          <w:color w:val="555555"/>
          <w:sz w:val="24"/>
          <w:szCs w:val="24"/>
        </w:rPr>
        <w:t xml:space="preserve">Board of Directors — Confidential</w:t>
      </w:r>
    </w:p>
    <w:p>
      <w:pPr>
        <w:spacing w:after="120"/>
      </w:pPr>
      <w:r>
        <w:rPr>
          <w:rFonts w:ascii="Arial" w:cs="Arial" w:eastAsia="Arial" w:hAnsi="Arial"/>
          <w:i/>
          <w:iCs/>
          <w:color w:val="555555"/>
          <w:sz w:val="22"/>
          <w:szCs w:val="22"/>
        </w:rPr>
        <w:t xml:space="preserve">Prepared for: Zava Corp Board of Directors  •  Board Meeting: March 18, 2026</w:t>
      </w:r>
    </w:p>
    <w:p>
      <w:pPr>
        <w:spacing w:after="120"/>
      </w:pPr>
      <w:r>
        <w:rPr>
          <w:rFonts w:ascii="Arial" w:cs="Arial" w:eastAsia="Arial" w:hAnsi="Arial"/>
          <w:i/>
          <w:iCs/>
          <w:color w:val="555555"/>
          <w:sz w:val="22"/>
          <w:szCs w:val="22"/>
        </w:rPr>
        <w:t xml:space="preserve">Classification: CONFIDENTIAL — Board Distribution Only</w:t>
      </w:r>
    </w:p>
    <w:p>
      <w:pPr>
        <w:spacing w:after="80"/>
      </w:pPr>
    </w:p>
    <w:p>
      <w:pPr>
        <w:pStyle w:val="Heading1"/>
        <w:spacing w:before="300" w:after="150"/>
      </w:pPr>
      <w:r>
        <w:rPr>
          <w:rFonts w:ascii="Arial" w:cs="Arial" w:eastAsia="Arial" w:hAnsi="Arial"/>
          <w:b/>
          <w:bCs/>
          <w:color w:val="1A3A5C"/>
        </w:rPr>
        <w:t xml:space="preserve">Strategic Vision: FY2026 – FY2030</w:t>
      </w:r>
    </w:p>
    <w:p>
      <w:pPr>
        <w:spacing w:after="120"/>
      </w:pPr>
      <w:r>
        <w:rPr>
          <w:rFonts w:ascii="Arial" w:cs="Arial" w:eastAsia="Arial" w:hAnsi="Arial"/>
          <w:sz w:val="22"/>
          <w:szCs w:val="22"/>
        </w:rPr>
        <w:t xml:space="preserve">Zava Corp's strategic plan for FY2026 through FY2030 targets $8B in annual revenue by FY2030, representing a 27% CAGR from today's $2.4B run rate. This plan is built on three strategic pillars, supported by $500M in allocated M&amp;A capital and significant organic investment in talent and technology.</w:t>
      </w:r>
    </w:p>
    <w:p>
      <w:pPr>
        <w:pStyle w:val="Heading1"/>
        <w:spacing w:before="300" w:after="150"/>
      </w:pPr>
      <w:r>
        <w:rPr>
          <w:rFonts w:ascii="Arial" w:cs="Arial" w:eastAsia="Arial" w:hAnsi="Arial"/>
          <w:b/>
          <w:bCs/>
          <w:color w:val="1A3A5C"/>
        </w:rPr>
        <w:t xml:space="preserve">Pillar 1: AI-First Platform</w:t>
      </w:r>
    </w:p>
    <w:p>
      <w:pPr>
        <w:spacing w:after="120"/>
      </w:pPr>
      <w:r>
        <w:rPr>
          <w:rFonts w:ascii="Arial" w:cs="Arial" w:eastAsia="Arial" w:hAnsi="Arial"/>
          <w:sz w:val="22"/>
          <w:szCs w:val="22"/>
        </w:rPr>
        <w:t xml:space="preserve">Transform the Zava Platform from a content management system into an AI-first enterprise knowledge platform. Key initiatives: embed LLM-powered capabilities into every surface of the platform (search, classification, workflows, analytics), launch Zava Agents — autonomous AI agents that perform multi-step content operations, and achieve 50% of platform interactions being AI-assisted by FY2028.</w:t>
      </w:r>
    </w:p>
    <w:p>
      <w:pPr>
        <w:spacing w:after="120"/>
      </w:pPr>
      <w:r>
        <w:rPr>
          <w:rFonts w:ascii="Arial" w:cs="Arial" w:eastAsia="Arial" w:hAnsi="Arial"/>
          <w:sz w:val="22"/>
          <w:szCs w:val="22"/>
        </w:rPr>
        <w:t xml:space="preserve">Investment: $180M over FY2026-FY2028 in R&amp;D, primarily in AI/ML engineering headcount and compute infrastructure (Azure partnership).</w:t>
      </w:r>
    </w:p>
    <w:p>
      <w:pPr>
        <w:pStyle w:val="Heading1"/>
        <w:spacing w:before="300" w:after="150"/>
      </w:pPr>
      <w:r>
        <w:rPr>
          <w:rFonts w:ascii="Arial" w:cs="Arial" w:eastAsia="Arial" w:hAnsi="Arial"/>
          <w:b/>
          <w:bCs/>
          <w:color w:val="1A3A5C"/>
        </w:rPr>
        <w:t xml:space="preserve">Pillar 2: Vertical Expansion</w:t>
      </w:r>
    </w:p>
    <w:p>
      <w:pPr>
        <w:spacing w:after="120"/>
      </w:pPr>
      <w:r>
        <w:rPr>
          <w:rFonts w:ascii="Arial" w:cs="Arial" w:eastAsia="Arial" w:hAnsi="Arial"/>
          <w:sz w:val="22"/>
          <w:szCs w:val="22"/>
        </w:rPr>
        <w:t xml:space="preserve">Expand from horizontal platform into purpose-built vertical solutions. Priority verticals: Healthcare (electronic health records integration, HIPAA-native workflows — TAM $12B), Financial Services (regulatory document management, compliance automation — TAM $8.5B), and Government (FedRAMP High authorization, classified content handling — TAM $6.2B).</w:t>
      </w:r>
    </w:p>
    <w:p>
      <w:pPr>
        <w:spacing w:after="120"/>
      </w:pPr>
      <w:r>
        <w:rPr>
          <w:rFonts w:ascii="Arial" w:cs="Arial" w:eastAsia="Arial" w:hAnsi="Arial"/>
          <w:sz w:val="22"/>
          <w:szCs w:val="22"/>
        </w:rPr>
        <w:t xml:space="preserve">Achieving $8B revenue target by FY2030 depends on successful vertical expansion into healthcare and financial services, both of which face heavy regulatory scrutiny. Regulatory approval timelines in healthcare (HITRUST certification, ONC compliance) and financial services (SEC/FINRA requirements) could delay market entry by 6-12 months.</w:t>
      </w:r>
    </w:p>
    <w:p>
      <w:pPr>
        <w:spacing w:after="120"/>
      </w:pPr>
      <w:r>
        <w:rPr>
          <w:rFonts w:ascii="Arial" w:cs="Arial" w:eastAsia="Arial" w:hAnsi="Arial"/>
          <w:sz w:val="22"/>
          <w:szCs w:val="22"/>
        </w:rPr>
        <w:t xml:space="preserve">Planned compliance investments: FedRAMP High (planned certification FY2027), HITRUST (planned certification FY2027), and SOX compliance tooling for financial services customers.</w:t>
      </w:r>
    </w:p>
    <w:p>
      <w:pPr>
        <w:pStyle w:val="Heading1"/>
        <w:spacing w:before="300" w:after="150"/>
      </w:pPr>
      <w:r>
        <w:rPr>
          <w:rFonts w:ascii="Arial" w:cs="Arial" w:eastAsia="Arial" w:hAnsi="Arial"/>
          <w:b/>
          <w:bCs/>
          <w:color w:val="1A3A5C"/>
        </w:rPr>
        <w:t xml:space="preserve">Pillar 3: Global Scale</w:t>
      </w:r>
    </w:p>
    <w:p>
      <w:pPr>
        <w:spacing w:after="120"/>
      </w:pPr>
      <w:r>
        <w:rPr>
          <w:rFonts w:ascii="Arial" w:cs="Arial" w:eastAsia="Arial" w:hAnsi="Arial"/>
          <w:sz w:val="22"/>
          <w:szCs w:val="22"/>
        </w:rPr>
        <w:t xml:space="preserve">Scale Zava's operations from primarily North American to truly global. Key initiatives: open data centers in Frankfurt (operational Q2 FY2026), Singapore (Q4 FY2026), and Sydney (Q2 FY2027). Build localized platform experiences for 12 languages. Establish regional sales and support teams in EMEA (London hub), APAC (Singapore hub), and LATAM (São Paulo hub).</w:t>
      </w:r>
    </w:p>
    <w:p>
      <w:pPr>
        <w:pStyle w:val="Heading1"/>
        <w:spacing w:before="300" w:after="150"/>
      </w:pPr>
      <w:r>
        <w:rPr>
          <w:rFonts w:ascii="Arial" w:cs="Arial" w:eastAsia="Arial" w:hAnsi="Arial"/>
          <w:b/>
          <w:bCs/>
          <w:color w:val="1A3A5C"/>
        </w:rPr>
        <w:t xml:space="preserve">Financial Plan</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BFBFBF" w:sz="1"/>
              <w:left w:val="single" w:color="BFBFBF" w:sz="1"/>
              <w:bottom w:val="single" w:color="BFBFBF" w:sz="1"/>
              <w:right w:val="single" w:color="BFBFBF"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1872"/>
            <w:tcBorders>
              <w:top w:val="single" w:color="BFBFBF" w:sz="1"/>
              <w:left w:val="single" w:color="BFBFBF" w:sz="1"/>
              <w:bottom w:val="single" w:color="BFBFBF" w:sz="1"/>
              <w:right w:val="single" w:color="BFBFBF"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FY2026E</w:t>
            </w:r>
          </w:p>
        </w:tc>
        <w:tc>
          <w:tcPr>
            <w:tcW w:type="dxa" w:w="1872"/>
            <w:tcBorders>
              <w:top w:val="single" w:color="BFBFBF" w:sz="1"/>
              <w:left w:val="single" w:color="BFBFBF" w:sz="1"/>
              <w:bottom w:val="single" w:color="BFBFBF" w:sz="1"/>
              <w:right w:val="single" w:color="BFBFBF"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FY2027E</w:t>
            </w:r>
          </w:p>
        </w:tc>
        <w:tc>
          <w:tcPr>
            <w:tcW w:type="dxa" w:w="1872"/>
            <w:tcBorders>
              <w:top w:val="single" w:color="BFBFBF" w:sz="1"/>
              <w:left w:val="single" w:color="BFBFBF" w:sz="1"/>
              <w:bottom w:val="single" w:color="BFBFBF" w:sz="1"/>
              <w:right w:val="single" w:color="BFBFBF"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FY2028E</w:t>
            </w:r>
          </w:p>
        </w:tc>
        <w:tc>
          <w:tcPr>
            <w:tcW w:type="dxa" w:w="1872"/>
            <w:tcBorders>
              <w:top w:val="single" w:color="BFBFBF" w:sz="1"/>
              <w:left w:val="single" w:color="BFBFBF" w:sz="1"/>
              <w:bottom w:val="single" w:color="BFBFBF" w:sz="1"/>
              <w:right w:val="single" w:color="BFBFBF"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FY2030 Target</w:t>
            </w:r>
          </w:p>
        </w:tc>
      </w:tr>
      <w:tr>
        <w:tc>
          <w:tcPr>
            <w:tcW w:type="dxa" w:w="1872"/>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Revenue</w:t>
            </w:r>
          </w:p>
        </w:tc>
        <w:tc>
          <w:tcPr>
            <w:tcW w:type="dxa" w:w="1872"/>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$2.8B</w:t>
            </w:r>
          </w:p>
        </w:tc>
        <w:tc>
          <w:tcPr>
            <w:tcW w:type="dxa" w:w="1872"/>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$3.6B</w:t>
            </w:r>
          </w:p>
        </w:tc>
        <w:tc>
          <w:tcPr>
            <w:tcW w:type="dxa" w:w="1872"/>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$4.8B</w:t>
            </w:r>
          </w:p>
        </w:tc>
        <w:tc>
          <w:tcPr>
            <w:tcW w:type="dxa" w:w="1872"/>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$8.0B</w:t>
            </w:r>
          </w:p>
        </w:tc>
      </w:tr>
      <w:tr>
        <w:tc>
          <w:tcPr>
            <w:tcW w:type="dxa" w:w="1872"/>
            <w:tcBorders>
              <w:top w:val="single" w:color="BFBFBF" w:sz="1"/>
              <w:left w:val="single" w:color="BFBFBF" w:sz="1"/>
              <w:bottom w:val="single" w:color="BFBFBF" w:sz="1"/>
              <w:right w:val="single" w:color="BFBFBF" w:sz="1"/>
            </w:tcBorders>
            <w:shd w:fill="F4F6F7" w:val="clear"/>
            <w:tcMar>
              <w:top w:type="dxa" w:w="80"/>
              <w:left w:type="dxa" w:w="120"/>
              <w:bottom w:type="dxa" w:w="80"/>
              <w:right w:type="dxa" w:w="120"/>
            </w:tcMar>
          </w:tcPr>
          <w:p>
            <w:r>
              <w:rPr>
                <w:rFonts w:ascii="Arial" w:cs="Arial" w:eastAsia="Arial" w:hAnsi="Arial"/>
                <w:sz w:val="20"/>
                <w:szCs w:val="20"/>
              </w:rPr>
              <w:t xml:space="preserve">Growth Rate</w:t>
            </w:r>
          </w:p>
        </w:tc>
        <w:tc>
          <w:tcPr>
            <w:tcW w:type="dxa" w:w="1872"/>
            <w:tcBorders>
              <w:top w:val="single" w:color="BFBFBF" w:sz="1"/>
              <w:left w:val="single" w:color="BFBFBF" w:sz="1"/>
              <w:bottom w:val="single" w:color="BFBFBF" w:sz="1"/>
              <w:right w:val="single" w:color="BFBFBF" w:sz="1"/>
            </w:tcBorders>
            <w:shd w:fill="F4F6F7" w:val="clear"/>
            <w:tcMar>
              <w:top w:type="dxa" w:w="80"/>
              <w:left w:type="dxa" w:w="120"/>
              <w:bottom w:type="dxa" w:w="80"/>
              <w:right w:type="dxa" w:w="120"/>
            </w:tcMar>
          </w:tcPr>
          <w:p>
            <w:r>
              <w:rPr>
                <w:rFonts w:ascii="Arial" w:cs="Arial" w:eastAsia="Arial" w:hAnsi="Arial"/>
                <w:sz w:val="20"/>
                <w:szCs w:val="20"/>
              </w:rPr>
              <w:t xml:space="preserve">17%</w:t>
            </w:r>
          </w:p>
        </w:tc>
        <w:tc>
          <w:tcPr>
            <w:tcW w:type="dxa" w:w="1872"/>
            <w:tcBorders>
              <w:top w:val="single" w:color="BFBFBF" w:sz="1"/>
              <w:left w:val="single" w:color="BFBFBF" w:sz="1"/>
              <w:bottom w:val="single" w:color="BFBFBF" w:sz="1"/>
              <w:right w:val="single" w:color="BFBFBF" w:sz="1"/>
            </w:tcBorders>
            <w:shd w:fill="F4F6F7" w:val="clear"/>
            <w:tcMar>
              <w:top w:type="dxa" w:w="80"/>
              <w:left w:type="dxa" w:w="120"/>
              <w:bottom w:type="dxa" w:w="80"/>
              <w:right w:type="dxa" w:w="120"/>
            </w:tcMar>
          </w:tcPr>
          <w:p>
            <w:r>
              <w:rPr>
                <w:rFonts w:ascii="Arial" w:cs="Arial" w:eastAsia="Arial" w:hAnsi="Arial"/>
                <w:sz w:val="20"/>
                <w:szCs w:val="20"/>
              </w:rPr>
              <w:t xml:space="preserve">29%</w:t>
            </w:r>
          </w:p>
        </w:tc>
        <w:tc>
          <w:tcPr>
            <w:tcW w:type="dxa" w:w="1872"/>
            <w:tcBorders>
              <w:top w:val="single" w:color="BFBFBF" w:sz="1"/>
              <w:left w:val="single" w:color="BFBFBF" w:sz="1"/>
              <w:bottom w:val="single" w:color="BFBFBF" w:sz="1"/>
              <w:right w:val="single" w:color="BFBFBF" w:sz="1"/>
            </w:tcBorders>
            <w:shd w:fill="F4F6F7" w:val="clear"/>
            <w:tcMar>
              <w:top w:type="dxa" w:w="80"/>
              <w:left w:type="dxa" w:w="120"/>
              <w:bottom w:type="dxa" w:w="80"/>
              <w:right w:type="dxa" w:w="120"/>
            </w:tcMar>
          </w:tcPr>
          <w:p>
            <w:r>
              <w:rPr>
                <w:rFonts w:ascii="Arial" w:cs="Arial" w:eastAsia="Arial" w:hAnsi="Arial"/>
                <w:sz w:val="20"/>
                <w:szCs w:val="20"/>
              </w:rPr>
              <w:t xml:space="preserve">33%</w:t>
            </w:r>
          </w:p>
        </w:tc>
        <w:tc>
          <w:tcPr>
            <w:tcW w:type="dxa" w:w="1872"/>
            <w:tcBorders>
              <w:top w:val="single" w:color="BFBFBF" w:sz="1"/>
              <w:left w:val="single" w:color="BFBFBF" w:sz="1"/>
              <w:bottom w:val="single" w:color="BFBFBF" w:sz="1"/>
              <w:right w:val="single" w:color="BFBFBF" w:sz="1"/>
            </w:tcBorders>
            <w:shd w:fill="F4F6F7" w:val="clear"/>
            <w:tcMar>
              <w:top w:type="dxa" w:w="80"/>
              <w:left w:type="dxa" w:w="120"/>
              <w:bottom w:type="dxa" w:w="80"/>
              <w:right w:type="dxa" w:w="120"/>
            </w:tcMar>
          </w:tcPr>
          <w:p>
            <w:r>
              <w:rPr>
                <w:rFonts w:ascii="Arial" w:cs="Arial" w:eastAsia="Arial" w:hAnsi="Arial"/>
                <w:sz w:val="20"/>
                <w:szCs w:val="20"/>
              </w:rPr>
              <w:t xml:space="preserve">27% CAGR</w:t>
            </w:r>
          </w:p>
        </w:tc>
      </w:tr>
      <w:tr>
        <w:tc>
          <w:tcPr>
            <w:tcW w:type="dxa" w:w="1872"/>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Op Margin</w:t>
            </w:r>
          </w:p>
        </w:tc>
        <w:tc>
          <w:tcPr>
            <w:tcW w:type="dxa" w:w="1872"/>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30%</w:t>
            </w:r>
          </w:p>
        </w:tc>
        <w:tc>
          <w:tcPr>
            <w:tcW w:type="dxa" w:w="1872"/>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28%</w:t>
            </w:r>
          </w:p>
        </w:tc>
        <w:tc>
          <w:tcPr>
            <w:tcW w:type="dxa" w:w="1872"/>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31%</w:t>
            </w:r>
          </w:p>
        </w:tc>
        <w:tc>
          <w:tcPr>
            <w:tcW w:type="dxa" w:w="1872"/>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35%</w:t>
            </w:r>
          </w:p>
        </w:tc>
      </w:tr>
      <w:tr>
        <w:tc>
          <w:tcPr>
            <w:tcW w:type="dxa" w:w="1872"/>
            <w:tcBorders>
              <w:top w:val="single" w:color="BFBFBF" w:sz="1"/>
              <w:left w:val="single" w:color="BFBFBF" w:sz="1"/>
              <w:bottom w:val="single" w:color="BFBFBF" w:sz="1"/>
              <w:right w:val="single" w:color="BFBFBF" w:sz="1"/>
            </w:tcBorders>
            <w:shd w:fill="F4F6F7" w:val="clear"/>
            <w:tcMar>
              <w:top w:type="dxa" w:w="80"/>
              <w:left w:type="dxa" w:w="120"/>
              <w:bottom w:type="dxa" w:w="80"/>
              <w:right w:type="dxa" w:w="120"/>
            </w:tcMar>
          </w:tcPr>
          <w:p>
            <w:r>
              <w:rPr>
                <w:rFonts w:ascii="Arial" w:cs="Arial" w:eastAsia="Arial" w:hAnsi="Arial"/>
                <w:sz w:val="20"/>
                <w:szCs w:val="20"/>
              </w:rPr>
              <w:t xml:space="preserve">Headcount</w:t>
            </w:r>
          </w:p>
        </w:tc>
        <w:tc>
          <w:tcPr>
            <w:tcW w:type="dxa" w:w="1872"/>
            <w:tcBorders>
              <w:top w:val="single" w:color="BFBFBF" w:sz="1"/>
              <w:left w:val="single" w:color="BFBFBF" w:sz="1"/>
              <w:bottom w:val="single" w:color="BFBFBF" w:sz="1"/>
              <w:right w:val="single" w:color="BFBFBF" w:sz="1"/>
            </w:tcBorders>
            <w:shd w:fill="F4F6F7" w:val="clear"/>
            <w:tcMar>
              <w:top w:type="dxa" w:w="80"/>
              <w:left w:type="dxa" w:w="120"/>
              <w:bottom w:type="dxa" w:w="80"/>
              <w:right w:type="dxa" w:w="120"/>
            </w:tcMar>
          </w:tcPr>
          <w:p>
            <w:r>
              <w:rPr>
                <w:rFonts w:ascii="Arial" w:cs="Arial" w:eastAsia="Arial" w:hAnsi="Arial"/>
                <w:sz w:val="20"/>
                <w:szCs w:val="20"/>
              </w:rPr>
              <w:t xml:space="preserve">6,800</w:t>
            </w:r>
          </w:p>
        </w:tc>
        <w:tc>
          <w:tcPr>
            <w:tcW w:type="dxa" w:w="1872"/>
            <w:tcBorders>
              <w:top w:val="single" w:color="BFBFBF" w:sz="1"/>
              <w:left w:val="single" w:color="BFBFBF" w:sz="1"/>
              <w:bottom w:val="single" w:color="BFBFBF" w:sz="1"/>
              <w:right w:val="single" w:color="BFBFBF" w:sz="1"/>
            </w:tcBorders>
            <w:shd w:fill="F4F6F7" w:val="clear"/>
            <w:tcMar>
              <w:top w:type="dxa" w:w="80"/>
              <w:left w:type="dxa" w:w="120"/>
              <w:bottom w:type="dxa" w:w="80"/>
              <w:right w:type="dxa" w:w="120"/>
            </w:tcMar>
          </w:tcPr>
          <w:p>
            <w:r>
              <w:rPr>
                <w:rFonts w:ascii="Arial" w:cs="Arial" w:eastAsia="Arial" w:hAnsi="Arial"/>
                <w:sz w:val="20"/>
                <w:szCs w:val="20"/>
              </w:rPr>
              <w:t xml:space="preserve">7,600</w:t>
            </w:r>
          </w:p>
        </w:tc>
        <w:tc>
          <w:tcPr>
            <w:tcW w:type="dxa" w:w="1872"/>
            <w:tcBorders>
              <w:top w:val="single" w:color="BFBFBF" w:sz="1"/>
              <w:left w:val="single" w:color="BFBFBF" w:sz="1"/>
              <w:bottom w:val="single" w:color="BFBFBF" w:sz="1"/>
              <w:right w:val="single" w:color="BFBFBF" w:sz="1"/>
            </w:tcBorders>
            <w:shd w:fill="F4F6F7" w:val="clear"/>
            <w:tcMar>
              <w:top w:type="dxa" w:w="80"/>
              <w:left w:type="dxa" w:w="120"/>
              <w:bottom w:type="dxa" w:w="80"/>
              <w:right w:type="dxa" w:w="120"/>
            </w:tcMar>
          </w:tcPr>
          <w:p>
            <w:r>
              <w:rPr>
                <w:rFonts w:ascii="Arial" w:cs="Arial" w:eastAsia="Arial" w:hAnsi="Arial"/>
                <w:sz w:val="20"/>
                <w:szCs w:val="20"/>
              </w:rPr>
              <w:t xml:space="preserve">8,500</w:t>
            </w:r>
          </w:p>
        </w:tc>
        <w:tc>
          <w:tcPr>
            <w:tcW w:type="dxa" w:w="1872"/>
            <w:tcBorders>
              <w:top w:val="single" w:color="BFBFBF" w:sz="1"/>
              <w:left w:val="single" w:color="BFBFBF" w:sz="1"/>
              <w:bottom w:val="single" w:color="BFBFBF" w:sz="1"/>
              <w:right w:val="single" w:color="BFBFBF" w:sz="1"/>
            </w:tcBorders>
            <w:shd w:fill="F4F6F7" w:val="clear"/>
            <w:tcMar>
              <w:top w:type="dxa" w:w="80"/>
              <w:left w:type="dxa" w:w="120"/>
              <w:bottom w:type="dxa" w:w="80"/>
              <w:right w:type="dxa" w:w="120"/>
            </w:tcMar>
          </w:tcPr>
          <w:p>
            <w:r>
              <w:rPr>
                <w:rFonts w:ascii="Arial" w:cs="Arial" w:eastAsia="Arial" w:hAnsi="Arial"/>
                <w:sz w:val="20"/>
                <w:szCs w:val="20"/>
              </w:rPr>
              <w:t xml:space="preserve">9,500</w:t>
            </w:r>
          </w:p>
        </w:tc>
      </w:tr>
    </w:tbl>
    <w:p>
      <w:pPr>
        <w:spacing w:after="80"/>
      </w:pPr>
    </w:p>
    <w:p>
      <w:pPr>
        <w:spacing w:after="120"/>
      </w:pPr>
      <w:r>
        <w:rPr>
          <w:rFonts w:ascii="Arial" w:cs="Arial" w:eastAsia="Arial" w:hAnsi="Arial"/>
          <w:sz w:val="22"/>
          <w:szCs w:val="22"/>
        </w:rPr>
        <w:t xml:space="preserve">Current headcount is 6,200. Plan calls for growth to 9,500 by FY2030, with the majority of new hires in engineering (AI/ML, platform) and go-to-market (vertical sales specialists, regional expansion).</w:t>
      </w:r>
    </w:p>
    <w:p>
      <w:pPr>
        <w:pStyle w:val="Heading1"/>
        <w:spacing w:before="300" w:after="150"/>
      </w:pPr>
      <w:r>
        <w:rPr>
          <w:rFonts w:ascii="Arial" w:cs="Arial" w:eastAsia="Arial" w:hAnsi="Arial"/>
          <w:b/>
          <w:bCs/>
          <w:color w:val="1A3A5C"/>
        </w:rPr>
        <w:t xml:space="preserve">M&amp;A Strategy</w:t>
      </w:r>
    </w:p>
    <w:p>
      <w:pPr>
        <w:spacing w:after="120"/>
      </w:pPr>
      <w:r>
        <w:rPr>
          <w:rFonts w:ascii="Arial" w:cs="Arial" w:eastAsia="Arial" w:hAnsi="Arial"/>
          <w:sz w:val="22"/>
          <w:szCs w:val="22"/>
        </w:rPr>
        <w:t xml:space="preserve">$500M allocated for strategic acquisitions over FY2026-FY2028, targeting: vertical-specific content platforms (healthcare document management, financial compliance tools), AI/ML talent acquisitions (teams of 20-50 with specialized NLP or computer vision capabilities), and geographic market entry accelerators (established regional players in EMEA/APAC).</w:t>
      </w:r>
    </w:p>
    <w:p>
      <w:pPr>
        <w:spacing w:after="120"/>
      </w:pPr>
      <w:r>
        <w:rPr>
          <w:rFonts w:ascii="Arial" w:cs="Arial" w:eastAsia="Arial" w:hAnsi="Arial"/>
          <w:sz w:val="22"/>
          <w:szCs w:val="22"/>
        </w:rPr>
        <w:t xml:space="preserve">M&amp;A criteria: minimum $10M ARR, gross margin &gt;70%, strategic technology or market position, and cultural alignment. Board authorization requested for management to pursue opportunities up to $150M without individual board approval; deals &gt;$150M require board vote.</w:t>
      </w:r>
    </w:p>
    <w:p>
      <w:pPr>
        <w:pStyle w:val="Heading1"/>
        <w:spacing w:before="300" w:after="150"/>
      </w:pPr>
      <w:r>
        <w:rPr>
          <w:rFonts w:ascii="Arial" w:cs="Arial" w:eastAsia="Arial" w:hAnsi="Arial"/>
          <w:b/>
          <w:bCs/>
          <w:color w:val="1A3A5C"/>
        </w:rPr>
        <w:t xml:space="preserve">Market Sizing</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2080"/>
        <w:gridCol w:w="2080"/>
        <w:gridCol w:w="2080"/>
      </w:tblGrid>
      <w:tr>
        <w:tc>
          <w:tcPr>
            <w:tcW w:type="dxa" w:w="3120"/>
            <w:tcBorders>
              <w:top w:val="single" w:color="BFBFBF" w:sz="1"/>
              <w:left w:val="single" w:color="BFBFBF" w:sz="1"/>
              <w:bottom w:val="single" w:color="BFBFBF" w:sz="1"/>
              <w:right w:val="single" w:color="BFBFBF"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Market</w:t>
            </w:r>
          </w:p>
        </w:tc>
        <w:tc>
          <w:tcPr>
            <w:tcW w:type="dxa" w:w="2080"/>
            <w:tcBorders>
              <w:top w:val="single" w:color="BFBFBF" w:sz="1"/>
              <w:left w:val="single" w:color="BFBFBF" w:sz="1"/>
              <w:bottom w:val="single" w:color="BFBFBF" w:sz="1"/>
              <w:right w:val="single" w:color="BFBFBF"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TAM</w:t>
            </w:r>
          </w:p>
        </w:tc>
        <w:tc>
          <w:tcPr>
            <w:tcW w:type="dxa" w:w="2080"/>
            <w:tcBorders>
              <w:top w:val="single" w:color="BFBFBF" w:sz="1"/>
              <w:left w:val="single" w:color="BFBFBF" w:sz="1"/>
              <w:bottom w:val="single" w:color="BFBFBF" w:sz="1"/>
              <w:right w:val="single" w:color="BFBFBF"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SAM</w:t>
            </w:r>
          </w:p>
        </w:tc>
        <w:tc>
          <w:tcPr>
            <w:tcW w:type="dxa" w:w="2080"/>
            <w:tcBorders>
              <w:top w:val="single" w:color="BFBFBF" w:sz="1"/>
              <w:left w:val="single" w:color="BFBFBF" w:sz="1"/>
              <w:bottom w:val="single" w:color="BFBFBF" w:sz="1"/>
              <w:right w:val="single" w:color="BFBFBF"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SOM (FY2030)</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Enterprise Content Mgmt</w:t>
            </w:r>
          </w:p>
        </w:tc>
        <w:tc>
          <w:tcPr>
            <w:tcW w:type="dxa" w:w="20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$45B</w:t>
            </w:r>
          </w:p>
        </w:tc>
        <w:tc>
          <w:tcPr>
            <w:tcW w:type="dxa" w:w="20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$18B</w:t>
            </w:r>
          </w:p>
        </w:tc>
        <w:tc>
          <w:tcPr>
            <w:tcW w:type="dxa" w:w="20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$4.2B</w:t>
            </w:r>
          </w:p>
        </w:tc>
      </w:tr>
      <w:tr>
        <w:tc>
          <w:tcPr>
            <w:tcW w:type="dxa" w:w="3120"/>
            <w:tcBorders>
              <w:top w:val="single" w:color="BFBFBF" w:sz="1"/>
              <w:left w:val="single" w:color="BFBFBF" w:sz="1"/>
              <w:bottom w:val="single" w:color="BFBFBF" w:sz="1"/>
              <w:right w:val="single" w:color="BFBFBF" w:sz="1"/>
            </w:tcBorders>
            <w:shd w:fill="F4F6F7" w:val="clear"/>
            <w:tcMar>
              <w:top w:type="dxa" w:w="80"/>
              <w:left w:type="dxa" w:w="120"/>
              <w:bottom w:type="dxa" w:w="80"/>
              <w:right w:type="dxa" w:w="120"/>
            </w:tcMar>
          </w:tcPr>
          <w:p>
            <w:r>
              <w:rPr>
                <w:rFonts w:ascii="Arial" w:cs="Arial" w:eastAsia="Arial" w:hAnsi="Arial"/>
                <w:sz w:val="20"/>
                <w:szCs w:val="20"/>
              </w:rPr>
              <w:t xml:space="preserve">Healthcare Content</w:t>
            </w:r>
          </w:p>
        </w:tc>
        <w:tc>
          <w:tcPr>
            <w:tcW w:type="dxa" w:w="2080"/>
            <w:tcBorders>
              <w:top w:val="single" w:color="BFBFBF" w:sz="1"/>
              <w:left w:val="single" w:color="BFBFBF" w:sz="1"/>
              <w:bottom w:val="single" w:color="BFBFBF" w:sz="1"/>
              <w:right w:val="single" w:color="BFBFBF" w:sz="1"/>
            </w:tcBorders>
            <w:shd w:fill="F4F6F7" w:val="clear"/>
            <w:tcMar>
              <w:top w:type="dxa" w:w="80"/>
              <w:left w:type="dxa" w:w="120"/>
              <w:bottom w:type="dxa" w:w="80"/>
              <w:right w:type="dxa" w:w="120"/>
            </w:tcMar>
          </w:tcPr>
          <w:p>
            <w:r>
              <w:rPr>
                <w:rFonts w:ascii="Arial" w:cs="Arial" w:eastAsia="Arial" w:hAnsi="Arial"/>
                <w:sz w:val="20"/>
                <w:szCs w:val="20"/>
              </w:rPr>
              <w:t xml:space="preserve">$12B</w:t>
            </w:r>
          </w:p>
        </w:tc>
        <w:tc>
          <w:tcPr>
            <w:tcW w:type="dxa" w:w="2080"/>
            <w:tcBorders>
              <w:top w:val="single" w:color="BFBFBF" w:sz="1"/>
              <w:left w:val="single" w:color="BFBFBF" w:sz="1"/>
              <w:bottom w:val="single" w:color="BFBFBF" w:sz="1"/>
              <w:right w:val="single" w:color="BFBFBF" w:sz="1"/>
            </w:tcBorders>
            <w:shd w:fill="F4F6F7" w:val="clear"/>
            <w:tcMar>
              <w:top w:type="dxa" w:w="80"/>
              <w:left w:type="dxa" w:w="120"/>
              <w:bottom w:type="dxa" w:w="80"/>
              <w:right w:type="dxa" w:w="120"/>
            </w:tcMar>
          </w:tcPr>
          <w:p>
            <w:r>
              <w:rPr>
                <w:rFonts w:ascii="Arial" w:cs="Arial" w:eastAsia="Arial" w:hAnsi="Arial"/>
                <w:sz w:val="20"/>
                <w:szCs w:val="20"/>
              </w:rPr>
              <w:t xml:space="preserve">$5.5B</w:t>
            </w:r>
          </w:p>
        </w:tc>
        <w:tc>
          <w:tcPr>
            <w:tcW w:type="dxa" w:w="2080"/>
            <w:tcBorders>
              <w:top w:val="single" w:color="BFBFBF" w:sz="1"/>
              <w:left w:val="single" w:color="BFBFBF" w:sz="1"/>
              <w:bottom w:val="single" w:color="BFBFBF" w:sz="1"/>
              <w:right w:val="single" w:color="BFBFBF" w:sz="1"/>
            </w:tcBorders>
            <w:shd w:fill="F4F6F7" w:val="clear"/>
            <w:tcMar>
              <w:top w:type="dxa" w:w="80"/>
              <w:left w:type="dxa" w:w="120"/>
              <w:bottom w:type="dxa" w:w="80"/>
              <w:right w:type="dxa" w:w="120"/>
            </w:tcMar>
          </w:tcPr>
          <w:p>
            <w:r>
              <w:rPr>
                <w:rFonts w:ascii="Arial" w:cs="Arial" w:eastAsia="Arial" w:hAnsi="Arial"/>
                <w:sz w:val="20"/>
                <w:szCs w:val="20"/>
              </w:rPr>
              <w:t xml:space="preserve">$1.4B</w:t>
            </w:r>
          </w:p>
        </w:tc>
      </w:tr>
      <w:tr>
        <w:tc>
          <w:tcPr>
            <w:tcW w:type="dxa" w:w="312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Financial Services</w:t>
            </w:r>
          </w:p>
        </w:tc>
        <w:tc>
          <w:tcPr>
            <w:tcW w:type="dxa" w:w="20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$8.5B</w:t>
            </w:r>
          </w:p>
        </w:tc>
        <w:tc>
          <w:tcPr>
            <w:tcW w:type="dxa" w:w="20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$3.8B</w:t>
            </w:r>
          </w:p>
        </w:tc>
        <w:tc>
          <w:tcPr>
            <w:tcW w:type="dxa" w:w="2080"/>
            <w:tcBorders>
              <w:top w:val="single" w:color="BFBFBF" w:sz="1"/>
              <w:left w:val="single" w:color="BFBFBF" w:sz="1"/>
              <w:bottom w:val="single" w:color="BFBFBF" w:sz="1"/>
              <w:right w:val="single" w:color="BFBFBF" w:sz="1"/>
            </w:tcBorders>
            <w:tcMar>
              <w:top w:type="dxa" w:w="80"/>
              <w:left w:type="dxa" w:w="120"/>
              <w:bottom w:type="dxa" w:w="80"/>
              <w:right w:type="dxa" w:w="120"/>
            </w:tcMar>
          </w:tcPr>
          <w:p>
            <w:r>
              <w:rPr>
                <w:rFonts w:ascii="Arial" w:cs="Arial" w:eastAsia="Arial" w:hAnsi="Arial"/>
                <w:sz w:val="20"/>
                <w:szCs w:val="20"/>
              </w:rPr>
              <w:t xml:space="preserve">$1.1B</w:t>
            </w:r>
          </w:p>
        </w:tc>
      </w:tr>
      <w:tr>
        <w:tc>
          <w:tcPr>
            <w:tcW w:type="dxa" w:w="3120"/>
            <w:tcBorders>
              <w:top w:val="single" w:color="BFBFBF" w:sz="1"/>
              <w:left w:val="single" w:color="BFBFBF" w:sz="1"/>
              <w:bottom w:val="single" w:color="BFBFBF" w:sz="1"/>
              <w:right w:val="single" w:color="BFBFBF" w:sz="1"/>
            </w:tcBorders>
            <w:shd w:fill="F4F6F7" w:val="clear"/>
            <w:tcMar>
              <w:top w:type="dxa" w:w="80"/>
              <w:left w:type="dxa" w:w="120"/>
              <w:bottom w:type="dxa" w:w="80"/>
              <w:right w:type="dxa" w:w="120"/>
            </w:tcMar>
          </w:tcPr>
          <w:p>
            <w:r>
              <w:rPr>
                <w:rFonts w:ascii="Arial" w:cs="Arial" w:eastAsia="Arial" w:hAnsi="Arial"/>
                <w:sz w:val="20"/>
                <w:szCs w:val="20"/>
              </w:rPr>
              <w:t xml:space="preserve">Government</w:t>
            </w:r>
          </w:p>
        </w:tc>
        <w:tc>
          <w:tcPr>
            <w:tcW w:type="dxa" w:w="2080"/>
            <w:tcBorders>
              <w:top w:val="single" w:color="BFBFBF" w:sz="1"/>
              <w:left w:val="single" w:color="BFBFBF" w:sz="1"/>
              <w:bottom w:val="single" w:color="BFBFBF" w:sz="1"/>
              <w:right w:val="single" w:color="BFBFBF" w:sz="1"/>
            </w:tcBorders>
            <w:shd w:fill="F4F6F7" w:val="clear"/>
            <w:tcMar>
              <w:top w:type="dxa" w:w="80"/>
              <w:left w:type="dxa" w:w="120"/>
              <w:bottom w:type="dxa" w:w="80"/>
              <w:right w:type="dxa" w:w="120"/>
            </w:tcMar>
          </w:tcPr>
          <w:p>
            <w:r>
              <w:rPr>
                <w:rFonts w:ascii="Arial" w:cs="Arial" w:eastAsia="Arial" w:hAnsi="Arial"/>
                <w:sz w:val="20"/>
                <w:szCs w:val="20"/>
              </w:rPr>
              <w:t xml:space="preserve">$6.2B</w:t>
            </w:r>
          </w:p>
        </w:tc>
        <w:tc>
          <w:tcPr>
            <w:tcW w:type="dxa" w:w="2080"/>
            <w:tcBorders>
              <w:top w:val="single" w:color="BFBFBF" w:sz="1"/>
              <w:left w:val="single" w:color="BFBFBF" w:sz="1"/>
              <w:bottom w:val="single" w:color="BFBFBF" w:sz="1"/>
              <w:right w:val="single" w:color="BFBFBF" w:sz="1"/>
            </w:tcBorders>
            <w:shd w:fill="F4F6F7" w:val="clear"/>
            <w:tcMar>
              <w:top w:type="dxa" w:w="80"/>
              <w:left w:type="dxa" w:w="120"/>
              <w:bottom w:type="dxa" w:w="80"/>
              <w:right w:type="dxa" w:w="120"/>
            </w:tcMar>
          </w:tcPr>
          <w:p>
            <w:r>
              <w:rPr>
                <w:rFonts w:ascii="Arial" w:cs="Arial" w:eastAsia="Arial" w:hAnsi="Arial"/>
                <w:sz w:val="20"/>
                <w:szCs w:val="20"/>
              </w:rPr>
              <w:t xml:space="preserve">$2.8B</w:t>
            </w:r>
          </w:p>
        </w:tc>
        <w:tc>
          <w:tcPr>
            <w:tcW w:type="dxa" w:w="2080"/>
            <w:tcBorders>
              <w:top w:val="single" w:color="BFBFBF" w:sz="1"/>
              <w:left w:val="single" w:color="BFBFBF" w:sz="1"/>
              <w:bottom w:val="single" w:color="BFBFBF" w:sz="1"/>
              <w:right w:val="single" w:color="BFBFBF" w:sz="1"/>
            </w:tcBorders>
            <w:shd w:fill="F4F6F7" w:val="clear"/>
            <w:tcMar>
              <w:top w:type="dxa" w:w="80"/>
              <w:left w:type="dxa" w:w="120"/>
              <w:bottom w:type="dxa" w:w="80"/>
              <w:right w:type="dxa" w:w="120"/>
            </w:tcMar>
          </w:tcPr>
          <w:p>
            <w:r>
              <w:rPr>
                <w:rFonts w:ascii="Arial" w:cs="Arial" w:eastAsia="Arial" w:hAnsi="Arial"/>
                <w:sz w:val="20"/>
                <w:szCs w:val="20"/>
              </w:rPr>
              <w:t xml:space="preserve">$0.8B</w:t>
            </w:r>
          </w:p>
        </w:tc>
      </w:tr>
      <w:tr>
        <w:tc>
          <w:tcPr>
            <w:tcW w:type="dxa" w:w="3120"/>
            <w:tcBorders>
              <w:top w:val="single" w:color="BFBFBF" w:sz="1"/>
              <w:left w:val="single" w:color="BFBFBF" w:sz="1"/>
              <w:bottom w:val="single" w:color="BFBFBF" w:sz="1"/>
              <w:right w:val="single" w:color="BFBFBF" w:sz="1"/>
            </w:tcBorders>
            <w:shd w:fill="EAF2F8" w:val="clear"/>
            <w:tcMar>
              <w:top w:type="dxa" w:w="80"/>
              <w:left w:type="dxa" w:w="120"/>
              <w:bottom w:type="dxa" w:w="80"/>
              <w:right w:type="dxa" w:w="120"/>
            </w:tcMar>
          </w:tcPr>
          <w:p>
            <w:r>
              <w:rPr>
                <w:rFonts w:ascii="Arial" w:cs="Arial" w:eastAsia="Arial" w:hAnsi="Arial"/>
                <w:sz w:val="20"/>
                <w:szCs w:val="20"/>
              </w:rPr>
              <w:t xml:space="preserve">Total Addressable</w:t>
            </w:r>
          </w:p>
        </w:tc>
        <w:tc>
          <w:tcPr>
            <w:tcW w:type="dxa" w:w="2080"/>
            <w:tcBorders>
              <w:top w:val="single" w:color="BFBFBF" w:sz="1"/>
              <w:left w:val="single" w:color="BFBFBF" w:sz="1"/>
              <w:bottom w:val="single" w:color="BFBFBF" w:sz="1"/>
              <w:right w:val="single" w:color="BFBFBF" w:sz="1"/>
            </w:tcBorders>
            <w:shd w:fill="EAF2F8" w:val="clear"/>
            <w:tcMar>
              <w:top w:type="dxa" w:w="80"/>
              <w:left w:type="dxa" w:w="120"/>
              <w:bottom w:type="dxa" w:w="80"/>
              <w:right w:type="dxa" w:w="120"/>
            </w:tcMar>
          </w:tcPr>
          <w:p>
            <w:r>
              <w:rPr>
                <w:rFonts w:ascii="Arial" w:cs="Arial" w:eastAsia="Arial" w:hAnsi="Arial"/>
                <w:sz w:val="20"/>
                <w:szCs w:val="20"/>
              </w:rPr>
              <w:t xml:space="preserve">$71.7B</w:t>
            </w:r>
          </w:p>
        </w:tc>
        <w:tc>
          <w:tcPr>
            <w:tcW w:type="dxa" w:w="2080"/>
            <w:tcBorders>
              <w:top w:val="single" w:color="BFBFBF" w:sz="1"/>
              <w:left w:val="single" w:color="BFBFBF" w:sz="1"/>
              <w:bottom w:val="single" w:color="BFBFBF" w:sz="1"/>
              <w:right w:val="single" w:color="BFBFBF" w:sz="1"/>
            </w:tcBorders>
            <w:shd w:fill="EAF2F8" w:val="clear"/>
            <w:tcMar>
              <w:top w:type="dxa" w:w="80"/>
              <w:left w:type="dxa" w:w="120"/>
              <w:bottom w:type="dxa" w:w="80"/>
              <w:right w:type="dxa" w:w="120"/>
            </w:tcMar>
          </w:tcPr>
          <w:p>
            <w:r>
              <w:rPr>
                <w:rFonts w:ascii="Arial" w:cs="Arial" w:eastAsia="Arial" w:hAnsi="Arial"/>
                <w:sz w:val="20"/>
                <w:szCs w:val="20"/>
              </w:rPr>
              <w:t xml:space="preserve">$30.1B</w:t>
            </w:r>
          </w:p>
        </w:tc>
        <w:tc>
          <w:tcPr>
            <w:tcW w:type="dxa" w:w="2080"/>
            <w:tcBorders>
              <w:top w:val="single" w:color="BFBFBF" w:sz="1"/>
              <w:left w:val="single" w:color="BFBFBF" w:sz="1"/>
              <w:bottom w:val="single" w:color="BFBFBF" w:sz="1"/>
              <w:right w:val="single" w:color="BFBFBF" w:sz="1"/>
            </w:tcBorders>
            <w:shd w:fill="EAF2F8" w:val="clear"/>
            <w:tcMar>
              <w:top w:type="dxa" w:w="80"/>
              <w:left w:type="dxa" w:w="120"/>
              <w:bottom w:type="dxa" w:w="80"/>
              <w:right w:type="dxa" w:w="120"/>
            </w:tcMar>
          </w:tcPr>
          <w:p>
            <w:r>
              <w:rPr>
                <w:rFonts w:ascii="Arial" w:cs="Arial" w:eastAsia="Arial" w:hAnsi="Arial"/>
                <w:sz w:val="20"/>
                <w:szCs w:val="20"/>
              </w:rPr>
              <w:t xml:space="preserve">$7.5B</w:t>
            </w:r>
          </w:p>
        </w:tc>
      </w:tr>
    </w:tbl>
    <w:p>
      <w:pPr>
        <w:pStyle w:val="Heading1"/>
        <w:spacing w:before="300" w:after="150"/>
      </w:pPr>
      <w:r>
        <w:rPr>
          <w:rFonts w:ascii="Arial" w:cs="Arial" w:eastAsia="Arial" w:hAnsi="Arial"/>
          <w:b/>
          <w:bCs/>
          <w:color w:val="1A3A5C"/>
        </w:rPr>
        <w:t xml:space="preserve">Key Risk Factors</w:t>
      </w:r>
    </w:p>
    <w:p>
      <w:pPr>
        <w:spacing w:after="120"/>
      </w:pPr>
      <w:r>
        <w:rPr>
          <w:rFonts w:ascii="Arial" w:cs="Arial" w:eastAsia="Arial" w:hAnsi="Arial"/>
          <w:b/>
          <w:bCs/>
          <w:sz w:val="22"/>
          <w:szCs w:val="22"/>
        </w:rPr>
        <w:t xml:space="preserve">1. Vertical Regulatory Risk</w:t>
      </w:r>
    </w:p>
    <w:p>
      <w:pPr>
        <w:spacing w:after="120"/>
      </w:pPr>
      <w:r>
        <w:rPr>
          <w:rFonts w:ascii="Arial" w:cs="Arial" w:eastAsia="Arial" w:hAnsi="Arial"/>
          <w:sz w:val="22"/>
          <w:szCs w:val="22"/>
        </w:rPr>
        <w:t xml:space="preserve">Healthcare and financial services verticals require specialized compliance certifications. Delays in achieving FedRAMP High, HITRUST, or SEC/FINRA readiness could push vertical revenue realization by 2-4 quarters.</w:t>
      </w:r>
    </w:p>
    <w:p>
      <w:pPr>
        <w:spacing w:after="120"/>
      </w:pPr>
      <w:r>
        <w:rPr>
          <w:rFonts w:ascii="Arial" w:cs="Arial" w:eastAsia="Arial" w:hAnsi="Arial"/>
          <w:b/>
          <w:bCs/>
          <w:sz w:val="22"/>
          <w:szCs w:val="22"/>
        </w:rPr>
        <w:t xml:space="preserve">2. AI Talent Competition</w:t>
      </w:r>
    </w:p>
    <w:p>
      <w:pPr>
        <w:spacing w:after="120"/>
      </w:pPr>
      <w:r>
        <w:rPr>
          <w:rFonts w:ascii="Arial" w:cs="Arial" w:eastAsia="Arial" w:hAnsi="Arial"/>
          <w:sz w:val="22"/>
          <w:szCs w:val="22"/>
        </w:rPr>
        <w:t xml:space="preserve">Competition for AI/ML talent remains intense. Zava's ability to hire 800+ engineers over FY2026-FY2028 depends on compensation competitiveness and the attractiveness of Zava's technical mission.</w:t>
      </w:r>
    </w:p>
    <w:p>
      <w:pPr>
        <w:spacing w:after="120"/>
      </w:pPr>
      <w:r>
        <w:rPr>
          <w:rFonts w:ascii="Arial" w:cs="Arial" w:eastAsia="Arial" w:hAnsi="Arial"/>
          <w:b/>
          <w:bCs/>
          <w:sz w:val="22"/>
          <w:szCs w:val="22"/>
        </w:rPr>
        <w:t xml:space="preserve">3. Platform Dependency</w:t>
      </w:r>
    </w:p>
    <w:p>
      <w:pPr>
        <w:spacing w:after="120"/>
      </w:pPr>
      <w:r>
        <w:rPr>
          <w:rFonts w:ascii="Arial" w:cs="Arial" w:eastAsia="Arial" w:hAnsi="Arial"/>
          <w:sz w:val="22"/>
          <w:szCs w:val="22"/>
        </w:rPr>
        <w:t xml:space="preserve">Reliance on Azure for compute infrastructure creates concentration risk. Negotiating favorable multi-year Azure commitments is critical to maintaining gross margin targets.</w:t>
      </w:r>
    </w:p>
    <w:p>
      <w:pPr>
        <w:spacing w:after="120"/>
      </w:pPr>
      <w:r>
        <w:rPr>
          <w:rFonts w:ascii="Arial" w:cs="Arial" w:eastAsia="Arial" w:hAnsi="Arial"/>
          <w:b/>
          <w:bCs/>
          <w:sz w:val="22"/>
          <w:szCs w:val="22"/>
        </w:rPr>
        <w:t xml:space="preserve">4. M&amp;A Integration</w:t>
      </w:r>
    </w:p>
    <w:p>
      <w:pPr>
        <w:spacing w:after="120"/>
      </w:pPr>
      <w:r>
        <w:rPr>
          <w:rFonts w:ascii="Arial" w:cs="Arial" w:eastAsia="Arial" w:hAnsi="Arial"/>
          <w:sz w:val="22"/>
          <w:szCs w:val="22"/>
        </w:rPr>
        <w:t xml:space="preserve">The $500M M&amp;A program introduces integration risk. Historical data shows 40% of enterprise software acquisitions fail to achieve projected synergies within 24 months.</w:t>
      </w:r>
    </w:p>
    <w:p>
      <w:pPr>
        <w:pStyle w:val="Heading1"/>
        <w:spacing w:before="300" w:after="150"/>
      </w:pPr>
      <w:r>
        <w:rPr>
          <w:rFonts w:ascii="Arial" w:cs="Arial" w:eastAsia="Arial" w:hAnsi="Arial"/>
          <w:b/>
          <w:bCs/>
          <w:color w:val="1A3A5C"/>
        </w:rPr>
        <w:t xml:space="preserve">Board Actions Requested</w:t>
      </w:r>
    </w:p>
    <w:p>
      <w:pPr>
        <w:spacing w:after="120"/>
      </w:pPr>
      <w:r>
        <w:rPr>
          <w:rFonts w:ascii="Arial" w:cs="Arial" w:eastAsia="Arial" w:hAnsi="Arial"/>
          <w:sz w:val="22"/>
          <w:szCs w:val="22"/>
        </w:rPr>
        <w:t xml:space="preserve">Management requests the Board's approval on the following items:</w:t>
      </w:r>
    </w:p>
    <w:p>
      <w:pPr>
        <w:spacing w:after="120"/>
      </w:pPr>
      <w:r>
        <w:rPr>
          <w:rFonts w:ascii="Arial" w:cs="Arial" w:eastAsia="Arial" w:hAnsi="Arial"/>
          <w:sz w:val="22"/>
          <w:szCs w:val="22"/>
        </w:rPr>
        <w:t xml:space="preserve">(a) Approve the FY2026-FY2030 Strategic Plan as presented.</w:t>
      </w:r>
    </w:p>
    <w:p>
      <w:pPr>
        <w:spacing w:after="120"/>
      </w:pPr>
      <w:r>
        <w:rPr>
          <w:rFonts w:ascii="Arial" w:cs="Arial" w:eastAsia="Arial" w:hAnsi="Arial"/>
          <w:sz w:val="22"/>
          <w:szCs w:val="22"/>
        </w:rPr>
        <w:t xml:space="preserve">(b) Authorize $500M M&amp;A allocation with management discretion for deals up to $150M.</w:t>
      </w:r>
    </w:p>
    <w:p>
      <w:pPr>
        <w:spacing w:after="120"/>
      </w:pPr>
      <w:r>
        <w:rPr>
          <w:rFonts w:ascii="Arial" w:cs="Arial" w:eastAsia="Arial" w:hAnsi="Arial"/>
          <w:sz w:val="22"/>
          <w:szCs w:val="22"/>
        </w:rPr>
        <w:t xml:space="preserve">(c) Approve headcount plan growth from 6,200 to 9,500.</w:t>
      </w:r>
    </w:p>
    <w:p>
      <w:pPr>
        <w:spacing w:after="120"/>
      </w:pPr>
      <w:r>
        <w:rPr>
          <w:rFonts w:ascii="Arial" w:cs="Arial" w:eastAsia="Arial" w:hAnsi="Arial"/>
          <w:sz w:val="22"/>
          <w:szCs w:val="22"/>
        </w:rPr>
        <w:t xml:space="preserve">(d) Authorize management to negotiate a 5-year Azure infrastructure commitment of up to $400M.</w:t>
      </w:r>
    </w:p>
    <w:p>
      <w:pPr>
        <w:spacing w:after="120"/>
      </w:pPr>
      <w:r>
        <w:rPr>
          <w:rFonts w:ascii="Arial" w:cs="Arial" w:eastAsia="Arial" w:hAnsi="Arial"/>
          <w:sz w:val="22"/>
          <w:szCs w:val="22"/>
        </w:rPr>
        <w:t xml:space="preserve">Board vote to approve M&amp;A allocation and headcount plan is requested at the March 18, 2026 meeting.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00" w:after="200"/>
      <w:outlineLvl w:val="0"/>
    </w:pPr>
    <w:rPr>
      <w:rFonts w:ascii="Arial" w:cs="Arial" w:eastAsia="Arial" w:hAnsi="Arial"/>
      <w:b/>
      <w:bCs/>
      <w:color w:val="1A3A5C"/>
      <w:sz w:val="32"/>
      <w:szCs w:val="32"/>
    </w:rPr>
  </w:style>
  <w:style w:type="paragraph" w:styleId="Heading2">
    <w:name w:val="Heading 2"/>
    <w:basedOn w:val="Normal"/>
    <w:next w:val="Normal"/>
    <w:qFormat/>
    <w:pPr>
      <w:spacing w:before="200" w:after="120"/>
      <w:outlineLvl w:val="1"/>
    </w:pPr>
    <w:rPr>
      <w:rFonts w:ascii="Arial" w:cs="Arial" w:eastAsia="Arial" w:hAnsi="Arial"/>
      <w:b/>
      <w:bCs/>
      <w:color w:val="2980B9"/>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2026-03-05T16:37:02.319Z</dcterms:created>
  <dcterms:modified xsi:type="dcterms:W3CDTF">2026-03-05T16:37:02.319Z</dcterms:modified>
</cp:coreProperties>
</file>

<file path=docProps/custom.xml><?xml version="1.0" encoding="utf-8"?>
<Properties xmlns="http://schemas.openxmlformats.org/officeDocument/2006/custom-properties" xmlns:vt="http://schemas.openxmlformats.org/officeDocument/2006/docPropsVTypes"/>
</file>