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1A3A5C"/>
          <w:sz w:val="36"/>
          <w:szCs w:val="36"/>
        </w:rPr>
        <w:t xml:space="preserve">ZAVA</w:t>
      </w:r>
      <w:r>
        <w:rPr>
          <w:rFonts w:ascii="Arial" w:cs="Arial" w:eastAsia="Arial" w:hAnsi="Arial"/>
          <w:color w:val="2980B9"/>
          <w:sz w:val="36"/>
          <w:szCs w:val="36"/>
        </w:rPr>
        <w:t xml:space="preserve"> CORP</w:t>
      </w:r>
    </w:p>
    <w:p>
      <w:pPr>
        <w:pBdr>
          <w:bottom w:val="single" w:color="2980B9" w:sz="4" w:space="8"/>
        </w:pBdr>
        <w:spacing w:after="300"/>
      </w:pPr>
    </w:p>
    <w:p>
      <w:pPr>
        <w:spacing w:after="100"/>
      </w:pPr>
      <w:r>
        <w:rPr>
          <w:rFonts w:ascii="Arial" w:cs="Arial" w:eastAsia="Arial" w:hAnsi="Arial"/>
          <w:b/>
          <w:bCs/>
          <w:color w:val="1A3A5C"/>
          <w:sz w:val="32"/>
          <w:szCs w:val="32"/>
        </w:rPr>
        <w:t xml:space="preserve">Zava KnowledgeHub</w:t>
      </w:r>
    </w:p>
    <w:p>
      <w:pPr>
        <w:spacing w:after="300"/>
      </w:pPr>
      <w:r>
        <w:rPr>
          <w:rFonts w:ascii="Arial" w:cs="Arial" w:eastAsia="Arial" w:hAnsi="Arial"/>
          <w:i/>
          <w:iCs/>
          <w:color w:val="555555"/>
          <w:sz w:val="24"/>
          <w:szCs w:val="24"/>
        </w:rPr>
        <w:t xml:space="preserve">Product Brief  •  March 2026</w:t>
      </w:r>
    </w:p>
    <w:p>
      <w:pPr>
        <w:spacing w:after="80"/>
      </w:pPr>
    </w:p>
    <w:p>
      <w:pPr>
        <w:pStyle w:val="Heading1"/>
        <w:spacing w:before="300" w:after="150"/>
      </w:pPr>
      <w:r>
        <w:rPr>
          <w:rFonts w:ascii="Arial" w:cs="Arial" w:eastAsia="Arial" w:hAnsi="Arial"/>
          <w:b/>
          <w:bCs/>
          <w:color w:val="1A3A5C"/>
        </w:rPr>
        <w:t xml:space="preserve">Product Overview</w:t>
      </w:r>
    </w:p>
    <w:p>
      <w:pPr>
        <w:spacing w:after="120"/>
      </w:pPr>
      <w:r>
        <w:rPr>
          <w:rFonts w:ascii="Arial" w:cs="Arial" w:eastAsia="Arial" w:hAnsi="Arial"/>
          <w:sz w:val="22"/>
          <w:szCs w:val="22"/>
        </w:rPr>
        <w:t xml:space="preserve">Zava KnowledgeHub is an AI-powered enterprise knowledge management platform that transforms how organizations capture, organize, and surface institutional knowledge. Built on Zava's proprietary AI content engine, KnowledgeHub uses large language models to understand document meaning — not just keywords — enabling semantic search, automatic content classification, and proactive knowledge gap identification.</w:t>
      </w:r>
    </w:p>
    <w:p>
      <w:pPr>
        <w:spacing w:after="120"/>
      </w:pPr>
      <w:r>
        <w:rPr>
          <w:rFonts w:ascii="Arial" w:cs="Arial" w:eastAsia="Arial" w:hAnsi="Arial"/>
          <w:sz w:val="22"/>
          <w:szCs w:val="22"/>
        </w:rPr>
        <w:t xml:space="preserve">KnowledgeHub integrates natively with Microsoft 365, Google Workspace, Salesforce, and ServiceNow, ensuring knowledge flows through the tools teams already use.</w:t>
      </w:r>
    </w:p>
    <w:p>
      <w:pPr>
        <w:pStyle w:val="Heading1"/>
        <w:spacing w:before="300" w:after="150"/>
      </w:pPr>
      <w:r>
        <w:rPr>
          <w:rFonts w:ascii="Arial" w:cs="Arial" w:eastAsia="Arial" w:hAnsi="Arial"/>
          <w:b/>
          <w:bCs/>
          <w:color w:val="1A3A5C"/>
        </w:rPr>
        <w:t xml:space="preserve">Target Persona</w:t>
      </w:r>
    </w:p>
    <w:p>
      <w:pPr>
        <w:spacing w:after="120"/>
      </w:pPr>
      <w:r>
        <w:rPr>
          <w:rFonts w:ascii="Arial" w:cs="Arial" w:eastAsia="Arial" w:hAnsi="Arial"/>
          <w:sz w:val="22"/>
          <w:szCs w:val="22"/>
        </w:rPr>
        <w:t xml:space="preserve">Primary: VP of Knowledge Management / Chief Knowledge Officer — responsible for knowledge strategy, content governance, and ensuring institutional knowledge is accessible across the enterprise.</w:t>
      </w:r>
    </w:p>
    <w:p>
      <w:pPr>
        <w:spacing w:after="120"/>
      </w:pPr>
      <w:r>
        <w:rPr>
          <w:rFonts w:ascii="Arial" w:cs="Arial" w:eastAsia="Arial" w:hAnsi="Arial"/>
          <w:sz w:val="22"/>
          <w:szCs w:val="22"/>
        </w:rPr>
        <w:t xml:space="preserve">Secondary: Director of IT / Enterprise Architecture — evaluating platform fit within the existing technology stack.</w:t>
      </w:r>
    </w:p>
    <w:p>
      <w:pPr>
        <w:pStyle w:val="Heading1"/>
        <w:spacing w:before="300" w:after="150"/>
      </w:pPr>
      <w:r>
        <w:rPr>
          <w:rFonts w:ascii="Arial" w:cs="Arial" w:eastAsia="Arial" w:hAnsi="Arial"/>
          <w:b/>
          <w:bCs/>
          <w:color w:val="1A3A5C"/>
        </w:rPr>
        <w:t xml:space="preserve">Key Capabilities</w:t>
      </w:r>
    </w:p>
    <w:p>
      <w:pPr>
        <w:pStyle w:val="Heading2"/>
        <w:spacing w:before="240" w:after="120"/>
      </w:pPr>
      <w:r>
        <w:rPr>
          <w:rFonts w:ascii="Arial" w:cs="Arial" w:eastAsia="Arial" w:hAnsi="Arial"/>
          <w:b/>
          <w:bCs/>
          <w:color w:val="2980B9"/>
        </w:rPr>
        <w:t xml:space="preserve">Semantic Search</w:t>
      </w:r>
    </w:p>
    <w:p>
      <w:pPr>
        <w:spacing w:after="120"/>
      </w:pPr>
      <w:r>
        <w:rPr>
          <w:rFonts w:ascii="Arial" w:cs="Arial" w:eastAsia="Arial" w:hAnsi="Arial"/>
          <w:sz w:val="22"/>
          <w:szCs w:val="22"/>
        </w:rPr>
        <w:t xml:space="preserve">Natural language queries across all connected content sources. Users ask questions in plain English ("What was our return policy for European customers in Q3?") and receive precise answers with source attribution, not a list of 200 documents. Powered by Zava's RAG (Retrieval Augmented Generation) pipeline with 95th-percentile response times under 2 seconds.</w:t>
      </w:r>
    </w:p>
    <w:p>
      <w:pPr>
        <w:pStyle w:val="Heading2"/>
        <w:spacing w:before="240" w:after="120"/>
      </w:pPr>
      <w:r>
        <w:rPr>
          <w:rFonts w:ascii="Arial" w:cs="Arial" w:eastAsia="Arial" w:hAnsi="Arial"/>
          <w:b/>
          <w:bCs/>
          <w:color w:val="2980B9"/>
        </w:rPr>
        <w:t xml:space="preserve">Auto-Classification</w:t>
      </w:r>
    </w:p>
    <w:p>
      <w:pPr>
        <w:spacing w:after="120"/>
      </w:pPr>
      <w:r>
        <w:rPr>
          <w:rFonts w:ascii="Arial" w:cs="Arial" w:eastAsia="Arial" w:hAnsi="Arial"/>
          <w:sz w:val="22"/>
          <w:szCs w:val="22"/>
        </w:rPr>
        <w:t xml:space="preserve">AI-driven content tagging and categorization that adapts to your organization's taxonomy. New documents are automatically classified within minutes of upload. Classification accuracy averages 94% out-of-the-box and improves to 98%+ with organization-specific training. Supports hierarchical taxonomies up to 5 levels deep.</w:t>
      </w:r>
    </w:p>
    <w:p>
      <w:pPr>
        <w:pStyle w:val="Heading2"/>
        <w:spacing w:before="240" w:after="120"/>
      </w:pPr>
      <w:r>
        <w:rPr>
          <w:rFonts w:ascii="Arial" w:cs="Arial" w:eastAsia="Arial" w:hAnsi="Arial"/>
          <w:b/>
          <w:bCs/>
          <w:color w:val="2980B9"/>
        </w:rPr>
        <w:t xml:space="preserve">Knowledge Gap Analysis</w:t>
      </w:r>
    </w:p>
    <w:p>
      <w:pPr>
        <w:spacing w:after="120"/>
      </w:pPr>
      <w:r>
        <w:rPr>
          <w:rFonts w:ascii="Arial" w:cs="Arial" w:eastAsia="Arial" w:hAnsi="Arial"/>
          <w:sz w:val="22"/>
          <w:szCs w:val="22"/>
        </w:rPr>
        <w:t xml:space="preserve">Proactive identification of knowledge gaps based on query patterns, content freshness, and coverage analysis. Monthly reports highlight: topics where employees search but find no results, content that is frequently accessed but outdated (&gt;12 months without review), and subject areas where expertise is concentrated in fewer than 3 contributors.</w:t>
      </w:r>
    </w:p>
    <w:p>
      <w:pPr>
        <w:pStyle w:val="Heading2"/>
        <w:spacing w:before="240" w:after="120"/>
      </w:pPr>
      <w:r>
        <w:rPr>
          <w:rFonts w:ascii="Arial" w:cs="Arial" w:eastAsia="Arial" w:hAnsi="Arial"/>
          <w:b/>
          <w:bCs/>
          <w:color w:val="2980B9"/>
        </w:rPr>
        <w:t xml:space="preserve">Expert Finder</w:t>
      </w:r>
    </w:p>
    <w:p>
      <w:pPr>
        <w:spacing w:after="120"/>
      </w:pPr>
      <w:r>
        <w:rPr>
          <w:rFonts w:ascii="Arial" w:cs="Arial" w:eastAsia="Arial" w:hAnsi="Arial"/>
          <w:sz w:val="22"/>
          <w:szCs w:val="22"/>
        </w:rPr>
        <w:t xml:space="preserve">Automatically identifies subject matter experts based on content authorship, collaboration patterns, and query-response accuracy. Surfaces expert recommendations when users search for topics, enabling direct connection with the right people.</w:t>
      </w:r>
    </w:p>
    <w:p>
      <w:pPr>
        <w:pStyle w:val="Heading1"/>
        <w:spacing w:before="300" w:after="150"/>
      </w:pPr>
      <w:r>
        <w:rPr>
          <w:rFonts w:ascii="Arial" w:cs="Arial" w:eastAsia="Arial" w:hAnsi="Arial"/>
          <w:b/>
          <w:bCs/>
          <w:color w:val="1A3A5C"/>
        </w:rPr>
        <w:t xml:space="preserve">Pricing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340"/>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340"/>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Premium</w:t>
            </w:r>
          </w:p>
        </w:tc>
        <w:tc>
          <w:tcPr>
            <w:tcW w:type="dxa" w:w="2340"/>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Enterprise</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Price</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$12/user/month</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$28/user/month</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Custom pricing</w:t>
            </w:r>
          </w:p>
        </w:tc>
      </w:tr>
      <w:tr>
        <w:tc>
          <w:tcPr>
            <w:tcW w:type="dxa" w:w="234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Semantic Search</w:t>
            </w:r>
          </w:p>
        </w:tc>
        <w:tc>
          <w:tcPr>
            <w:tcW w:type="dxa" w:w="234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Auto-Classification</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Knowledge Gap Analysis</w:t>
            </w:r>
          </w:p>
        </w:tc>
        <w:tc>
          <w:tcPr>
            <w:tcW w:type="dxa" w:w="234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Basic</w:t>
            </w:r>
          </w:p>
        </w:tc>
        <w:tc>
          <w:tcPr>
            <w:tcW w:type="dxa" w:w="234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Advanced</w:t>
            </w:r>
          </w:p>
        </w:tc>
        <w:tc>
          <w:tcPr>
            <w:tcW w:type="dxa" w:w="234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Advanced + Custom</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Expert Finder</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API Access</w:t>
            </w:r>
          </w:p>
        </w:tc>
        <w:tc>
          <w:tcPr>
            <w:tcW w:type="dxa" w:w="234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Custom Model Training</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Dedicated CSM</w:t>
            </w:r>
          </w:p>
        </w:tc>
        <w:tc>
          <w:tcPr>
            <w:tcW w:type="dxa" w:w="234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SLA</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99.5%</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99.9%</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99.99%</w:t>
            </w:r>
          </w:p>
        </w:tc>
      </w:tr>
    </w:tbl>
    <w:p>
      <w:pPr>
        <w:spacing w:after="80"/>
      </w:pPr>
    </w:p>
    <w:p>
      <w:pPr>
        <w:spacing w:after="120"/>
      </w:pPr>
      <w:r>
        <w:rPr>
          <w:rFonts w:ascii="Arial" w:cs="Arial" w:eastAsia="Arial" w:hAnsi="Arial"/>
          <w:sz w:val="22"/>
          <w:szCs w:val="22"/>
        </w:rPr>
        <w:t xml:space="preserve">Premium tier required for API access and custom model training, which may limit adoption among cost-sensitive mid-market buyers. Organizations evaluating KnowledgeHub should consider whether their knowledge management needs require the programmatic access and customization available only at the Premium and Enterprise tiers.</w:t>
      </w:r>
    </w:p>
    <w:p>
      <w:pPr>
        <w:pStyle w:val="Heading1"/>
        <w:spacing w:before="300" w:after="150"/>
      </w:pPr>
      <w:r>
        <w:rPr>
          <w:rFonts w:ascii="Arial" w:cs="Arial" w:eastAsia="Arial" w:hAnsi="Arial"/>
          <w:b/>
          <w:bCs/>
          <w:color w:val="1A3A5C"/>
        </w:rPr>
        <w:t xml:space="preserve">Compliance &amp; Security</w:t>
      </w:r>
    </w:p>
    <w:p>
      <w:pPr>
        <w:spacing w:after="120"/>
      </w:pPr>
      <w:r>
        <w:rPr>
          <w:rFonts w:ascii="Arial" w:cs="Arial" w:eastAsia="Arial" w:hAnsi="Arial"/>
          <w:sz w:val="22"/>
          <w:szCs w:val="22"/>
        </w:rPr>
        <w:t xml:space="preserve">KnowledgeHub meets enterprise security requirements: SOC 2 Type II (audited annually), HIPAA eligible (BAA available for healthcare customers), GDPR compliant (EU data residency available), and encryption at rest (AES-256) and in transit (TLS 1.3).</w:t>
      </w:r>
    </w:p>
    <w:p>
      <w:pPr>
        <w:pStyle w:val="Heading1"/>
        <w:spacing w:before="300" w:after="150"/>
      </w:pPr>
      <w:r>
        <w:rPr>
          <w:rFonts w:ascii="Arial" w:cs="Arial" w:eastAsia="Arial" w:hAnsi="Arial"/>
          <w:b/>
          <w:bCs/>
          <w:color w:val="1A3A5C"/>
        </w:rPr>
        <w:t xml:space="preserve">Competitive Positioning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755"/>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KnowledgeHub</w:t>
            </w:r>
          </w:p>
        </w:tc>
        <w:tc>
          <w:tcPr>
            <w:tcW w:type="dxa" w:w="1755"/>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Guru</w:t>
            </w:r>
          </w:p>
        </w:tc>
        <w:tc>
          <w:tcPr>
            <w:tcW w:type="dxa" w:w="1755"/>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Notion</w:t>
            </w:r>
          </w:p>
        </w:tc>
        <w:tc>
          <w:tcPr>
            <w:tcW w:type="dxa" w:w="1755"/>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Confluence</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AI Semantic Search</w:t>
            </w:r>
          </w:p>
        </w:tc>
        <w:tc>
          <w:tcPr>
            <w:tcW w:type="dxa" w:w="175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Native</w:t>
            </w:r>
          </w:p>
        </w:tc>
        <w:tc>
          <w:tcPr>
            <w:tcW w:type="dxa" w:w="175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Basic</w:t>
            </w:r>
          </w:p>
        </w:tc>
        <w:tc>
          <w:tcPr>
            <w:tcW w:type="dxa" w:w="175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Keyword only</w:t>
            </w:r>
          </w:p>
        </w:tc>
        <w:tc>
          <w:tcPr>
            <w:tcW w:type="dxa" w:w="175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Basic AI</w:t>
            </w:r>
          </w:p>
        </w:tc>
      </w:tr>
      <w:tr>
        <w:tc>
          <w:tcPr>
            <w:tcW w:type="dxa" w:w="234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Auto-Classification</w:t>
            </w:r>
          </w:p>
        </w:tc>
        <w:tc>
          <w:tcPr>
            <w:tcW w:type="dxa" w:w="1755"/>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Native</w:t>
            </w:r>
          </w:p>
        </w:tc>
        <w:tc>
          <w:tcPr>
            <w:tcW w:type="dxa" w:w="1755"/>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Manual tags</w:t>
            </w:r>
          </w:p>
        </w:tc>
        <w:tc>
          <w:tcPr>
            <w:tcW w:type="dxa" w:w="1755"/>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Manual</w:t>
            </w:r>
          </w:p>
        </w:tc>
        <w:tc>
          <w:tcPr>
            <w:tcW w:type="dxa" w:w="1755"/>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Labels only</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Knowledge Gaps</w:t>
            </w:r>
          </w:p>
        </w:tc>
        <w:tc>
          <w:tcPr>
            <w:tcW w:type="dxa" w:w="175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Proactive</w:t>
            </w:r>
          </w:p>
        </w:tc>
        <w:tc>
          <w:tcPr>
            <w:tcW w:type="dxa" w:w="175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w:t>
            </w:r>
          </w:p>
        </w:tc>
        <w:tc>
          <w:tcPr>
            <w:tcW w:type="dxa" w:w="175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w:t>
            </w:r>
          </w:p>
        </w:tc>
        <w:tc>
          <w:tcPr>
            <w:tcW w:type="dxa" w:w="175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Enterprise SSO</w:t>
            </w:r>
          </w:p>
        </w:tc>
        <w:tc>
          <w:tcPr>
            <w:tcW w:type="dxa" w:w="1755"/>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w:t>
            </w:r>
          </w:p>
        </w:tc>
        <w:tc>
          <w:tcPr>
            <w:tcW w:type="dxa" w:w="1755"/>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w:t>
            </w:r>
          </w:p>
        </w:tc>
        <w:tc>
          <w:tcPr>
            <w:tcW w:type="dxa" w:w="1755"/>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w:t>
            </w:r>
          </w:p>
        </w:tc>
        <w:tc>
          <w:tcPr>
            <w:tcW w:type="dxa" w:w="1755"/>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M365 Integration</w:t>
            </w:r>
          </w:p>
        </w:tc>
        <w:tc>
          <w:tcPr>
            <w:tcW w:type="dxa" w:w="175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Native</w:t>
            </w:r>
          </w:p>
        </w:tc>
        <w:tc>
          <w:tcPr>
            <w:tcW w:type="dxa" w:w="175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Plugin</w:t>
            </w:r>
          </w:p>
        </w:tc>
        <w:tc>
          <w:tcPr>
            <w:tcW w:type="dxa" w:w="175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w:t>
            </w:r>
          </w:p>
        </w:tc>
        <w:tc>
          <w:tcPr>
            <w:tcW w:type="dxa" w:w="1755"/>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Plugin</w:t>
            </w:r>
          </w:p>
        </w:tc>
      </w:tr>
    </w:tbl>
    <w:p>
      <w:pPr>
        <w:pStyle w:val="Heading1"/>
        <w:spacing w:before="300" w:after="150"/>
      </w:pPr>
      <w:r>
        <w:rPr>
          <w:rFonts w:ascii="Arial" w:cs="Arial" w:eastAsia="Arial" w:hAnsi="Arial"/>
          <w:b/>
          <w:bCs/>
          <w:color w:val="1A3A5C"/>
        </w:rPr>
        <w:t xml:space="preserve">Next Steps</w:t>
      </w:r>
    </w:p>
    <w:p>
      <w:pPr>
        <w:spacing w:after="120"/>
      </w:pPr>
      <w:r>
        <w:rPr>
          <w:rFonts w:ascii="Arial" w:cs="Arial" w:eastAsia="Arial" w:hAnsi="Arial"/>
          <w:sz w:val="22"/>
          <w:szCs w:val="22"/>
        </w:rPr>
        <w:t xml:space="preserve">Schedule a personalized demo with your Zava account team to see KnowledgeHub in action with your organization's content. Trial environments are available for qualified enterprise customers (500+ seats).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3A5C"/>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2026-03-05T16:37:02.151Z</dcterms:created>
  <dcterms:modified xsi:type="dcterms:W3CDTF">2026-03-05T16:37:02.151Z</dcterms:modified>
</cp:coreProperties>
</file>

<file path=docProps/custom.xml><?xml version="1.0" encoding="utf-8"?>
<Properties xmlns="http://schemas.openxmlformats.org/officeDocument/2006/custom-properties" xmlns:vt="http://schemas.openxmlformats.org/officeDocument/2006/docPropsVTypes"/>
</file>