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A3A5C"/>
          <w:sz w:val="36"/>
          <w:szCs w:val="36"/>
        </w:rPr>
        <w:t xml:space="preserve">ZAVA</w:t>
      </w:r>
      <w:r>
        <w:rPr>
          <w:rFonts w:ascii="Arial" w:cs="Arial" w:eastAsia="Arial" w:hAnsi="Arial"/>
          <w:color w:val="2980B9"/>
          <w:sz w:val="36"/>
          <w:szCs w:val="36"/>
        </w:rPr>
        <w:t xml:space="preserve"> CORP</w:t>
      </w:r>
    </w:p>
    <w:p>
      <w:pPr>
        <w:pBdr>
          <w:bottom w:val="single" w:color="2980B9" w:sz="4" w:space="8"/>
        </w:pBdr>
        <w:spacing w:after="300"/>
      </w:pPr>
    </w:p>
    <w:p>
      <w:pPr>
        <w:spacing w:after="100"/>
      </w:pPr>
      <w:r>
        <w:rPr>
          <w:rFonts w:ascii="Arial" w:cs="Arial" w:eastAsia="Arial" w:hAnsi="Arial"/>
          <w:b/>
          <w:bCs/>
          <w:color w:val="1A3A5C"/>
          <w:sz w:val="32"/>
          <w:szCs w:val="32"/>
        </w:rPr>
        <w:t xml:space="preserve">Q1 FY2026 Earnings Summary</w:t>
      </w:r>
    </w:p>
    <w:p>
      <w:pPr>
        <w:spacing w:after="300"/>
      </w:pPr>
      <w:r>
        <w:rPr>
          <w:rFonts w:ascii="Arial" w:cs="Arial" w:eastAsia="Arial" w:hAnsi="Arial"/>
          <w:i/>
          <w:iCs/>
          <w:color w:val="555555"/>
          <w:sz w:val="24"/>
          <w:szCs w:val="24"/>
        </w:rPr>
        <w:t xml:space="preserve">For the Quarter Ended September 30, 2025</w:t>
      </w:r>
    </w:p>
    <w:p>
      <w:pPr>
        <w:spacing w:after="120"/>
      </w:pPr>
      <w:r>
        <w:rPr>
          <w:rFonts w:ascii="Arial" w:cs="Arial" w:eastAsia="Arial" w:hAnsi="Arial"/>
          <w:i/>
          <w:iCs/>
          <w:color w:val="555555"/>
          <w:sz w:val="22"/>
          <w:szCs w:val="22"/>
        </w:rPr>
        <w:t xml:space="preserve">Prepared for Investors and Analysts  •  Published October 28, 2025</w:t>
      </w:r>
    </w:p>
    <w:p>
      <w:pPr>
        <w:spacing w:after="80"/>
      </w:pPr>
    </w:p>
    <w:p>
      <w:pPr>
        <w:pStyle w:val="Heading1"/>
        <w:spacing w:before="300" w:after="150"/>
      </w:pPr>
      <w:r>
        <w:rPr>
          <w:rFonts w:ascii="Arial" w:cs="Arial" w:eastAsia="Arial" w:hAnsi="Arial"/>
          <w:b/>
          <w:bCs/>
          <w:color w:val="1A3A5C"/>
        </w:rPr>
        <w:t xml:space="preserve">Financial Highlights</w:t>
      </w:r>
    </w:p>
    <w:p>
      <w:pPr>
        <w:spacing w:after="120"/>
      </w:pPr>
      <w:r>
        <w:rPr>
          <w:rFonts w:ascii="Arial" w:cs="Arial" w:eastAsia="Arial" w:hAnsi="Arial"/>
          <w:sz w:val="22"/>
          <w:szCs w:val="22"/>
        </w:rPr>
        <w:t xml:space="preserve">Zava Corp delivered strong Q1 FY2026 results, demonstrating continued momentum across all business segments. Key highlights for the quarter: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Q1 FY2026</w:t>
            </w:r>
          </w:p>
        </w:tc>
        <w:tc>
          <w:tcPr>
            <w:tcW w:type="dxa" w:w="200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Q1 FY2025</w:t>
            </w:r>
          </w:p>
        </w:tc>
        <w:tc>
          <w:tcPr>
            <w:tcW w:type="dxa" w:w="186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Total Revenue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$2.4B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$2.03B</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+18% YoY</w:t>
            </w:r>
          </w:p>
        </w:tc>
      </w:tr>
      <w:tr>
        <w:tc>
          <w:tcPr>
            <w:tcW w:type="dxa" w:w="35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Operating Income</w:t>
            </w:r>
          </w:p>
        </w:tc>
        <w:tc>
          <w:tcPr>
            <w:tcW w:type="dxa" w:w="20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$748.8M</w:t>
            </w:r>
          </w:p>
        </w:tc>
        <w:tc>
          <w:tcPr>
            <w:tcW w:type="dxa" w:w="20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$589.0M</w:t>
            </w:r>
          </w:p>
        </w:tc>
        <w:tc>
          <w:tcPr>
            <w:tcW w:type="dxa" w:w="186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+27% YoY</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Operating Margin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31.2%</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29.0%</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+220 bps</w:t>
            </w:r>
          </w:p>
        </w:tc>
      </w:tr>
      <w:tr>
        <w:tc>
          <w:tcPr>
            <w:tcW w:type="dxa" w:w="35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Cloud ARR</w:t>
            </w:r>
          </w:p>
        </w:tc>
        <w:tc>
          <w:tcPr>
            <w:tcW w:type="dxa" w:w="20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$1.1B</w:t>
            </w:r>
          </w:p>
        </w:tc>
        <w:tc>
          <w:tcPr>
            <w:tcW w:type="dxa" w:w="20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$931M</w:t>
            </w:r>
          </w:p>
        </w:tc>
        <w:tc>
          <w:tcPr>
            <w:tcW w:type="dxa" w:w="186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+18% YoY</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Enterprise Customers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4,200+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3,650</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+15% YoY</w:t>
            </w:r>
          </w:p>
        </w:tc>
      </w:tr>
      <w:tr>
        <w:tc>
          <w:tcPr>
            <w:tcW w:type="dxa" w:w="35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Net Revenue Retention</w:t>
            </w:r>
          </w:p>
        </w:tc>
        <w:tc>
          <w:tcPr>
            <w:tcW w:type="dxa" w:w="20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118%</w:t>
            </w:r>
          </w:p>
        </w:tc>
        <w:tc>
          <w:tcPr>
            <w:tcW w:type="dxa" w:w="200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122%</w:t>
            </w:r>
          </w:p>
        </w:tc>
        <w:tc>
          <w:tcPr>
            <w:tcW w:type="dxa" w:w="186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-4 pts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Free Cash Flow</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$612M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$498M</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+23% YoY</w:t>
            </w:r>
          </w:p>
        </w:tc>
      </w:tr>
    </w:tbl>
    <w:p>
      <w:pPr>
        <w:pStyle w:val="Heading1"/>
        <w:spacing w:before="300" w:after="150"/>
      </w:pPr>
      <w:r>
        <w:rPr>
          <w:rFonts w:ascii="Arial" w:cs="Arial" w:eastAsia="Arial" w:hAnsi="Arial"/>
          <w:b/>
          <w:bCs/>
          <w:color w:val="1A3A5C"/>
        </w:rPr>
        <w:t xml:space="preserve">Segment Performance</w:t>
      </w:r>
    </w:p>
    <w:p>
      <w:pPr>
        <w:pStyle w:val="Heading2"/>
        <w:spacing w:before="240" w:after="120"/>
      </w:pPr>
      <w:r>
        <w:rPr>
          <w:rFonts w:ascii="Arial" w:cs="Arial" w:eastAsia="Arial" w:hAnsi="Arial"/>
          <w:b/>
          <w:bCs/>
          <w:color w:val="2980B9"/>
        </w:rPr>
        <w:t xml:space="preserve">Platform ($1.56B, 65% of revenue)</w:t>
      </w:r>
    </w:p>
    <w:p>
      <w:pPr>
        <w:spacing w:after="120"/>
      </w:pPr>
      <w:r>
        <w:rPr>
          <w:rFonts w:ascii="Arial" w:cs="Arial" w:eastAsia="Arial" w:hAnsi="Arial"/>
          <w:sz w:val="22"/>
          <w:szCs w:val="22"/>
        </w:rPr>
        <w:t xml:space="preserve">The Platform segment grew 21% YoY driven by strong enterprise adoption of the AI content platform. Average contract value increased 14% to $372K annually. New AI-powered features including semantic search and auto-classification drove upsell activity across the installed base.</w:t>
      </w:r>
    </w:p>
    <w:p>
      <w:pPr>
        <w:pStyle w:val="Heading2"/>
        <w:spacing w:before="240" w:after="120"/>
      </w:pPr>
      <w:r>
        <w:rPr>
          <w:rFonts w:ascii="Arial" w:cs="Arial" w:eastAsia="Arial" w:hAnsi="Arial"/>
          <w:b/>
          <w:bCs/>
          <w:color w:val="2980B9"/>
        </w:rPr>
        <w:t xml:space="preserve">Services ($528M, 22% of revenue)</w:t>
      </w:r>
    </w:p>
    <w:p>
      <w:pPr>
        <w:spacing w:after="120"/>
      </w:pPr>
      <w:r>
        <w:rPr>
          <w:rFonts w:ascii="Arial" w:cs="Arial" w:eastAsia="Arial" w:hAnsi="Arial"/>
          <w:sz w:val="22"/>
          <w:szCs w:val="22"/>
        </w:rPr>
        <w:t xml:space="preserve">Professional services revenue grew 12% YoY as enterprise implementations scaled. Gross margin in Services improved to 42% from 38% in the prior year, reflecting greater efficiency in delivery methodology and increased use of AI-assisted implementation tooling.</w:t>
      </w:r>
    </w:p>
    <w:p>
      <w:pPr>
        <w:pStyle w:val="Heading2"/>
        <w:spacing w:before="240" w:after="120"/>
      </w:pPr>
      <w:r>
        <w:rPr>
          <w:rFonts w:ascii="Arial" w:cs="Arial" w:eastAsia="Arial" w:hAnsi="Arial"/>
          <w:b/>
          <w:bCs/>
          <w:color w:val="2980B9"/>
        </w:rPr>
        <w:t xml:space="preserve">Marketplace ($312M, 13% of revenue)</w:t>
      </w:r>
    </w:p>
    <w:p>
      <w:pPr>
        <w:spacing w:after="120"/>
      </w:pPr>
      <w:r>
        <w:rPr>
          <w:rFonts w:ascii="Arial" w:cs="Arial" w:eastAsia="Arial" w:hAnsi="Arial"/>
          <w:sz w:val="22"/>
          <w:szCs w:val="22"/>
        </w:rPr>
        <w:t xml:space="preserve">Marketplace revenue grew 16% YoY. The partner ecosystem expanded to 840 ISV partners (up from 720). Third-party AI model integrations were the fastest-growing category, with 2.3M monthly API calls through the Marketplace.</w:t>
      </w:r>
    </w:p>
    <w:p>
      <w:pPr>
        <w:pStyle w:val="Heading1"/>
        <w:spacing w:before="300" w:after="150"/>
      </w:pPr>
      <w:r>
        <w:rPr>
          <w:rFonts w:ascii="Arial" w:cs="Arial" w:eastAsia="Arial" w:hAnsi="Arial"/>
          <w:b/>
          <w:bCs/>
          <w:color w:val="1A3A5C"/>
        </w:rPr>
        <w:t xml:space="preserve">Key Operating Metrics</w:t>
      </w:r>
    </w:p>
    <w:p>
      <w:pPr>
        <w:spacing w:after="120"/>
      </w:pPr>
      <w:r>
        <w:rPr>
          <w:rFonts w:ascii="Arial" w:cs="Arial" w:eastAsia="Arial" w:hAnsi="Arial"/>
          <w:sz w:val="22"/>
          <w:szCs w:val="22"/>
        </w:rPr>
        <w:t xml:space="preserve">Cloud ARR crossed the $1.1 billion milestone during the quarter, though the growth rate decelerated from 24% YoY in Q1 FY2025 to 18% YoY in Q1 FY2026. Cloud ARR growth rate decelerated from 24% to 18% YoY, signaling potential market saturation in mid-market segment. Management attributes this to a maturing mid-market segment and is investing in vertical solutions (Healthcare, Financial Services, Government) to reaccelerate growth.</w:t>
      </w:r>
    </w:p>
    <w:p>
      <w:pPr>
        <w:spacing w:after="120"/>
      </w:pPr>
      <w:r>
        <w:rPr>
          <w:rFonts w:ascii="Arial" w:cs="Arial" w:eastAsia="Arial" w:hAnsi="Arial"/>
          <w:sz w:val="22"/>
          <w:szCs w:val="22"/>
        </w:rPr>
        <w:t xml:space="preserve">Dollar-based net revenue retention was 118%, down from 122% in the year-ago quarter but still well above the 110% benchmark for healthy SaaS expansion.</w:t>
      </w:r>
    </w:p>
    <w:p>
      <w:pPr>
        <w:pStyle w:val="Heading1"/>
        <w:spacing w:before="300" w:after="150"/>
      </w:pPr>
      <w:r>
        <w:rPr>
          <w:rFonts w:ascii="Arial" w:cs="Arial" w:eastAsia="Arial" w:hAnsi="Arial"/>
          <w:b/>
          <w:bCs/>
          <w:color w:val="1A3A5C"/>
        </w:rPr>
        <w:t xml:space="preserve">Forward Guidance — Q2 FY2026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Q2 FY2026 Guidance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$2.50B - $2.55B</w:t>
            </w:r>
          </w:p>
        </w:tc>
      </w:tr>
      <w:tr>
        <w:tc>
          <w:tcPr>
            <w:tcW w:type="dxa" w:w="46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Operating Margin</w:t>
            </w:r>
          </w:p>
        </w:tc>
        <w:tc>
          <w:tcPr>
            <w:tcW w:type="dxa" w:w="46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31.0% - 32.0%</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Cloud ARR (exit rate)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$1.18B - $1.22B</w:t>
            </w:r>
          </w:p>
        </w:tc>
      </w:tr>
    </w:tbl>
    <w:p>
      <w:pPr>
        <w:spacing w:after="80"/>
      </w:pPr>
    </w:p>
    <w:p>
      <w:pPr>
        <w:spacing w:after="120"/>
      </w:pPr>
      <w:r>
        <w:rPr>
          <w:rFonts w:ascii="Arial" w:cs="Arial" w:eastAsia="Arial" w:hAnsi="Arial"/>
          <w:sz w:val="22"/>
          <w:szCs w:val="22"/>
        </w:rPr>
        <w:t xml:space="preserve">Management commentary: "We're confident in our ability to sustain double-digit growth through FY2026. Our AI platform investments are translating into measurable customer outcomes, and our vertical expansion strategy is opening new addressable market segments." — David Park, CFO, Zava Corp</w:t>
      </w:r>
    </w:p>
    <w:p>
      <w:pPr>
        <w:pStyle w:val="Heading1"/>
        <w:spacing w:before="300" w:after="150"/>
      </w:pPr>
      <w:r>
        <w:rPr>
          <w:rFonts w:ascii="Arial" w:cs="Arial" w:eastAsia="Arial" w:hAnsi="Arial"/>
          <w:b/>
          <w:bCs/>
          <w:color w:val="1A3A5C"/>
        </w:rPr>
        <w:t xml:space="preserve">Safe Harbor Statement</w:t>
      </w:r>
    </w:p>
    <w:p>
      <w:pPr>
        <w:spacing w:after="120"/>
      </w:pPr>
      <w:r>
        <w:rPr>
          <w:rFonts w:ascii="Arial" w:cs="Arial" w:eastAsia="Arial" w:hAnsi="Arial"/>
          <w:i/>
          <w:iCs/>
          <w:color w:val="555555"/>
          <w:sz w:val="22"/>
          <w:szCs w:val="22"/>
        </w:rPr>
        <w:t xml:space="preserve">This document contains forward-looking statements within the meaning of the Private Securities Litigation Reform Act of 1995. These statements involve risks and uncertainties that could cause actual results to differ materially from those projected. Investors should not rely on forward-looking statements as predictions of future events.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2026-03-05T16:37:02.125Z</dcterms:created>
  <dcterms:modified xsi:type="dcterms:W3CDTF">2026-03-05T16:37:02.125Z</dcterms:modified>
</cp:coreProperties>
</file>

<file path=docProps/custom.xml><?xml version="1.0" encoding="utf-8"?>
<Properties xmlns="http://schemas.openxmlformats.org/officeDocument/2006/custom-properties" xmlns:vt="http://schemas.openxmlformats.org/officeDocument/2006/docPropsVTypes"/>
</file>