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ZAVA</w:t>
      </w:r>
      <w:r>
        <w:rPr>
          <w:rFonts w:ascii="Arial" w:cs="Arial" w:eastAsia="Arial" w:hAnsi="Arial"/>
          <w:color w:val="2980B9"/>
          <w:sz w:val="36"/>
          <w:szCs w:val="36"/>
        </w:rPr>
        <w:t xml:space="preserve"> CORP</w:t>
      </w:r>
    </w:p>
    <w:p>
      <w:pPr>
        <w:pBdr>
          <w:bottom w:val="single" w:color="2980B9" w:sz="4" w:space="8"/>
        </w:pBd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RFP Response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Northwind Traders — Enterprise AI Content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RFP Reference: NWT-2025-AI-0078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Submitted: February 28, 2025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Prepared by: Zava Corp, Enterprise Solutions Division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A5C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Zava Corp is pleased to submit this proposal in response to Northwind Traders' Request for Proposal for an Enterprise AI Content Platform (RFP ref: NWT-2025-AI-0078). We propose a comprehensive 3-phase implementation leveraging the Zava Enterprise AI Platform to transform Northwind's content management capabilities across its 12,000-person global organization.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proposed solution addresses all 23 requirements specified in the RFP, with particular strength in AI-powered content classification (Requirement 4.2), multi-language support across Northwind's 8 operating regions (Requirement 4.7), and integration with Northwind's existing SAP S/4HANA and Microsoft 365 environments (Requirements 4.12-4.14).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A5C"/>
        </w:rPr>
        <w:t xml:space="preserve">2. Proposed Implementation Approach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</w:rPr>
        <w:t xml:space="preserve">Phase 1: Discovery &amp; Design (4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audit of Northwind's existing 2.3M documents across SharePoint, file shares, and SAP DMS. Stakeholder workshops with 6 business units to map content workflows and classification requirements. Architecture design for hybrid cloud deployment (Azure West US 2 + Northwind's Frankfurt data center for EU content).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</w:rPr>
        <w:t xml:space="preserve">Phase 2: Build &amp; Configure (12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platform deployment and configuration. Migration of 2.3M documents with metadata preservation. Custom AI model training on Northwind's product taxonomy (8,400 SKUs) and regulatory document types. Integration development: SAP S/4HANA (bidirectional), Microsoft 365 (native), and Northwind's custom logistics portal (REST API).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build timeline of 12 weeks assumes Northwind provides API access to legacy systems within the first 2 weeks of the phase. Delays in access provisioning will impact the overall timeline proportionally.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</w:rPr>
        <w:t xml:space="preserve">Phase 3: Scale &amp; Optimize (8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Phased rollout across 12,000 users in 3 waves (pilot 500 → regional 3,000 → global 12,000). Performance tuning based on real usage patterns. Knowledge transfer to Northwind's internal IT team (40 hours of admin training). Hypercare support for 4 weeks post-global launch.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A5C"/>
        </w:rPr>
        <w:t xml:space="preserve">3. Investment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Recurring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License (12,000 users)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$864,000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Services (Phases 1-3)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$680,000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Integration Development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$320,000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Support (Year 1)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$172,800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Enablement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$85,000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First Year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$1,085,000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$765,000 (prorated)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Project Investment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$1,850,000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A5C"/>
        </w:rPr>
        <w:t xml:space="preserve">4. Service Level Commitments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Zava commits to the following SLAs for the Northwind deployment: Platform availability of 99.95% measured monthly (exceeding the 99.9% requirement in Section 5.1 of the RFP). Incident response times: P1 Critical within 15 minutes, P2 High within 1 hour, P3 Medium within 4 hours, P4 Low within 1 business day.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A5C"/>
        </w:rPr>
        <w:t xml:space="preserve">5. Compliance &amp; Certifications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Zava Corp maintains the following active compliance certifications relevant to Northwind's requirements: SOC 2 Type II (most recent audit: November 2024, Ernst &amp; Young), ISO 27001:2022 (certified, BSI Group), FedRAMP Moderate (authorized, relevant for Northwind's U.S. Government supply chain business), GDPR compliant (EU data processing addendum available), and PCI DSS Level 1 (for Northwind's payment-adjacent document workflows).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A5C"/>
        </w:rPr>
        <w:t xml:space="preserve">6. Proposed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Zava will assign 14 named team members to the Northwind engagement: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Kim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Lead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Martinez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Engineer Lead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 Nakamura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Lead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+ 10 additional team members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Engineers, QA, Training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A5C"/>
        </w:rPr>
        <w:t xml:space="preserve">7.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Zava is prepared to provide references from 3 comparable enterprise deployments upon request, including a Fortune 100 retail company (18,000 users), a global financial services firm (9,500 users), and a U.S. federal agency (FedRAMP deployment, 6,000 users).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2026-03-05T16:37:02.236Z</dcterms:created>
  <dcterms:modified xsi:type="dcterms:W3CDTF">2026-03-05T16:37:02.236Z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