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Heading1"/>
      </w:pPr>
      <w:r>
        <w:t>Zava Security &amp; Compliance Overview</w:t>
      </w:r>
    </w:p>
    <w:p xmlns:w="http://schemas.openxmlformats.org/wordprocessingml/2006/main">
      <w:r>
        <w:t xml:space="preserve">Prepared for: Northwind Traders | Date: February 2025 | Proposal Reference: ZVA-2025-SC-008</w:t>
      </w:r>
    </w:p>
    <w:p xmlns:w="http://schemas.openxmlformats.org/wordprocessingml/2006/main">
      <w:r>
        <w:t xml:space="preserve">Prepared by: Zava Security Practice | Account Executive: Keiko Tanaka</w:t>
      </w:r>
    </w:p>
    <w:p xmlns:w="http://schemas.openxmlformats.org/wordprocessingml/2006/main"/>
    <w:p xmlns:w="http://schemas.openxmlformats.org/wordprocessingml/2006/main">
      <w:r>
        <w:t xml:space="preserve">This document provides a comprehensive overview of Zava's security architecture, zero-trust implementation, compliance certifications, and incident response procedures for Northwind Traders' security evaluation team.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Security Architecture Overview</w:t>
      </w:r>
    </w:p>
    <w:p xmlns:w="http://schemas.openxmlformats.org/wordprocessingml/2006/main">
      <w:r>
        <w:t xml:space="preserve">Zava's security architecture is built on Microsoft's Security Development Lifecycle (SDL) and is aligned to the NIST Cybersecurity Framework. All Zava-managed infrastructure runs in Azure with security controls enforced via Azure Policy, Microsoft Defender for Cloud, and Microsoft Sentinel.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Zero-Trust Implementation</w:t>
      </w:r>
    </w:p>
    <w:p xmlns:w="http://schemas.openxmlformats.org/wordprocessingml/2006/main">
      <w:r>
        <w:t xml:space="preserve">Zava has implemented a full zero-trust architecture across all production systems. Core pillars of our zero-trust model:</w:t>
      </w:r>
    </w:p>
    <w:p xmlns:w="http://schemas.openxmlformats.org/wordprocessingml/2006/main">
      <w:r>
        <w:t xml:space="preserve">Identity: All access requires multi-factor authentication. Privileged Identity Management (PIM) enforces just-in-time access for administrative roles — no standing admin access exists in any production environment. Conditional Access policies enforce device compliance and location-based controls.</w:t>
      </w:r>
    </w:p>
    <w:p xmlns:w="http://schemas.openxmlformats.org/wordprocessingml/2006/main">
      <w:r>
        <w:t xml:space="preserve">Network: All traffic between services is encrypted and authenticated. No implicit trust based on network location. Microsegmentation is enforced via Azure Virtual Networks with deny-by-default NSG rules.</w:t>
      </w:r>
    </w:p>
    <w:p xmlns:w="http://schemas.openxmlformats.org/wordprocessingml/2006/main">
      <w:r>
        <w:t xml:space="preserve">Data: All data classified at ingestion using Microsoft Purview. Sensitivity labels enforce encryption and access controls automatically. Data Loss Prevention policies are applied at the Microsoft 365 and Azure Storage layers.</w:t>
      </w:r>
    </w:p>
    <w:p xmlns:w="http://schemas.openxmlformats.org/wordprocessingml/2006/main">
      <w:r>
        <w:t xml:space="preserve">Endpoints: All managed endpoints are enrolled in Microsoft Intune. Non-compliant devices are blocked from accessing Zava systems via Conditional Access.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Encryption Standards</w:t>
      </w:r>
    </w:p>
    <w:p xmlns:w="http://schemas.openxmlformats.org/wordprocessingml/2006/main">
      <w:r>
        <w:t xml:space="preserve">Data at rest: AES-256 encryption for all stored data. Azure Storage Service Encryption and Azure Disk Encryption are enabled by default on all storage resources.</w:t>
      </w:r>
    </w:p>
    <w:p xmlns:w="http://schemas.openxmlformats.org/wordprocessingml/2006/main">
      <w:r>
        <w:t xml:space="preserve">Data in transit: TLS 1.3 enforced for all external communications. TLS 1.2 minimum for internal service-to-service traffic. TLS 1.0 and 1.1 are disabled at the tenant level and cannot be re-enabled.</w:t>
      </w:r>
    </w:p>
    <w:p xmlns:w="http://schemas.openxmlformats.org/wordprocessingml/2006/main">
      <w:r>
        <w:t xml:space="preserve">Key management: Azure Key Vault with Hardware Security Module (HSM) backing for all cryptographic keys. Customer-managed keys (CMK) are available for Platinum support customers upon request.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Penetration Testing</w:t>
      </w:r>
    </w:p>
    <w:p xmlns:w="http://schemas.openxmlformats.org/wordprocessingml/2006/main">
      <w:r>
        <w:t xml:space="preserve">Zava conducts annual third-party penetration tests covering network, application, and social engineering vectors. Tests are performed by an independent security firm (current vendor: Secureworks). The most recent test was completed in November 2024. Executive summary reports are available under NDA; full technical reports are available to customers under a separate NDA agreement with Secureworks.</w:t>
      </w:r>
    </w:p>
    <w:p xmlns:w="http://schemas.openxmlformats.org/wordprocessingml/2006/main">
      <w:r>
        <w:t xml:space="preserve">In addition, Zava participates in the Microsoft Vulnerability Research program and maintains a responsible disclosure policy for external security researchers.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Compliance Certifications</w:t>
      </w:r>
    </w:p>
    <w:p xmlns:w="http://schemas.openxmlformats.org/wordprocessingml/2006/main">
      <w:r>
        <w:t xml:space="preserve">FedRAMP Moderate — Authority to Operate (ATO) granted April 2023</w:t>
      </w:r>
    </w:p>
    <w:p xmlns:w="http://schemas.openxmlformats.org/wordprocessingml/2006/main">
      <w:r>
        <w:t xml:space="preserve">HIPAA / HITECH — Business Associate Agreement available as standard</w:t>
      </w:r>
    </w:p>
    <w:p xmlns:w="http://schemas.openxmlformats.org/wordprocessingml/2006/main">
      <w:r>
        <w:t xml:space="preserve">SOC 2 Type II — most recent audit period: January-December 2024, report available under NDA</w:t>
      </w:r>
    </w:p>
    <w:p xmlns:w="http://schemas.openxmlformats.org/wordprocessingml/2006/main">
      <w:r>
        <w:t xml:space="preserve">ISO 27001:2022 — certified since 2019; most recent surveillance audit: October 2024</w:t>
      </w:r>
    </w:p>
    <w:p xmlns:w="http://schemas.openxmlformats.org/wordprocessingml/2006/main">
      <w:r>
        <w:t xml:space="preserve">ISO 27701 — privacy extension, certified since 2023</w:t>
      </w:r>
    </w:p>
    <w:p xmlns:w="http://schemas.openxmlformats.org/wordprocessingml/2006/main">
      <w:r>
        <w:t xml:space="preserve">PCI DSS Level 1 Service Provider — current attestation on file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Incident Response Procedures</w:t>
      </w:r>
    </w:p>
    <w:p xmlns:w="http://schemas.openxmlformats.org/wordprocessingml/2006/main">
      <w:r>
        <w:t xml:space="preserve">Zava's Incident Response Plan (IRP) follows the NIST SP 800-61 framework. The plan is reviewed and updated quarterly and tested via tabletop exercises twice annually.</w:t>
      </w:r>
    </w:p>
    <w:p xmlns:w="http://schemas.openxmlformats.org/wordprocessingml/2006/main">
      <w:r>
        <w:t xml:space="preserve">Detection: Automated detection via Microsoft Sentinel SIEM with 24/7 SOC monitoring. Mean time to detect (MTTD) for security incidents: 8 minutes (2024 average).</w:t>
      </w:r>
    </w:p>
    <w:p xmlns:w="http://schemas.openxmlformats.org/wordprocessingml/2006/main">
      <w:r>
        <w:t xml:space="preserve">Containment: On-call security engineer engaged within 15 minutes of confirmed incident. Automated containment playbooks reduce initial response time for common incident types.</w:t>
      </w:r>
    </w:p>
    <w:p xmlns:w="http://schemas.openxmlformats.org/wordprocessingml/2006/main">
      <w:r>
        <w:t xml:space="preserve">Customer notification: Customers are notified within 2 hours of a confirmed security incident that may affect their data. Notification includes initial impact assessment, containment actions taken, and next steps.</w:t>
      </w:r>
    </w:p>
    <w:p xmlns:w="http://schemas.openxmlformats.org/wordprocessingml/2006/main">
      <w:r>
        <w:t xml:space="preserve">Regulatory notification: Zava supports customer obligations under GDPR (72-hour notification), HIPAA, and applicable US state breach notification laws.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Security Team</w:t>
      </w:r>
    </w:p>
    <w:p xmlns:w="http://schemas.openxmlformats.org/wordprocessingml/2006/main">
      <w:r>
        <w:t xml:space="preserve">Zava's security team comprises 34 dedicated security professionals including:</w:t>
      </w:r>
    </w:p>
    <w:p xmlns:w="http://schemas.openxmlformats.org/wordprocessingml/2006/main">
      <w:r>
        <w:t xml:space="preserve">Chief Information Security Officer: Marcus Reid, CISSP, CISM, 18 years experience</w:t>
      </w:r>
    </w:p>
    <w:p xmlns:w="http://schemas.openxmlformats.org/wordprocessingml/2006/main">
      <w:r>
        <w:t xml:space="preserve">Security Operations: 12 SOC analysts across three shifts (24/7 coverage)</w:t>
      </w:r>
    </w:p>
    <w:p xmlns:w="http://schemas.openxmlformats.org/wordprocessingml/2006/main">
      <w:r>
        <w:t xml:space="preserve">Application Security: 8 AppSec engineers embedded in product delivery teams</w:t>
      </w:r>
    </w:p>
    <w:p xmlns:w="http://schemas.openxmlformats.org/wordprocessingml/2006/main">
      <w:r>
        <w:t xml:space="preserve">GRC: 6 professionals managing compliance, risk, and audit programs</w:t>
      </w:r>
    </w:p>
    <w:p xmlns:w="http://schemas.openxmlformats.org/wordprocessingml/2006/main">
      <w:r>
        <w:t xml:space="preserve">Security certifications held across the team: 14 CISSP, 8 CISM, 11 CEH, 6 OSCP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  <w:szCs w:val="24"/>
    </w:rPr>
  </w:style>
  <w:style w:type="paragraph" w:styleId="Heading1">
    <w:name w:val="heading 1"/>
    <w:basedOn w:val="Normal"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pPr>
      <w:outlineLvl w:val="1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