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Vendor Onboarding Guide</w:t>
      </w:r>
    </w:p>
    <w:p xmlns:w="http://schemas.openxmlformats.org/wordprocessingml/2006/main">
      <w:r>
        <w:t xml:space="preserve">Version: Draft 1.0 | Last Updated: January 2025 | Owner: Procurement &amp; IT Operations</w:t>
      </w:r>
    </w:p>
    <w:p xmlns:w="http://schemas.openxmlformats.org/wordprocessingml/2006/main"/>
    <w:p xmlns:w="http://schemas.openxmlformats.org/wordprocessingml/2006/main">
      <w:r>
        <w:t xml:space="preserve">This guide covers the end-to-end process for onboarding a new external vendor to Contoso's systems and processes. All steps must be completed before a vendor can receive payment or access any Contoso systems.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1. Account Setup</w:t>
      </w:r>
    </w:p>
    <w:p xmlns:w="http://schemas.openxmlformats.org/wordprocessingml/2006/main">
      <w:r>
        <w:t xml:space="preserve">1.1 Vendor Registration: The procurement team must register the vendor in Coupa (vendor portal) using the vendor's legal entity name, tax ID (EIN/VAT), and primary billing address.</w:t>
      </w:r>
    </w:p>
    <w:p xmlns:w="http://schemas.openxmlformats.org/wordprocessingml/2006/main">
      <w:r>
        <w:t xml:space="preserve">1.2 Banking Details: Vendor must submit ACH or wire transfer details via the secure Coupa supplier portal. Do not accept banking details by email.</w:t>
      </w:r>
    </w:p>
    <w:p xmlns:w="http://schemas.openxmlformats.org/wordprocessingml/2006/main">
      <w:r>
        <w:t xml:space="preserve">1.3 W-9 / W-8BEN: Collect completed tax form from vendor. US entities provide W-9; foreign entities provide W-8BEN. File in SharePoint under Procurement &gt; Vendors &gt; Tax Forms.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2. System Access</w:t>
      </w:r>
    </w:p>
    <w:p xmlns:w="http://schemas.openxmlformats.org/wordprocessingml/2006/main">
      <w:r>
        <w:t xml:space="preserve">2.1 If the vendor requires access to Contoso internal systems (e.g., project management tools, shared drives, or test environments), submit an IT Access Request ticket via the ServiceNow portal at least 5 business days before access is needed.</w:t>
      </w:r>
    </w:p>
    <w:p xmlns:w="http://schemas.openxmlformats.org/wordprocessingml/2006/main">
      <w:r>
        <w:t xml:space="preserve">2.2 All vendor users must complete the Contoso Acceptable Use Policy acknowledgment before receiving system credentials. The AUP form is available in ServiceNow.</w:t>
      </w:r>
    </w:p>
    <w:p xmlns:w="http://schemas.openxmlformats.org/wordprocessingml/2006/main">
      <w:r>
        <w:t xml:space="preserve">2.3 Vendor accounts are created as external guest accounts in Azure AD and scoped to the minimum required permissions. Access is reviewed quarterly and revoked upon contract end.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3. First Week Checklist</w:t>
      </w:r>
    </w:p>
    <w:p xmlns:w="http://schemas.openxmlformats.org/wordprocessingml/2006/main">
      <w:r>
        <w:t xml:space="preserve">[ ] Vendor receives welcome email with key contacts and escalation paths</w:t>
      </w:r>
    </w:p>
    <w:p xmlns:w="http://schemas.openxmlformats.org/wordprocessingml/2006/main">
      <w:r>
        <w:t xml:space="preserve">[ ] Kick-off meeting scheduled with project sponsor and vendor account manager</w:t>
      </w:r>
    </w:p>
    <w:p xmlns:w="http://schemas.openxmlformats.org/wordprocessingml/2006/main">
      <w:r>
        <w:t xml:space="preserve">[ ] Non-Disclosure Agreement (NDA) signed and filed</w:t>
      </w:r>
    </w:p>
    <w:p xmlns:w="http://schemas.openxmlformats.org/wordprocessingml/2006/main">
      <w:r>
        <w:t xml:space="preserve">[ ] Master Service Agreement (MSA) or Statement of Work (SOW) fully executed</w:t>
      </w:r>
    </w:p>
    <w:p xmlns:w="http://schemas.openxmlformats.org/wordprocessingml/2006/main">
      <w:r>
        <w:t xml:space="preserve">[ ] Vendor added to relevant Slack channels (external designation required)</w:t>
      </w:r>
    </w:p>
    <w:p xmlns:w="http://schemas.openxmlformats.org/wordprocessingml/2006/main">
      <w:r>
        <w:t xml:space="preserve">[ ] Data sharing agreement completed if vendor will handle personal data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4. Key Contacts</w:t>
      </w:r>
    </w:p>
    <w:p xmlns:w="http://schemas.openxmlformats.org/wordprocessingml/2006/main">
      <w:r>
        <w:t xml:space="preserve">Procurement Lead: Angela Morales — angela.morales@contoso.com</w:t>
      </w:r>
    </w:p>
    <w:p xmlns:w="http://schemas.openxmlformats.org/wordprocessingml/2006/main">
      <w:r>
        <w:t xml:space="preserve">IT Access Requests: ServiceNow Portal — https://contoso.service-now.com</w:t>
      </w:r>
    </w:p>
    <w:p xmlns:w="http://schemas.openxmlformats.org/wordprocessingml/2006/main">
      <w:r>
        <w:t xml:space="preserve">Legal / Contract Review: contracts@contoso.com</w:t>
      </w:r>
    </w:p>
    <w:p xmlns:w="http://schemas.openxmlformats.org/wordprocessingml/2006/main">
      <w:r>
        <w:t xml:space="preserve">Accounts Payable: ap@contoso.com | payment terms Net-30 from invoice receipt</w:t>
      </w:r>
    </w:p>
    <w:p xmlns:w="http://schemas.openxmlformats.org/wordprocessingml/2006/main">
      <w:r>
        <w:t xml:space="preserve">Security Compliance: security@contoso.com — contact for DPA or data handling questions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