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A3A5C"/>
          <w:sz w:val="36"/>
          <w:szCs w:val="36"/>
        </w:rPr>
        <w:t xml:space="preserve">ZAVA</w:t>
      </w:r>
      <w:r>
        <w:rPr>
          <w:rFonts w:ascii="Arial" w:cs="Arial" w:eastAsia="Arial" w:hAnsi="Arial"/>
          <w:color w:val="2980B9"/>
          <w:sz w:val="36"/>
          <w:szCs w:val="36"/>
        </w:rPr>
        <w:t xml:space="preserve"> CORP</w:t>
      </w:r>
    </w:p>
    <w:p>
      <w:pPr>
        <w:pBdr>
          <w:bottom w:val="single" w:color="2980B9" w:sz="4" w:space="8"/>
        </w:pBdr>
        <w:spacing w:after="300"/>
      </w:pPr>
    </w:p>
    <w:p>
      <w:pPr>
        <w:spacing w:after="100"/>
      </w:pPr>
      <w:r>
        <w:rPr>
          <w:rFonts w:ascii="Arial" w:cs="Arial" w:eastAsia="Arial" w:hAnsi="Arial"/>
          <w:b/>
          <w:bCs/>
          <w:color w:val="1A3A5C"/>
          <w:sz w:val="32"/>
          <w:szCs w:val="32"/>
        </w:rPr>
        <w:t xml:space="preserve">Master Services Agreement</w:t>
      </w:r>
    </w:p>
    <w:p>
      <w:pPr>
        <w:spacing w:after="300"/>
      </w:pPr>
      <w:r>
        <w:rPr>
          <w:rFonts w:ascii="Arial" w:cs="Arial" w:eastAsia="Arial" w:hAnsi="Arial"/>
          <w:i/>
          <w:iCs/>
          <w:color w:val="555555"/>
          <w:sz w:val="24"/>
          <w:szCs w:val="24"/>
        </w:rPr>
        <w:t xml:space="preserve">Zava Corp &amp; Contoso Ltd</w:t>
      </w:r>
    </w:p>
    <w:p>
      <w:pPr>
        <w:spacing w:after="120"/>
      </w:pPr>
      <w:r>
        <w:rPr>
          <w:rFonts w:ascii="Arial" w:cs="Arial" w:eastAsia="Arial" w:hAnsi="Arial"/>
          <w:sz w:val="22"/>
          <w:szCs w:val="22"/>
        </w:rPr>
        <w:t xml:space="preserve">Agreement Date: January 15, 2025</w:t>
      </w:r>
    </w:p>
    <w:p>
      <w:pPr>
        <w:spacing w:after="120"/>
      </w:pPr>
      <w:r>
        <w:rPr>
          <w:rFonts w:ascii="Arial" w:cs="Arial" w:eastAsia="Arial" w:hAnsi="Arial"/>
          <w:sz w:val="22"/>
          <w:szCs w:val="22"/>
        </w:rPr>
        <w:t xml:space="preserve">Agreement Number: ZV-MSA-2025-0042</w:t>
      </w:r>
    </w:p>
    <w:p>
      <w:pPr>
        <w:spacing w:after="80"/>
      </w:pPr>
    </w:p>
    <w:p>
      <w:pPr>
        <w:pStyle w:val="Heading1"/>
        <w:spacing w:before="300" w:after="150"/>
      </w:pPr>
      <w:r>
        <w:rPr>
          <w:rFonts w:ascii="Arial" w:cs="Arial" w:eastAsia="Arial" w:hAnsi="Arial"/>
          <w:b/>
          <w:bCs/>
          <w:color w:val="1A3A5C"/>
        </w:rPr>
        <w:t xml:space="preserve">1. Parties</w:t>
      </w:r>
    </w:p>
    <w:p>
      <w:pPr>
        <w:spacing w:after="120"/>
      </w:pPr>
      <w:r>
        <w:rPr>
          <w:rFonts w:ascii="Arial" w:cs="Arial" w:eastAsia="Arial" w:hAnsi="Arial"/>
          <w:sz w:val="22"/>
          <w:szCs w:val="22"/>
        </w:rPr>
        <w:t xml:space="preserve">This Master Services Agreement ("Agreement") is entered into by and between Zava Corp, a Delaware corporation with its principal offices at 1200 Innovation Drive, Seattle, WA 98101 ("Provider"), and Contoso Ltd, a corporation organized under the laws of the United Kingdom with offices at 45 Queen Victoria Street, London EC4N 4SA ("Client").</w:t>
      </w:r>
    </w:p>
    <w:p>
      <w:pPr>
        <w:pStyle w:val="Heading1"/>
        <w:spacing w:before="300" w:after="150"/>
      </w:pPr>
      <w:r>
        <w:rPr>
          <w:rFonts w:ascii="Arial" w:cs="Arial" w:eastAsia="Arial" w:hAnsi="Arial"/>
          <w:b/>
          <w:bCs/>
          <w:color w:val="1A3A5C"/>
        </w:rPr>
        <w:t xml:space="preserve">2. Scope of Services</w:t>
      </w:r>
    </w:p>
    <w:p>
      <w:pPr>
        <w:spacing w:after="120"/>
      </w:pPr>
      <w:r>
        <w:rPr>
          <w:rFonts w:ascii="Arial" w:cs="Arial" w:eastAsia="Arial" w:hAnsi="Arial"/>
          <w:sz w:val="22"/>
          <w:szCs w:val="22"/>
        </w:rPr>
        <w:t xml:space="preserve">Provider shall deliver to Client the following services under this Agreement:</w:t>
      </w:r>
    </w:p>
    <w:p>
      <w:pPr>
        <w:spacing w:after="120"/>
      </w:pPr>
      <w:r>
        <w:rPr>
          <w:rFonts w:ascii="Arial" w:cs="Arial" w:eastAsia="Arial" w:hAnsi="Arial"/>
          <w:sz w:val="22"/>
          <w:szCs w:val="22"/>
        </w:rPr>
        <w:t xml:space="preserve">(a) Enterprise AI Platform License — Full access to the Zava Enterprise AI Platform, including semantic search, content classification, knowledge graph construction, and API integration capabilities for up to 10,000 licensed users.</w:t>
      </w:r>
    </w:p>
    <w:p>
      <w:pPr>
        <w:spacing w:after="120"/>
      </w:pPr>
      <w:r>
        <w:rPr>
          <w:rFonts w:ascii="Arial" w:cs="Arial" w:eastAsia="Arial" w:hAnsi="Arial"/>
          <w:sz w:val="22"/>
          <w:szCs w:val="22"/>
        </w:rPr>
        <w:t xml:space="preserve">(b) Implementation Services — Dedicated implementation team providing environment configuration, data migration (up to 5TB initial load), custom model training on Client's content taxonomy, and integration with Client's existing Microsoft 365 and SAP environments.</w:t>
      </w:r>
    </w:p>
    <w:p>
      <w:pPr>
        <w:spacing w:after="120"/>
      </w:pPr>
      <w:r>
        <w:rPr>
          <w:rFonts w:ascii="Arial" w:cs="Arial" w:eastAsia="Arial" w:hAnsi="Arial"/>
          <w:sz w:val="22"/>
          <w:szCs w:val="22"/>
        </w:rPr>
        <w:t xml:space="preserve">(c) Managed Support — 24/7 Tier 1-3 technical support with dedicated Customer Success Manager and quarterly business reviews.</w:t>
      </w:r>
    </w:p>
    <w:p>
      <w:pPr>
        <w:pStyle w:val="Heading1"/>
        <w:spacing w:before="300" w:after="150"/>
      </w:pPr>
      <w:r>
        <w:rPr>
          <w:rFonts w:ascii="Arial" w:cs="Arial" w:eastAsia="Arial" w:hAnsi="Arial"/>
          <w:b/>
          <w:bCs/>
          <w:color w:val="1A3A5C"/>
        </w:rPr>
        <w:t xml:space="preserve">3. Term and Renewal</w:t>
      </w:r>
    </w:p>
    <w:p>
      <w:pPr>
        <w:spacing w:after="120"/>
      </w:pPr>
      <w:r>
        <w:rPr>
          <w:rFonts w:ascii="Arial" w:cs="Arial" w:eastAsia="Arial" w:hAnsi="Arial"/>
          <w:sz w:val="22"/>
          <w:szCs w:val="22"/>
        </w:rPr>
        <w:t xml:space="preserve">The initial term of this Agreement shall be thirty-six (36) months, commencing on the Effective Date. This Agreement shall automatically renew for successive twelve (12) month periods unless either party provides written notice of non-renewal at least ninety (90) days prior to the end of the then-current term.</w:t>
      </w:r>
    </w:p>
    <w:p>
      <w:pPr>
        <w:pStyle w:val="Heading1"/>
        <w:spacing w:before="300" w:after="150"/>
      </w:pPr>
      <w:r>
        <w:rPr>
          <w:rFonts w:ascii="Arial" w:cs="Arial" w:eastAsia="Arial" w:hAnsi="Arial"/>
          <w:b/>
          <w:bCs/>
          <w:color w:val="1A3A5C"/>
        </w:rPr>
        <w:t xml:space="preserve">4. Fees and Payment</w:t>
      </w:r>
    </w:p>
    <w:p>
      <w:pPr>
        <w:spacing w:after="120"/>
      </w:pPr>
      <w:r>
        <w:rPr>
          <w:rFonts w:ascii="Arial" w:cs="Arial" w:eastAsia="Arial" w:hAnsi="Arial"/>
          <w:sz w:val="22"/>
          <w:szCs w:val="22"/>
        </w:rPr>
        <w:t xml:space="preserve">Total contract value for the initial 36-month term: $4,500,000 USD, structured as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Annual</w:t>
            </w:r>
          </w:p>
        </w:tc>
        <w:tc>
          <w:tcPr>
            <w:tcW w:type="dxa" w:w="234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36-Month Total</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Platform License (10,000 users)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$1,080,000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$3,240,000</w:t>
            </w:r>
          </w:p>
        </w:tc>
      </w:tr>
      <w:tr>
        <w:tc>
          <w:tcPr>
            <w:tcW w:type="dxa" w:w="46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Implementation Services</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$450,000</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$450,000 (one-time)</w:t>
            </w:r>
          </w:p>
        </w:tc>
      </w:tr>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Managed Support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$270,000</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$810,000</w:t>
            </w:r>
          </w:p>
        </w:tc>
      </w:tr>
      <w:tr>
        <w:tc>
          <w:tcPr>
            <w:tcW w:type="dxa" w:w="4680"/>
            <w:tcBorders>
              <w:top w:val="single" w:color="BFBFBF" w:sz="1"/>
              <w:left w:val="single" w:color="BFBFBF" w:sz="1"/>
              <w:bottom w:val="single" w:color="BFBFBF" w:sz="1"/>
              <w:right w:val="single" w:color="BFBFBF" w:sz="1"/>
            </w:tcBorders>
            <w:shd w:fill="EAF2F8" w:val="clear"/>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BFBFBF" w:sz="1"/>
              <w:left w:val="single" w:color="BFBFBF" w:sz="1"/>
              <w:bottom w:val="single" w:color="BFBFBF" w:sz="1"/>
              <w:right w:val="single" w:color="BFBFBF" w:sz="1"/>
            </w:tcBorders>
            <w:shd w:fill="EAF2F8"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BFBFBF" w:sz="1"/>
              <w:left w:val="single" w:color="BFBFBF" w:sz="1"/>
              <w:bottom w:val="single" w:color="BFBFBF" w:sz="1"/>
              <w:right w:val="single" w:color="BFBFBF" w:sz="1"/>
            </w:tcBorders>
            <w:shd w:fill="EAF2F8" w:val="clear"/>
            <w:tcMar>
              <w:top w:type="dxa" w:w="80"/>
              <w:left w:type="dxa" w:w="120"/>
              <w:bottom w:type="dxa" w:w="80"/>
              <w:right w:type="dxa" w:w="120"/>
            </w:tcMar>
          </w:tcPr>
          <w:p>
            <w:r>
              <w:rPr>
                <w:rFonts w:ascii="Arial" w:cs="Arial" w:eastAsia="Arial" w:hAnsi="Arial"/>
                <w:sz w:val="20"/>
                <w:szCs w:val="20"/>
              </w:rPr>
              <w:t xml:space="preserve">$4,500,000</w:t>
            </w:r>
          </w:p>
        </w:tc>
      </w:tr>
    </w:tbl>
    <w:p>
      <w:pPr>
        <w:spacing w:after="80"/>
      </w:pPr>
    </w:p>
    <w:p>
      <w:pPr>
        <w:spacing w:after="120"/>
      </w:pPr>
      <w:r>
        <w:rPr>
          <w:rFonts w:ascii="Arial" w:cs="Arial" w:eastAsia="Arial" w:hAnsi="Arial"/>
          <w:sz w:val="22"/>
          <w:szCs w:val="22"/>
        </w:rPr>
        <w:t xml:space="preserve">Payment terms: Net 30 from invoice date. Annual license and support fees invoiced quarterly in advance. Implementation services invoiced upon milestone completion.</w:t>
      </w:r>
    </w:p>
    <w:p>
      <w:pPr>
        <w:pStyle w:val="Heading1"/>
        <w:spacing w:before="300" w:after="150"/>
      </w:pPr>
      <w:r>
        <w:rPr>
          <w:rFonts w:ascii="Arial" w:cs="Arial" w:eastAsia="Arial" w:hAnsi="Arial"/>
          <w:b/>
          <w:bCs/>
          <w:color w:val="1A3A5C"/>
        </w:rPr>
        <w:t xml:space="preserve">5. Service Level Agreement</w:t>
      </w:r>
    </w:p>
    <w:p>
      <w:pPr>
        <w:spacing w:after="120"/>
      </w:pPr>
      <w:r>
        <w:rPr>
          <w:rFonts w:ascii="Arial" w:cs="Arial" w:eastAsia="Arial" w:hAnsi="Arial"/>
          <w:sz w:val="22"/>
          <w:szCs w:val="22"/>
        </w:rPr>
        <w:t xml:space="preserve">Provider guarantees platform availability of 99.9% measured monthly, excluding scheduled maintenance windows (communicated 72 hours in advance). Failure to meet SLA entitles Client to service credits: 5% credit for availability between 99.0%-99.9%, 10% credit for availability between 98.0%-99.0%, and 20% credit for availability below 98.0%.</w:t>
      </w:r>
    </w:p>
    <w:p>
      <w:pPr>
        <w:pStyle w:val="Heading1"/>
        <w:spacing w:before="300" w:after="150"/>
      </w:pPr>
      <w:r>
        <w:rPr>
          <w:rFonts w:ascii="Arial" w:cs="Arial" w:eastAsia="Arial" w:hAnsi="Arial"/>
          <w:b/>
          <w:bCs/>
          <w:color w:val="1A3A5C"/>
        </w:rPr>
        <w:t xml:space="preserve">6. Intellectual Property</w:t>
      </w:r>
    </w:p>
    <w:p>
      <w:pPr>
        <w:spacing w:after="120"/>
      </w:pPr>
      <w:r>
        <w:rPr>
          <w:rFonts w:ascii="Arial" w:cs="Arial" w:eastAsia="Arial" w:hAnsi="Arial"/>
          <w:sz w:val="22"/>
          <w:szCs w:val="22"/>
        </w:rPr>
        <w:t xml:space="preserve">All intellectual property rights in the Zava Platform, including algorithms, models, and underlying technology, remain the exclusive property of Provider. Client retains all rights to its data, content, and any custom configurations or models trained exclusively on Client's proprietary data.</w:t>
      </w:r>
    </w:p>
    <w:p>
      <w:pPr>
        <w:spacing w:after="120"/>
      </w:pPr>
      <w:r>
        <w:rPr>
          <w:rFonts w:ascii="Arial" w:cs="Arial" w:eastAsia="Arial" w:hAnsi="Arial"/>
          <w:sz w:val="22"/>
          <w:szCs w:val="22"/>
        </w:rPr>
        <w:t xml:space="preserve">Provider grants Client a non-exclusive, non-transferable license to use the Platform during the term of this Agreement. Neither party shall reverse engineer, decompile, or otherwise attempt to derive the source code of the other party's proprietary technology.</w:t>
      </w:r>
    </w:p>
    <w:p>
      <w:pPr>
        <w:pStyle w:val="Heading1"/>
        <w:spacing w:before="300" w:after="150"/>
      </w:pPr>
      <w:r>
        <w:rPr>
          <w:rFonts w:ascii="Arial" w:cs="Arial" w:eastAsia="Arial" w:hAnsi="Arial"/>
          <w:b/>
          <w:bCs/>
          <w:color w:val="1A3A5C"/>
        </w:rPr>
        <w:t xml:space="preserve">7. Compliance and Security</w:t>
      </w:r>
    </w:p>
    <w:p>
      <w:pPr>
        <w:spacing w:after="120"/>
      </w:pPr>
      <w:r>
        <w:rPr>
          <w:rFonts w:ascii="Arial" w:cs="Arial" w:eastAsia="Arial" w:hAnsi="Arial"/>
          <w:sz w:val="22"/>
          <w:szCs w:val="22"/>
        </w:rPr>
        <w:t xml:space="preserve">Provider maintains the following certifications and compliance standards: SOC 2 Type II (audited annually), ISO 27001 (certified), and GDPR compliance for processing of EU personal data. Provider shall notify Client within 72 hours of any confirmed data breach affecting Client's data.</w:t>
      </w:r>
    </w:p>
    <w:p>
      <w:pPr>
        <w:pStyle w:val="Heading1"/>
        <w:spacing w:before="300" w:after="150"/>
      </w:pPr>
      <w:r>
        <w:rPr>
          <w:rFonts w:ascii="Arial" w:cs="Arial" w:eastAsia="Arial" w:hAnsi="Arial"/>
          <w:b/>
          <w:bCs/>
          <w:color w:val="1A3A5C"/>
        </w:rPr>
        <w:t xml:space="preserve">8. Limitation of Liability</w:t>
      </w:r>
    </w:p>
    <w:p>
      <w:pPr>
        <w:spacing w:after="120"/>
      </w:pPr>
      <w:r>
        <w:rPr>
          <w:rFonts w:ascii="Arial" w:cs="Arial" w:eastAsia="Arial" w:hAnsi="Arial"/>
          <w:sz w:val="22"/>
          <w:szCs w:val="22"/>
        </w:rPr>
        <w:t xml:space="preserve">EXCEPT FOR CLAIMS ARISING FROM BREACHES OF SECTION 6 (INTELLECTUAL PROPERTY) OR SECTION 7 (COMPLIANCE AND SECURITY), THE TOTAL AGGREGATE LIABILITY OF EITHER PARTY UNDER THIS AGREEMENT SHALL NOT EXCEED THE TOTAL FEES PAID OR PAYABLE BY CLIENT DURING THE TWELVE (12) MONTH PERIOD IMMEDIATELY PRECEDING THE EVENT GIVING RISE TO THE CLAIM.</w:t>
      </w:r>
    </w:p>
    <w:p>
      <w:pPr>
        <w:spacing w:after="120"/>
      </w:pPr>
      <w:r>
        <w:rPr>
          <w:rFonts w:ascii="Arial" w:cs="Arial" w:eastAsia="Arial" w:hAnsi="Arial"/>
          <w:sz w:val="22"/>
          <w:szCs w:val="22"/>
        </w:rPr>
        <w:t xml:space="preserve">Total liability is capped at 12 months of fees paid, excluding IP indemnification claims. Neither party shall be liable for indirect, incidental, consequential, or punitive damages.</w:t>
      </w:r>
    </w:p>
    <w:p>
      <w:pPr>
        <w:pStyle w:val="Heading1"/>
        <w:spacing w:before="300" w:after="150"/>
      </w:pPr>
      <w:r>
        <w:rPr>
          <w:rFonts w:ascii="Arial" w:cs="Arial" w:eastAsia="Arial" w:hAnsi="Arial"/>
          <w:b/>
          <w:bCs/>
          <w:color w:val="1A3A5C"/>
        </w:rPr>
        <w:t xml:space="preserve">9. Governing Law</w:t>
      </w:r>
    </w:p>
    <w:p>
      <w:pPr>
        <w:spacing w:after="120"/>
      </w:pPr>
      <w:r>
        <w:rPr>
          <w:rFonts w:ascii="Arial" w:cs="Arial" w:eastAsia="Arial" w:hAnsi="Arial"/>
          <w:sz w:val="22"/>
          <w:szCs w:val="22"/>
        </w:rPr>
        <w:t xml:space="preserve">This Agreement shall be governed by and construed in accordance with the laws of the State of Washington, without regard to conflict of law principles. Any disputes shall be resolved through binding arbitration in Seattle, WA under the rules of the American Arbitration Association.</w:t>
      </w:r>
    </w:p>
    <w:p>
      <w:pPr>
        <w:pStyle w:val="Heading1"/>
        <w:spacing w:before="300" w:after="150"/>
      </w:pPr>
      <w:r>
        <w:rPr>
          <w:rFonts w:ascii="Arial" w:cs="Arial" w:eastAsia="Arial" w:hAnsi="Arial"/>
          <w:b/>
          <w:bCs/>
          <w:color w:val="1A3A5C"/>
        </w:rPr>
        <w:t xml:space="preserve">10. Signatures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For Zava Corp:</w:t>
            </w:r>
          </w:p>
        </w:tc>
        <w:tc>
          <w:tcPr>
            <w:tcW w:type="dxa" w:w="46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For Contoso Ltd:</w:t>
            </w:r>
          </w:p>
        </w:tc>
      </w:tr>
      <w:tr>
        <w:tc>
          <w:tcPr>
            <w:tcW w:type="dxa" w:w="46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_________________________
Maria Chen, Chief Revenue Officer
Date: January 15, 2025</w:t>
            </w:r>
          </w:p>
        </w:tc>
        <w:tc>
          <w:tcPr>
            <w:tcW w:type="dxa" w:w="46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_________________________
James Whitfield, VP Procurement
Date: January 15, 2025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2026-03-05T16:37:01.980Z</dcterms:created>
  <dcterms:modified xsi:type="dcterms:W3CDTF">2026-03-05T16:37:01.981Z</dcterms:modified>
</cp:coreProperties>
</file>

<file path=docProps/custom.xml><?xml version="1.0" encoding="utf-8"?>
<Properties xmlns="http://schemas.openxmlformats.org/officeDocument/2006/custom-properties" xmlns:vt="http://schemas.openxmlformats.org/officeDocument/2006/docPropsVTypes"/>
</file>