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DA8E" w14:textId="77777777" w:rsidR="00B86D2B" w:rsidRDefault="0030243D">
      <w:pPr>
        <w:spacing w:before="600" w:after="240"/>
        <w:jc w:val="center"/>
      </w:pPr>
      <w:r>
        <w:rPr>
          <w:rFonts w:ascii="Arial" w:eastAsia="Arial" w:hAnsi="Arial" w:cs="Arial"/>
          <w:b/>
          <w:bCs/>
          <w:color w:val="1B2A4A"/>
          <w:sz w:val="48"/>
          <w:szCs w:val="48"/>
        </w:rPr>
        <w:t>NAVIGATION, SITEMAP &amp; USER ROUTING BRIEF</w:t>
      </w:r>
    </w:p>
    <w:p w14:paraId="3AF05706" w14:textId="77777777" w:rsidR="00B86D2B" w:rsidRDefault="0030243D">
      <w:pPr>
        <w:spacing w:after="10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>nitinnahata.com  ·  Designer Handoff Supplement  ·  March 2026</w:t>
      </w:r>
    </w:p>
    <w:p w14:paraId="31474810" w14:textId="77777777" w:rsidR="00B86D2B" w:rsidRDefault="0030243D">
      <w:pPr>
        <w:spacing w:after="600"/>
        <w:jc w:val="center"/>
      </w:pPr>
      <w:r>
        <w:rPr>
          <w:rFonts w:ascii="Arial" w:eastAsia="Arial" w:hAnsi="Arial" w:cs="Arial"/>
          <w:i/>
          <w:iCs/>
          <w:color w:val="666666"/>
        </w:rPr>
        <w:t>Synthesised from: Website Architecture Blueprint v4 · Designer Handoff Companion v3 · High Production Creative Direction v1</w:t>
      </w:r>
    </w:p>
    <w:p w14:paraId="16A46136" w14:textId="77777777" w:rsidR="00B86D2B" w:rsidRDefault="00B86D2B">
      <w:pPr>
        <w:pBdr>
          <w:bottom w:val="single" w:sz="2" w:space="6" w:color="E0E0E0"/>
        </w:pBdr>
        <w:spacing w:before="200" w:after="200"/>
      </w:pPr>
    </w:p>
    <w:p w14:paraId="3B320E76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This document covers three specific areas from the master brief package that require explicit visual specification for the designer: the full navigation and sub-page structure, the user identification and routing flow, and the complete locked colour palette system. Read all three parts before beginning any design work.</w:t>
      </w:r>
    </w:p>
    <w:p w14:paraId="0A61A767" w14:textId="77777777" w:rsidR="00B86D2B" w:rsidRDefault="00B86D2B">
      <w:pPr>
        <w:spacing w:before="120"/>
      </w:pPr>
    </w:p>
    <w:p w14:paraId="5F5FC86C" w14:textId="77777777" w:rsidR="00B86D2B" w:rsidRDefault="0030243D">
      <w:pPr>
        <w:spacing w:before="440" w:after="6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 xml:space="preserve">PART 01  </w:t>
      </w:r>
      <w:r>
        <w:rPr>
          <w:rFonts w:ascii="Arial" w:eastAsia="Arial" w:hAnsi="Arial" w:cs="Arial"/>
          <w:caps/>
          <w:color w:val="666666"/>
          <w:sz w:val="18"/>
          <w:szCs w:val="18"/>
        </w:rPr>
        <w:t>·  Colour Palette — Complete &amp; Locked</w:t>
      </w:r>
    </w:p>
    <w:p w14:paraId="7898C54D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The Definitive Palette</w:t>
      </w:r>
    </w:p>
    <w:p w14:paraId="17D614A9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Two colour references appear across the three master documents. This section consolidates them into a single locked palette. All earlier references are superseded by the version below. The Designer Handoff Companion v3 is the authority.</w:t>
      </w:r>
    </w:p>
    <w:p w14:paraId="0AE34A46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589"/>
        <w:gridCol w:w="1115"/>
        <w:gridCol w:w="1590"/>
        <w:gridCol w:w="2257"/>
        <w:gridCol w:w="1828"/>
      </w:tblGrid>
      <w:tr w:rsidR="00B86D2B" w14:paraId="30B2BB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51FB8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Swatch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EA9D6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66856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Hex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D6CCD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Role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3F234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Usage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F86CA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Do NOT</w:t>
            </w:r>
          </w:p>
        </w:tc>
      </w:tr>
      <w:tr w:rsidR="00B86D2B" w14:paraId="2FCD29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8D449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4E7C2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Primary Navy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BE541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#1B2A4A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6B80B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Primary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F582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Hero backgrounds, headings, primary text, nav bar, section alternation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4FDE5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Use as background on EVERY section — reserve for key hero moments</w:t>
            </w:r>
          </w:p>
        </w:tc>
      </w:tr>
      <w:tr w:rsidR="00B86D2B" w14:paraId="3D1551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21C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6397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57BE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Dark Navy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E79D3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#121C33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45CA2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Depth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2898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Hero entry, Scar Cards reveal, Closing doctrine, HROS section, T-A-S background — creates depth vs base navy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37968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Overuse — only where maximum visual weight needed</w:t>
            </w:r>
          </w:p>
        </w:tc>
      </w:tr>
      <w:tr w:rsidR="00B86D2B" w14:paraId="377EBA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21A8A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10CB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Accent Gold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136DF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#C9A84C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2EEFD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Accent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741E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Doctrine lines, gold left-borders on Scar Cards, CTA borders, section dividers, hover borders, TDAA labels, SVG connecting lines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89E53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Overuse. Gold earns its place. If everything is gold nothing is.</w:t>
            </w:r>
          </w:p>
        </w:tc>
      </w:tr>
      <w:tr w:rsidR="00B86D2B" w14:paraId="657544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F7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06253" w14:textId="77777777" w:rsidR="00B86D2B" w:rsidRDefault="0030243D">
            <w:r>
              <w:lastRenderedPageBreak/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8D18F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Background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C38C3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#F9F7F2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A543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Background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D0DA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Main page background, content areas, Scar Card section. Creates breathing space after navy sections.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2AE4B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Pure white (#FFFFFF) — too clinical. Always use F9F7F2.</w:t>
            </w:r>
          </w:p>
        </w:tc>
      </w:tr>
      <w:tr w:rsidR="00B86D2B" w14:paraId="0C0FE8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DE8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5060D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61829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Cards / Hover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9A4E6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#EDE8E0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7FABF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Surfaces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B608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 backgrounds, hover state containers, TDAA section background, Routing card section. Warm — not cool gray.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21D04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Cool grays. Warmth is deliberate and non-negotiable.</w:t>
            </w:r>
          </w:p>
        </w:tc>
      </w:tr>
      <w:tr w:rsidR="00B86D2B" w14:paraId="705157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666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1FD51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FFBD8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Secondary text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D6B22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#666666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3ACC7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Supporting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8155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Metadata, dates, supporting text, captions, section sub-labels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6F27C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Never use for headings or primary copy</w:t>
            </w:r>
          </w:p>
        </w:tc>
      </w:tr>
      <w:tr w:rsidR="00B86D2B" w14:paraId="7209BC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3F15E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F96EA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Deep Charcoal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D5AE9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#2C2C2C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5768F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Body copy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2249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All body copy on light backgrounds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28A1F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Black (#000000) — charcoal is softer and reads better at length</w:t>
            </w:r>
          </w:p>
        </w:tc>
      </w:tr>
      <w:tr w:rsidR="00B86D2B" w14:paraId="71885A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6DC4D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E7115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White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4F6E3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#FFFFFF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04E82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Cards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0CE9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 surface on warm gray sections only, modal backgrounds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1FF9F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As page background — use F9F7F2 instead</w:t>
            </w:r>
          </w:p>
        </w:tc>
      </w:tr>
      <w:tr w:rsidR="00B86D2B" w14:paraId="4D4AB6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8B3A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BC4F0" w14:textId="77777777" w:rsidR="00B86D2B" w:rsidRDefault="0030243D">
            <w:r>
              <w:t xml:space="preserve"> 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EE3C2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1B2A4A"/>
                <w:sz w:val="19"/>
                <w:szCs w:val="19"/>
              </w:rPr>
              <w:t>Muted Red</w:t>
            </w:r>
          </w:p>
        </w:tc>
        <w:tc>
          <w:tcPr>
            <w:tcW w:w="1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468A2" w14:textId="77777777" w:rsidR="00B86D2B" w:rsidRDefault="0030243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#8B3A3A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F02EA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Diagnostic only</w:t>
            </w:r>
          </w:p>
        </w:tc>
        <w:tc>
          <w:tcPr>
            <w:tcW w:w="23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FB2B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Diagnostic results only: AI Edge Thinning band. Nowhere else.</w:t>
            </w:r>
          </w:p>
        </w:tc>
        <w:tc>
          <w:tcPr>
            <w:tcW w:w="1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B295" w14:textId="77777777" w:rsidR="00B86D2B" w:rsidRDefault="0030243D"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Any decorative or emphasis use. Never on the main site.</w:t>
            </w:r>
          </w:p>
        </w:tc>
      </w:tr>
    </w:tbl>
    <w:p w14:paraId="4638D139" w14:textId="77777777" w:rsidR="00B86D2B" w:rsidRDefault="00B86D2B">
      <w:pPr>
        <w:spacing w:before="120"/>
      </w:pPr>
    </w:p>
    <w:p w14:paraId="0CBF4004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Palette Conflicts — What Changed Between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86D2B" w14:paraId="0AD059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797CC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Blueprint v4 (Earlier)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72561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Handoff Companion v3 (Authority)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1E3E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Resolution</w:t>
            </w:r>
          </w:p>
        </w:tc>
      </w:tr>
      <w:tr w:rsidR="00B86D2B" w14:paraId="67F000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C1B8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Mid-gray: #666666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81AC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Mid-gray: #666666 — unchanged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801F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Confirmed — use #666666</w:t>
            </w:r>
          </w:p>
        </w:tc>
      </w:tr>
      <w:tr w:rsidR="00B86D2B" w14:paraId="6A9A8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5C8A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Cards: not specified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0960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Cards / Hover: #EDE8E0 (warm gray)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843B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New colour added — use #EDE8E0 for all card and hover surfaces</w:t>
            </w:r>
          </w:p>
        </w:tc>
      </w:tr>
      <w:tr w:rsidR="00B86D2B" w14:paraId="77CAE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95F7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Hero background: #1B2A4A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1291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Hero background: #121C33 (darker navy for depth)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2E3D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Use #121C33 for hero, closing doctrine, HROS — #1B2A4A for nav bar and general navy sections</w:t>
            </w:r>
          </w:p>
        </w:tc>
      </w:tr>
      <w:tr w:rsidR="00B86D2B" w14:paraId="17F5B3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7327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Typography: Playfair Display or Inter for hero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8250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Display: Plus Jakarta Sans or Inter (Bold 700). Serif accent: Playfair Display for hero ONLY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2161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Primary font: Plus Jakarta Sans or Inter. Playfair Display: hero section only.</w:t>
            </w:r>
          </w:p>
        </w:tc>
      </w:tr>
      <w:tr w:rsidR="00B86D2B" w14:paraId="24E0F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6368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Monospace: IBM Plex Mono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7D48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Monospace: JetBrains Mono or IBM Plex Mono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225C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JetBrains Mono preferred for doctrine lines, Scar Card principles, Strip identity</w:t>
            </w:r>
          </w:p>
        </w:tc>
      </w:tr>
    </w:tbl>
    <w:p w14:paraId="658879E8" w14:textId="77777777" w:rsidR="00B86D2B" w:rsidRDefault="00B86D2B">
      <w:pPr>
        <w:spacing w:before="60"/>
      </w:pPr>
    </w:p>
    <w:p w14:paraId="3FB9AFBE" w14:textId="77777777" w:rsidR="00B86D2B" w:rsidRDefault="0030243D">
      <w:pPr>
        <w:spacing w:before="60" w:after="60"/>
      </w:pPr>
      <w:r>
        <w:rPr>
          <w:rFonts w:ascii="Arial" w:eastAsia="Arial" w:hAnsi="Arial" w:cs="Arial"/>
          <w:i/>
          <w:iCs/>
          <w:color w:val="666666"/>
        </w:rPr>
        <w:t>RULE: The Designer Handoff Companion v3 supersedes the Blueprint v4 wherever there is a conflict. The High Production Creative Direction v1 adds production specifications (animation, timing, pixel values) but does not alter the palette.</w:t>
      </w:r>
    </w:p>
    <w:p w14:paraId="5197EC88" w14:textId="77777777" w:rsidR="00B86D2B" w:rsidRDefault="00B86D2B">
      <w:pPr>
        <w:pBdr>
          <w:bottom w:val="single" w:sz="2" w:space="6" w:color="E0E0E0"/>
        </w:pBdr>
        <w:spacing w:before="200" w:after="200"/>
      </w:pPr>
    </w:p>
    <w:p w14:paraId="4C59F572" w14:textId="77777777" w:rsidR="00B86D2B" w:rsidRDefault="0030243D">
      <w:pPr>
        <w:spacing w:before="440" w:after="6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 xml:space="preserve">PART 02  </w:t>
      </w:r>
      <w:r>
        <w:rPr>
          <w:rFonts w:ascii="Arial" w:eastAsia="Arial" w:hAnsi="Arial" w:cs="Arial"/>
          <w:caps/>
          <w:color w:val="666666"/>
          <w:sz w:val="18"/>
          <w:szCs w:val="18"/>
        </w:rPr>
        <w:t>·  Full Navigation &amp; Sitemap</w:t>
      </w:r>
    </w:p>
    <w:p w14:paraId="322A00AA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2.1 Primary Navigation Bar — 7 Items</w:t>
      </w:r>
    </w:p>
    <w:p w14:paraId="106842F7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 nav bar carries exactly 7 items plus one CTA button. The items map directly to the TDAA intellectual architecture. No dropdowns on the landing page. Sub-navigation appears within pages through contextual links and content modules.</w:t>
      </w:r>
    </w:p>
    <w:p w14:paraId="0ADDC2F8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600"/>
        <w:gridCol w:w="2960"/>
      </w:tblGrid>
      <w:tr w:rsidR="00B86D2B" w14:paraId="286DDF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D5146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Nav Label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3D89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URL Slug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859B1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TDAA Layer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5B06C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What the Page Contains</w:t>
            </w:r>
          </w:p>
        </w:tc>
      </w:tr>
      <w:tr w:rsidR="00B86D2B" w14:paraId="25C7AF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34B0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Philosophy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2288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/philosophy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9ACD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THINK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8A03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Full Thesis → Anti-Thesis → Synthesis story. The Unfinished Organisation theory. Origin narrative expanded. Book (Baptism by Chaos). The 'why' that precedes all design.</w:t>
            </w:r>
          </w:p>
        </w:tc>
      </w:tr>
      <w:tr w:rsidR="00B86D2B" w14:paraId="5A0EAA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2973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Frameworks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F82C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9D54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DESIGN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8DB3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Index of all signature frameworks. Each framework links to a dedicated sub-page with full explanation, application guide, downloadable PDF, and related content.</w:t>
            </w:r>
          </w:p>
        </w:tc>
      </w:tr>
      <w:tr w:rsidR="00B86D2B" w14:paraId="466CF8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2517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Writing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D404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/writing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837E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 (content)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5EE8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All thought leadership content across all 6 practice streams. Blog posts, articles, essays, LinkedIn archive. Filterable by stream and TDAA layer.</w:t>
            </w:r>
          </w:p>
        </w:tc>
      </w:tr>
      <w:tr w:rsidR="00B86D2B" w14:paraId="4DDAE7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6349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Practice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B985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/practice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0DAA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 (services)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16C0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Consulting and advisory offerings. Labour Codes, Org Design, Performance &amp; Reward Architecture. Masterclass Series overview with links to individual tracks.</w:t>
            </w:r>
          </w:p>
        </w:tc>
      </w:tr>
      <w:tr w:rsidR="00B86D2B" w14:paraId="5F22AF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F065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Family Business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43D9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/family-business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C4E0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 (dedicated)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96F6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Dedicated pillar for a distinct audience. Axion Index. Five Architectures. Passion narrative. Advisory offerings. Three forces reshaping family business.</w:t>
            </w:r>
          </w:p>
        </w:tc>
      </w:tr>
      <w:tr w:rsidR="00B86D2B" w14:paraId="76A6E7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49AF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HROS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9CEB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/hros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D472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ACHIEVE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EC3B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Product thesis page — not a SaaS landing page. Philosophy → Infrastructure narrative. Vision, Intelligent Payroll wedge, Labour Codes context. 'Talk to us' CTA.</w:t>
            </w:r>
          </w:p>
        </w:tc>
      </w:tr>
      <w:tr w:rsidR="00B86D2B" w14:paraId="6D3409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141D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About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7773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/about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4ABE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Credibility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2B41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Full biography in 3 lengths. Expanded Scar Cards. Speaking engagements. Media appearances. Contact routing.</w:t>
            </w:r>
          </w:p>
        </w:tc>
      </w:tr>
      <w:tr w:rsidR="00B86D2B" w14:paraId="6D19B5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7E5F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CTA Button →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D080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/diagnostics or /connect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98DD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Conversion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750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Primary CTA in the nav. Either 'Take the Diagnostic' (drives to AI Edge Diagnostic) or 'Start Here' (routes to visitor identification flow). Gold-bordered button, navy fill.</w:t>
            </w:r>
          </w:p>
        </w:tc>
      </w:tr>
    </w:tbl>
    <w:p w14:paraId="0E467FF1" w14:textId="77777777" w:rsidR="00B86D2B" w:rsidRDefault="00B86D2B">
      <w:pPr>
        <w:spacing w:before="120"/>
      </w:pPr>
    </w:p>
    <w:p w14:paraId="41A70902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2.2 Complete Sitemap — Primary Pages</w:t>
      </w:r>
    </w:p>
    <w:p w14:paraId="40115E01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 sitemap is organised by phase. Phase 1 pages must exist at launch. Phase 2 and 3 pages can be placeholder-state at launch but must be structurally built into the navigation architecture from day one.</w:t>
      </w:r>
    </w:p>
    <w:p w14:paraId="755022C1" w14:textId="77777777" w:rsidR="00B86D2B" w:rsidRDefault="00B86D2B">
      <w:pPr>
        <w:spacing w:before="60"/>
      </w:pPr>
    </w:p>
    <w:p w14:paraId="1E523084" w14:textId="77777777" w:rsidR="00B86D2B" w:rsidRDefault="0030243D">
      <w:pPr>
        <w:spacing w:before="80" w:after="4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>PHASE 1 — LAUNCH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400"/>
        <w:gridCol w:w="3760"/>
      </w:tblGrid>
      <w:tr w:rsidR="00B86D2B" w14:paraId="6AFA7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BE8BB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C314B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URL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BB82E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Page Name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57D72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Purpose / Key Content</w:t>
            </w:r>
          </w:p>
        </w:tc>
      </w:tr>
      <w:tr w:rsidR="00B86D2B" w14:paraId="06C7FF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C494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4406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667F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Homepage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F0DF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9-section continuous scroll. The teaching journey. Hero → Scar Cards → T-A-S Philosophy → Operating Architect → TDAA → Thought Leadership Streams → HROS Proof → Routing → Closing Doctrine.</w:t>
            </w:r>
          </w:p>
        </w:tc>
      </w:tr>
      <w:tr w:rsidR="00B86D2B" w14:paraId="7931A5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DB0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4B7E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/philosophy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F695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Philosophy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8FB6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Thesis-Antithesis-Synthesis. Human Energy as foundational concept. The Unfinished Organisation theory. Coherence Equation. Origin story. Baptism by Chaos entry point.</w:t>
            </w:r>
          </w:p>
        </w:tc>
      </w:tr>
      <w:tr w:rsidR="00B86D2B" w14:paraId="47205F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D3F4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15C7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3FFC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Frameworks Index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7E7B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Visual index of all 8 signature frameworks as tiles. Each tile: framework name, TDAA layer tag, one-line description, icon. Grid layout, filterable by layer.</w:t>
            </w:r>
          </w:p>
        </w:tc>
      </w:tr>
      <w:tr w:rsidR="00B86D2B" w14:paraId="4D797D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0327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P0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C234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/about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2D2F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About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3CB4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Bio in 3 lengths. Professional portrait (half-shadow editorial). Expanded Scar Cards. Speaking history. Media appearances. Download media kit. Contact routing.</w:t>
            </w:r>
          </w:p>
        </w:tc>
      </w:tr>
      <w:tr w:rsidR="00B86D2B" w14:paraId="0EBEC7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ECF3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P1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017A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/hros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7E44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HROS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DD26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Thesis page. Not a product page. Vision + wedge + Labour Codes context. Built on intellectual narrative from earlier in the site. 'Talk to us' CTA.</w:t>
            </w:r>
          </w:p>
        </w:tc>
      </w:tr>
      <w:tr w:rsidR="00B86D2B" w14:paraId="7447A1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D493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DD03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/family-business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8B72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Family Business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7146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Axion Index framework. Personal passion statement. Five Architectures visual system (Authority, Leadership, Governance, Succession + fifth). Three forces. Advisory CTA.</w:t>
            </w:r>
          </w:p>
        </w:tc>
      </w:tr>
      <w:tr w:rsidR="00B86D2B" w14:paraId="633E94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7B14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9EA3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/writing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ACA3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Writing / Articles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DA84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All content streams. Filterable grid. Tags: practice area, TDAA layer, primitive. Latest 3 articles per stream featured. Newsletter CTA at foot.</w:t>
            </w:r>
          </w:p>
        </w:tc>
      </w:tr>
      <w:tr w:rsidR="00B86D2B" w14:paraId="15E027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2155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A6F4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/practice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B85D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Practice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AE99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Consulting verticals: Labour Codes, Org Design, Performance &amp; Reward. Masterclass tracks overview. Engagement model. Inquiry form.</w:t>
            </w:r>
          </w:p>
        </w:tc>
      </w:tr>
    </w:tbl>
    <w:p w14:paraId="534C3467" w14:textId="77777777" w:rsidR="00B86D2B" w:rsidRDefault="00B86D2B">
      <w:pPr>
        <w:spacing w:before="120"/>
      </w:pPr>
    </w:p>
    <w:p w14:paraId="2D8336B3" w14:textId="77777777" w:rsidR="00B86D2B" w:rsidRDefault="0030243D">
      <w:pPr>
        <w:spacing w:before="80" w:after="4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>PHASE 2 — POST-LAUNCH (Weeks 6–16)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400"/>
        <w:gridCol w:w="3760"/>
      </w:tblGrid>
      <w:tr w:rsidR="00B86D2B" w14:paraId="7C3A41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63E5B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2EDEB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URL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E2770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Page Name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BD01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Purpose / Key Content</w:t>
            </w:r>
          </w:p>
        </w:tc>
      </w:tr>
      <w:tr w:rsidR="00B86D2B" w14:paraId="67289F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8A72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15E3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/frameworks/[slug]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7E55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Individual Framework Pages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5ABB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8 dedicated pages — one per framework. Origin story, visual system diagram, 500-word explanation, application guide, downloadable PDF, related content links.</w:t>
            </w:r>
          </w:p>
        </w:tc>
      </w:tr>
      <w:tr w:rsidR="00B86D2B" w14:paraId="0F4A49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D612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001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/book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F7A0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Baptism by Chaos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862F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Book page. Synopsis + chapter summaries. Audience-specific editions (3). Pre-order or purchase link. Reader community. The intellectual anchor of the entire site.</w:t>
            </w:r>
          </w:p>
        </w:tc>
      </w:tr>
      <w:tr w:rsidR="00B86D2B" w14:paraId="071971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6233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1A40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/diagnostics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EC9C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Diagnostics Hub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0CA3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AI Edge Diagnostic: Quick Mirror (5 min, free) + Full Diagnostic (15 min, gated by email). AI Replaceability Index. Generates proprietary data Nitin can cite publicly.</w:t>
            </w:r>
          </w:p>
        </w:tc>
      </w:tr>
      <w:tr w:rsidR="00B86D2B" w14:paraId="6072E1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4467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F69D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/masterclass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C42A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Masterclass Series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51F6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 structured learning tracks: Culture, Performance, Reward, Talent. Intro modules free. Full tracks: premium. Audio/video + text hybrid format.</w:t>
            </w:r>
          </w:p>
        </w:tc>
      </w:tr>
      <w:tr w:rsidR="00B86D2B" w14:paraId="5572BD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E3DF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BC5D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/strip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1507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The Operating Architect Strip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81DF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Full archive. Grid filterable by Season (1–5) and Primitive (Rhythm, Decision, Incentive, Accountability). Each strip links to its framework. 'Suggest a Pattern' form. One-Liners Bank.</w:t>
            </w:r>
          </w:p>
        </w:tc>
      </w:tr>
      <w:tr w:rsidR="00B86D2B" w14:paraId="7B0084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38B1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B730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/newsletter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7C70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Newsletter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C27D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The Operating Architect Brief. Signup. Archive of past issues. What to expect: one framework insight + one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uncomfortable question + one resource. Under 800 words each issue.</w:t>
            </w:r>
          </w:p>
        </w:tc>
      </w:tr>
      <w:tr w:rsidR="00B86D2B" w14:paraId="6FAD36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81F3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22D6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/labour-codes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50A5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Labour Codes Hub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A3C0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Most comprehensive free resource on Labour Codes for Indian startups. Articles, explainers, compliance checklist. Establishes HROS authority through generosity.</w:t>
            </w:r>
          </w:p>
        </w:tc>
      </w:tr>
      <w:tr w:rsidR="00B86D2B" w14:paraId="195D69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D208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5E03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/for-students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6890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For Students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3812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Career frameworks. Conviction Stack. AI-Ready Graduate Profile. Resources for MBAs and emerging talent. Free. The democratisation mission in its purest form.</w:t>
            </w:r>
          </w:p>
        </w:tc>
      </w:tr>
    </w:tbl>
    <w:p w14:paraId="2F9A2C7D" w14:textId="77777777" w:rsidR="00B86D2B" w:rsidRDefault="00B86D2B">
      <w:pPr>
        <w:spacing w:before="120"/>
      </w:pPr>
    </w:p>
    <w:p w14:paraId="48A97227" w14:textId="77777777" w:rsidR="00B86D2B" w:rsidRDefault="0030243D">
      <w:pPr>
        <w:spacing w:before="80" w:after="4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>PHASE 3 — FULL BUILD (Months 4–12)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400"/>
        <w:gridCol w:w="3760"/>
      </w:tblGrid>
      <w:tr w:rsidR="00B86D2B" w14:paraId="44BED6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D2B98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E2F7F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URL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10DB4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Page Name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781E4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Purpose / Key Content</w:t>
            </w:r>
          </w:p>
        </w:tc>
      </w:tr>
      <w:tr w:rsidR="00B86D2B" w14:paraId="0BE714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9214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ED4C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/speaking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56EF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Speaking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E0A8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Keynote topics (6). Workshop formats. Past events. Speaker reel. Booking enquiry form (structured — not just email).</w:t>
            </w:r>
          </w:p>
        </w:tc>
      </w:tr>
      <w:tr w:rsidR="00B86D2B" w14:paraId="1A9D4A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1ABE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DBD4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/podcast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405C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Operating Architect Notes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E256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Podcast hub. Episode archive. Spotify, Apple, YouTube links. Each episode links to its framework or Scar Card. Guest application form.</w:t>
            </w:r>
          </w:p>
        </w:tc>
      </w:tr>
      <w:tr w:rsidR="00B86D2B" w14:paraId="3D07EB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E889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B5FD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/media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8005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Media / Press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2BA0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Expert bio (3 lengths: 50w, 150w, 300w). Professional headshots (multiple formats). Talking points. Published work archive. Media kit PDF. Quote bank (8–10 ready quotes).</w:t>
            </w:r>
          </w:p>
        </w:tc>
      </w:tr>
      <w:tr w:rsidR="00B86D2B" w14:paraId="03BB45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CD21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56B7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/collaborate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79DD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Collaborate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F78D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 collaboration types: Research partnerships, Institutional Advisory, Content Co-creation, Corporate Workshops, HROS Pilot Partners, Family Business Advisory. Structured enquiry forms per type.</w:t>
            </w:r>
          </w:p>
        </w:tc>
      </w:tr>
      <w:tr w:rsidR="00B86D2B" w14:paraId="201BCB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7A7E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0606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/contact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ECD9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Contact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318D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Structured enquiry routing — not a generic form. 6 pathways: Speaking/Keynote, Consulting/Advisory, Media/Interview, HROS interest, Collaboration, General/Student.</w:t>
            </w:r>
          </w:p>
        </w:tc>
      </w:tr>
      <w:tr w:rsidR="00B86D2B" w14:paraId="3BD6D0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771E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9A74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/masterclass/[track]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3FC8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Individual Masterclass Tracks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BB2C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 dedicated track pages: Culture, Performance, Reward, Talent. Structured curriculum. Module list. Free intro, paid depth.</w:t>
            </w:r>
          </w:p>
        </w:tc>
      </w:tr>
    </w:tbl>
    <w:p w14:paraId="3B179430" w14:textId="77777777" w:rsidR="00B86D2B" w:rsidRDefault="00B86D2B">
      <w:pPr>
        <w:spacing w:before="120"/>
      </w:pPr>
    </w:p>
    <w:p w14:paraId="129CD07A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2.3 Framework Sub-Pages — The 8 Dedicated Pages</w:t>
      </w:r>
    </w:p>
    <w:p w14:paraId="24F6A666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lastRenderedPageBreak/>
        <w:t>Each framework gets its own page at /frameworks/[slug]. The 8 frameworks, their TDAA layer, and their page slugs:</w:t>
      </w:r>
    </w:p>
    <w:p w14:paraId="255A54DF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9"/>
        <w:gridCol w:w="1517"/>
        <w:gridCol w:w="2318"/>
        <w:gridCol w:w="2756"/>
      </w:tblGrid>
      <w:tr w:rsidR="00B86D2B" w14:paraId="783EE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6C33C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Framework Name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C8E92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TDAA Layer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62C3D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URL Slug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BF8A6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Page Anchor Content</w:t>
            </w:r>
          </w:p>
        </w:tc>
      </w:tr>
      <w:tr w:rsidR="00B86D2B" w14:paraId="01253F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64D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Human Energy Framework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B7A0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THINK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523E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/frameworks/human-energy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01C9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The foundational replacement for org charts. 8 Human Energies. Drift Loop. Drift Map. Recalibration Map. Visual system diagram.</w:t>
            </w:r>
          </w:p>
        </w:tc>
      </w:tr>
      <w:tr w:rsidR="00B86D2B" w14:paraId="54952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85E2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Coherence Equation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18F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THINK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7D1C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/frameworks/coherence-equation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77BC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Belief × Decision Rights × Rhythm ÷ Organisational Debt. Interactive node diagram. Diagnostic questions per element.</w:t>
            </w:r>
          </w:p>
        </w:tc>
      </w:tr>
      <w:tr w:rsidR="00B86D2B" w14:paraId="29F19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A626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The Unfinished Organisation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D36B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THINK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8367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/frameworks/unfinished-organisation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F1B9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Belief → Conviction → Rhythm. Why 'maturity' no longer means completion. The three-stage sequence.</w:t>
            </w:r>
          </w:p>
        </w:tc>
      </w:tr>
      <w:tr w:rsidR="00B86D2B" w14:paraId="32A5D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F54A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Decision Rights Architecture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03BC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20D5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/frameworks/decision-rights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6D0D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Who decides, escalates, governs. The four architecture primitives. Application guide for startups.</w:t>
            </w:r>
          </w:p>
        </w:tc>
      </w:tr>
      <w:tr w:rsidR="00B86D2B" w14:paraId="0AB87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6AE0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AI Edge Diagnostic™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F376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E5E9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/frameworks/ai-edge-diagnostic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F825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Structural leverage assessment. E-D-G-E framework. Quick Mirror entry point. Links to /diagnostics for full tool.</w:t>
            </w:r>
          </w:p>
        </w:tc>
      </w:tr>
      <w:tr w:rsidR="00B86D2B" w14:paraId="4B805B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59CE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Salary Disconnect Matrix™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18CF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DESIGN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9659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/frameworks/salary-disconnect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A98B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Compensation vs. AI-replicable deliverables. Value Barbell Model. Application to Labour Codes restructuring.</w:t>
            </w:r>
          </w:p>
        </w:tc>
      </w:tr>
      <w:tr w:rsidR="00B86D2B" w14:paraId="36906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2B82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The Conviction Stack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F8F4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7775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/frameworks/conviction-stack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A56C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Human-irreplaceable capabilities vs. AI-dominated capabilities. BYD Blueprints (Belief, Your Energy, Direction).</w:t>
            </w:r>
          </w:p>
        </w:tc>
      </w:tr>
      <w:tr w:rsidR="00B86D2B" w14:paraId="611DF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5AC2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BYD Blueprints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A7C4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FAD4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/frameworks/byd-blueprints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6664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Belief, Your Energy, Direction operating system. The startup-stage architecture applied guide.</w:t>
            </w:r>
          </w:p>
        </w:tc>
      </w:tr>
    </w:tbl>
    <w:p w14:paraId="555C3AD2" w14:textId="77777777" w:rsidR="00B86D2B" w:rsidRDefault="00B86D2B">
      <w:pPr>
        <w:pBdr>
          <w:bottom w:val="single" w:sz="2" w:space="6" w:color="E0E0E0"/>
        </w:pBdr>
        <w:spacing w:before="200" w:after="200"/>
      </w:pPr>
    </w:p>
    <w:p w14:paraId="4E49724A" w14:textId="77777777" w:rsidR="00B86D2B" w:rsidRDefault="0030243D">
      <w:pPr>
        <w:spacing w:before="440" w:after="6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 xml:space="preserve">PART 03  </w:t>
      </w:r>
      <w:r>
        <w:rPr>
          <w:rFonts w:ascii="Arial" w:eastAsia="Arial" w:hAnsi="Arial" w:cs="Arial"/>
          <w:caps/>
          <w:color w:val="666666"/>
          <w:sz w:val="18"/>
          <w:szCs w:val="18"/>
        </w:rPr>
        <w:t>·  User Identification &amp; Content Routing Flow</w:t>
      </w:r>
    </w:p>
    <w:p w14:paraId="72B25F37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3.1 The Routing Philosophy</w:t>
      </w:r>
    </w:p>
    <w:p w14:paraId="3FFBB51F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lastRenderedPageBreak/>
        <w:t>The homepage is UNIVERSAL — every visitor walks the same 9-section journey regardless of who they are. Routing does NOT happen through audience selection gates, welcome screens, or 'Choose your role' dropdowns at the top of the page.</w:t>
      </w:r>
    </w:p>
    <w:p w14:paraId="36602E92" w14:textId="77777777" w:rsidR="00B86D2B" w:rsidRDefault="00B86D2B">
      <w:pPr>
        <w:spacing w:before="60"/>
      </w:pPr>
    </w:p>
    <w:p w14:paraId="22E75562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Routing happens through NEED STATES — expressed in the visitor's own language — and only appears in Section 8 of the homepage scroll, after the visitor has already been educated by the preceding 7 sections. By Section 8, the visitor knows what they're interested in and the routing cards feel like a natural extension of that journey.</w:t>
      </w:r>
    </w:p>
    <w:p w14:paraId="1FC348E0" w14:textId="77777777" w:rsidR="00B86D2B" w:rsidRDefault="00B86D2B">
      <w:pPr>
        <w:spacing w:before="60"/>
      </w:pPr>
    </w:p>
    <w:p w14:paraId="21CF7CAA" w14:textId="77777777" w:rsidR="00B86D2B" w:rsidRDefault="0030243D">
      <w:pPr>
        <w:spacing w:before="60" w:after="60"/>
      </w:pPr>
      <w:r>
        <w:rPr>
          <w:rFonts w:ascii="Arial" w:eastAsia="Arial" w:hAnsi="Arial" w:cs="Arial"/>
          <w:i/>
          <w:iCs/>
          <w:color w:val="666666"/>
        </w:rPr>
        <w:t>Design principle: routing through need states is more effective than routing through titles because most visitors don't self-identify with their professional label when they're in a moment of intellectual curiosity. 'I'm building a startup and the people side is breaking' lands better than 'I am a Startup Founder/CEO'.</w:t>
      </w:r>
    </w:p>
    <w:p w14:paraId="2FEE3D95" w14:textId="77777777" w:rsidR="00B86D2B" w:rsidRDefault="00B86D2B">
      <w:pPr>
        <w:spacing w:before="120"/>
      </w:pPr>
    </w:p>
    <w:p w14:paraId="61BD3CF7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3.2 The 7 Visitor Profiles — Mapped to Need States</w:t>
      </w:r>
    </w:p>
    <w:p w14:paraId="33D8C6A5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Each visitor profile is listed below with their core internal question, the need-state card copy that will appear in Section 8 of the homepage, and their routing path through the site.</w:t>
      </w:r>
    </w:p>
    <w:p w14:paraId="1E496589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160"/>
        <w:gridCol w:w="2600"/>
      </w:tblGrid>
      <w:tr w:rsidR="00B86D2B" w14:paraId="43C73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8F817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Visitor Profile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22A20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Their Core Question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6E810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Need-State Card Copy (Section 8)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19C56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Primary Path → Secondary Path</w:t>
            </w:r>
          </w:p>
        </w:tc>
      </w:tr>
      <w:tr w:rsidR="00B86D2B" w14:paraId="6A832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183D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Startup Founder / CEO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AD1D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How do I build people architecture that doesn't break at scale?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070E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"I'm building a startup and the people side is breaking."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750C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Philosophy → HR for Startups → Practice (Consulting) · Secondary: HROS → Labour Codes</w:t>
            </w:r>
          </w:p>
        </w:tc>
      </w:tr>
      <w:tr w:rsidR="00B86D2B" w14:paraId="2BB90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345E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CHRO / HR Leader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CBCA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How do I evolve HR from a support function to operating architecture?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E2C6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"I'm leading HR and rethinking what the function actually is."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B690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Operating Architect → Frameworks → Masterclass · Secondary: AI Impact → Consulting</w:t>
            </w:r>
          </w:p>
        </w:tc>
      </w:tr>
      <w:tr w:rsidR="00B86D2B" w14:paraId="36364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359E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CXO / Leadership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E1B7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What's the operating system beneath our strategy?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05E7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"I'm a CXO and I want the operating system, not more frameworks."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440C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Philosophy → Coherence Equation → Consulting (Org Design) · Secondary: Decision Rights → Practice</w:t>
            </w:r>
          </w:p>
        </w:tc>
      </w:tr>
      <w:tr w:rsidR="00B86D2B" w14:paraId="425B0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78C6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Investor / VC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173A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Which companies have durable people infrastructure worth backing?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F992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"I'm an investor evaluating whether a company's people architecture will hold."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336D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HROS → Philosophy → AI Impact · Secondary: Frameworks → Book</w:t>
            </w:r>
          </w:p>
        </w:tc>
      </w:tr>
      <w:tr w:rsidR="00B86D2B" w14:paraId="345E7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86F1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Emerging Talent / Young Professional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982D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How do I build the skills AI can't replace?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D5DA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"I want to understand AI's impact on my career before it's too late."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DB61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AI Edge Diagnostic → Conviction Stack → Book · Secondary: For Students → Newsletter</w:t>
            </w:r>
          </w:p>
        </w:tc>
      </w:tr>
      <w:tr w:rsidR="00B86D2B" w14:paraId="663A8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B72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MBA Student / Academic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4385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What should I actually learn about how organisations work?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2A9F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"I'm studying organisations and I want frameworks that work in the real world."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F375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For Students → Book → Frameworks · Secondary: Masterclass → Newsletter</w:t>
            </w:r>
          </w:p>
        </w:tc>
      </w:tr>
      <w:tr w:rsidR="00B86D2B" w14:paraId="51CB7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18FE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Family Business Owner / Next-Gen Leader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A9A0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How do we build an institution that outlasts us?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4348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"I'm building a family business legacy that outlasts generations."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09A4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Family Business → Axion Index → Consulting · Secondary: Philosophy → Governance frameworks</w:t>
            </w:r>
          </w:p>
        </w:tc>
      </w:tr>
    </w:tbl>
    <w:p w14:paraId="04C2C8D0" w14:textId="77777777" w:rsidR="00B86D2B" w:rsidRDefault="00B86D2B">
      <w:pPr>
        <w:spacing w:before="120"/>
      </w:pPr>
    </w:p>
    <w:p w14:paraId="3F9E7CC6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3.3 Section 8 — Routing Cards: Design Specification</w:t>
      </w:r>
    </w:p>
    <w:p w14:paraId="3E258E06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This is the ONLY place on the homepage where audience-awareness appears explicitly. It must feel like a discovery, not a gate.</w:t>
      </w:r>
    </w:p>
    <w:p w14:paraId="41C64AB4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86D2B" w14:paraId="425C8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CC304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25250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Specification</w:t>
            </w:r>
          </w:p>
        </w:tc>
      </w:tr>
      <w:tr w:rsidR="00B86D2B" w14:paraId="51712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D830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Section background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9CCC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Warm gray #EDE8E0. Signals a gentle pause in the journey before the closing section.</w:t>
            </w:r>
          </w:p>
        </w:tc>
      </w:tr>
      <w:tr w:rsidR="00B86D2B" w14:paraId="2CED6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4A75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Section title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5D3D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"What brings you here?" — Playfair Display or Plus Jakarta Sans Semibold, 32px, navy #1B2A4A. Centred. The question is casual and honest — not corporate.</w:t>
            </w:r>
          </w:p>
        </w:tc>
      </w:tr>
      <w:tr w:rsidR="00B86D2B" w14:paraId="1ED22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EF98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 layout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B47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3×2 grid (plus one 7th card centred below if needed). Desktop: 3 columns. Tablet: 2 columns. Mobile: single column, full width, stacked.</w:t>
            </w:r>
          </w:p>
        </w:tc>
      </w:tr>
      <w:tr w:rsidR="00B86D2B" w14:paraId="0E03A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49B3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 content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703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One sentence written from the visitor's perspective. Their words, not your label. e.g. 'I'm leading HR and rethinking what the function actually is.' — no title assumption.</w:t>
            </w:r>
          </w:p>
        </w:tc>
      </w:tr>
      <w:tr w:rsidR="00B86D2B" w14:paraId="5C92E7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9061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 default state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B770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White (#FFFFFF) card on warm gray section. 1px border #D0C9BF. 24px padding. Inter Regular 16px dark gray body. Clean. No icon.</w:t>
            </w:r>
          </w:p>
        </w:tc>
      </w:tr>
      <w:tr w:rsidR="00B86D2B" w14:paraId="7129D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F08B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 hover state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E860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Gold border (#C9A84C) appears. Subtle box-shadow deepens. Gold arrow icon appears in bottom-right corner — 'door opening' effect. 200ms transition.</w:t>
            </w:r>
          </w:p>
        </w:tc>
      </w:tr>
      <w:tr w:rsidR="00B86D2B" w14:paraId="223442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DD33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Card click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D10A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Smooth scroll or page transition to the most relevant section or sub-page. Each card maps to a primary path (see table above).</w:t>
            </w:r>
          </w:p>
        </w:tc>
      </w:tr>
      <w:tr w:rsidR="00B86D2B" w14:paraId="61D595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3FA3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Animation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38D0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All 6–7 cards fade in simultaneously on viewport entry — 400ms. No stagger. They should appear as a set, not a sequence.</w:t>
            </w:r>
          </w:p>
        </w:tc>
      </w:tr>
      <w:tr w:rsidR="00B86D2B" w14:paraId="3F410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D129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Visual rule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0365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DO NOT add category labels, icons, or audience titles above the need-state copy. The sentence IS the routing signal. Adding 'For Founders:' above it breaks the conversational feel.</w:t>
            </w:r>
          </w:p>
        </w:tc>
      </w:tr>
    </w:tbl>
    <w:p w14:paraId="3C15DEA6" w14:textId="77777777" w:rsidR="00B86D2B" w:rsidRDefault="00B86D2B">
      <w:pPr>
        <w:spacing w:before="120"/>
      </w:pPr>
    </w:p>
    <w:p w14:paraId="2E0B4E2A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3.4 Secondary Routing — Deep-Page Contextual Links</w:t>
      </w:r>
    </w:p>
    <w:p w14:paraId="02C25C28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Beyond Section 8, routing is achieved through three additional mechanisms that the designer must accommodate:</w:t>
      </w:r>
    </w:p>
    <w:p w14:paraId="7556152A" w14:textId="77777777" w:rsidR="00B86D2B" w:rsidRDefault="00B86D2B">
      <w:pPr>
        <w:spacing w:before="60"/>
      </w:pPr>
    </w:p>
    <w:p w14:paraId="0276D3AA" w14:textId="77777777" w:rsidR="00B86D2B" w:rsidRDefault="0030243D">
      <w:pPr>
        <w:spacing w:before="240" w:after="8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Mechanism 1 — In-Article / In-Framework Contextual Links</w:t>
      </w:r>
    </w:p>
    <w:p w14:paraId="23A2DE47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Every framework page, article page, and masterclass page has a 'What to read next' module at the bottom. This module shows 2–3 content recommendations based on the content that was just </w:t>
      </w:r>
      <w:r>
        <w:rPr>
          <w:rFonts w:ascii="Arial" w:eastAsia="Arial" w:hAnsi="Arial" w:cs="Arial"/>
          <w:color w:val="2C2C2C"/>
          <w:sz w:val="22"/>
          <w:szCs w:val="22"/>
        </w:rPr>
        <w:lastRenderedPageBreak/>
        <w:t>consumed — mapped to the logical next step on the visitor's path. This is not a generic 'Related Posts' widget. It is a curated, authored next-step guide. Design as a full-width card row, not a sidebar.</w:t>
      </w:r>
    </w:p>
    <w:p w14:paraId="3A360224" w14:textId="77777777" w:rsidR="00B86D2B" w:rsidRDefault="00B86D2B">
      <w:pPr>
        <w:spacing w:before="60"/>
      </w:pPr>
    </w:p>
    <w:p w14:paraId="44FD0056" w14:textId="77777777" w:rsidR="00B86D2B" w:rsidRDefault="0030243D">
      <w:pPr>
        <w:spacing w:before="240" w:after="8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Mechanism 2 — The Diagnostic as Routing Engine</w:t>
      </w:r>
    </w:p>
    <w:p w14:paraId="3902B43E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 AI Edge Diagnostic (Quick Mirror version on /diagnostics) generates a result band: Edge Accelerating, Edge Holding, or Edge Thinning. Each band routes the visitor to different content and different commercial paths. This is the highest-quality routing on the site because it is personalised based on the visitor's own self-assessment.</w:t>
      </w:r>
    </w:p>
    <w:p w14:paraId="37C96F90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B86D2B" w14:paraId="21E396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9B444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Diagnostic Band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55D15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Visitor's Situation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0DA4D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Recommended Path</w:t>
            </w:r>
          </w:p>
        </w:tc>
      </w:tr>
      <w:tr w:rsidR="00B86D2B" w14:paraId="3A0FD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0FD1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Edge Accelerating (75–100)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9763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Structural leverage is strong and growing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87A7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Conviction Stack → Masterclass (advanced) → Advisory Roundtable enquiry → HROS pilot</w:t>
            </w:r>
          </w:p>
        </w:tc>
      </w:tr>
      <w:tr w:rsidR="00B86D2B" w14:paraId="652790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AC0B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Edge Holding (50–74)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06AF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Structural leverage is stable but needs compounding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3BBC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Decision Rights → Coherence Equation → Practice (Consulting) → Newsletter</w:t>
            </w:r>
          </w:p>
        </w:tc>
      </w:tr>
      <w:tr w:rsidR="00B86D2B" w14:paraId="167C55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C2B8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Edge Thinning (0–49)</w:t>
            </w:r>
          </w:p>
        </w:tc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E4E3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Structural leverage is declining under AI pressure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B064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Human Energy Framework → Salary Disconnect Matrix → For Students or Masterclass → Newsletter → Book</w:t>
            </w:r>
          </w:p>
        </w:tc>
      </w:tr>
    </w:tbl>
    <w:p w14:paraId="3AF02BDC" w14:textId="77777777" w:rsidR="00B86D2B" w:rsidRDefault="00B86D2B">
      <w:pPr>
        <w:spacing w:before="60"/>
      </w:pPr>
    </w:p>
    <w:p w14:paraId="2ACF787B" w14:textId="77777777" w:rsidR="00B86D2B" w:rsidRDefault="0030243D">
      <w:pPr>
        <w:spacing w:before="240" w:after="80"/>
      </w:pPr>
      <w:r>
        <w:rPr>
          <w:rFonts w:ascii="Arial" w:eastAsia="Arial" w:hAnsi="Arial" w:cs="Arial"/>
          <w:b/>
          <w:bCs/>
          <w:color w:val="1B2A4A"/>
          <w:sz w:val="22"/>
          <w:szCs w:val="22"/>
        </w:rPr>
        <w:t>Mechanism 3 — The Family Business Separate Routing</w:t>
      </w:r>
    </w:p>
    <w:p w14:paraId="744DCD30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 Family Business audience is distinct from all others and does not share a routing path with startup or CHRO audiences. The /family-business page functions as a separate landing experience — almost a site-within-a-site. All content on this page should be self-contained: it has its own origin story, its own framework system (Axion Index), and its own commercial CTA (advisory enquiry). A family business visitor should not need to visit the homepage to understand the value proposition.</w:t>
      </w:r>
    </w:p>
    <w:p w14:paraId="67C5A7B7" w14:textId="77777777" w:rsidR="00B86D2B" w:rsidRDefault="00B86D2B">
      <w:pPr>
        <w:pBdr>
          <w:bottom w:val="single" w:sz="2" w:space="6" w:color="E0E0E0"/>
        </w:pBdr>
        <w:spacing w:before="200" w:after="200"/>
      </w:pPr>
    </w:p>
    <w:p w14:paraId="24C00C4C" w14:textId="77777777" w:rsidR="00B86D2B" w:rsidRDefault="0030243D">
      <w:pPr>
        <w:spacing w:before="440" w:after="6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 xml:space="preserve">PART 04  </w:t>
      </w:r>
      <w:r>
        <w:rPr>
          <w:rFonts w:ascii="Arial" w:eastAsia="Arial" w:hAnsi="Arial" w:cs="Arial"/>
          <w:caps/>
          <w:color w:val="666666"/>
          <w:sz w:val="18"/>
          <w:szCs w:val="18"/>
        </w:rPr>
        <w:t>·  Navigation Architecture — Design Rules</w:t>
      </w:r>
    </w:p>
    <w:p w14:paraId="76A479E7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4.1 Nav Bar Behaviour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86D2B" w14:paraId="30920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578E6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Behaviour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BCB45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Specification</w:t>
            </w:r>
          </w:p>
        </w:tc>
      </w:tr>
      <w:tr w:rsidR="00B86D2B" w14:paraId="78D34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7162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On load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8C11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Navigation is INVISIBLE on page load. The visitor arrives to a full-viewport navy hero with zero UI chrome. This is the theatre entry moment.</w:t>
            </w:r>
          </w:p>
        </w:tc>
      </w:tr>
      <w:tr w:rsidR="00B86D2B" w14:paraId="7362F2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231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Fade-in trigger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2250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Nav fades in at 15% scroll depth. Opacity 0% → 100% over 200ms. Background transitions from transparent to solid navy (#1B2A4A).</w:t>
            </w:r>
          </w:p>
        </w:tc>
      </w:tr>
      <w:tr w:rsidR="00B86D2B" w14:paraId="7D39FF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1EA3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Sticky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32BF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Once visible, nav remains fixed at top of viewport for all subsequent scrolling.</w:t>
            </w:r>
          </w:p>
        </w:tc>
      </w:tr>
      <w:tr w:rsidR="00B86D2B" w14:paraId="077DF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1F64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Active state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2B4C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Gold underline (#C9A84C, 2px) slides in beneath the active nav item. Width matches text. 200ms transition.</w:t>
            </w:r>
          </w:p>
        </w:tc>
      </w:tr>
      <w:tr w:rsidR="00B86D2B" w14:paraId="765CD7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9503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CTA button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7016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Gold-bordered button, navy fill, off-white text. 'Take the Diagnostic' or 'Start Here' — Nitin to confirm final label. Right-aligned in nav. On hover: gold fill, navy text.</w:t>
            </w:r>
          </w:p>
        </w:tc>
      </w:tr>
      <w:tr w:rsidR="00B86D2B" w14:paraId="493B0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CA8E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Mobile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93AA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Hamburger icon (3 lines in gold). Tap opens full-screen navy overlay. Items stacked vertically at 24px. Tap outside or X to close. CTA button appears at bottom of overlay.</w:t>
            </w:r>
          </w:p>
        </w:tc>
      </w:tr>
      <w:tr w:rsidR="00B86D2B" w14:paraId="2B7DD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CB18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Logo / Wordmark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2A41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NITIN NAHATA in Inter Medium, 14px, letter-spacing 0.15em, off-white #F9F7F2. Left-aligned. No tagline in nav — the site earns the tagline; the nav doesn't announce it.</w:t>
            </w:r>
          </w:p>
        </w:tc>
      </w:tr>
    </w:tbl>
    <w:p w14:paraId="15488446" w14:textId="77777777" w:rsidR="00B86D2B" w:rsidRDefault="00B86D2B">
      <w:pPr>
        <w:spacing w:before="120"/>
      </w:pPr>
    </w:p>
    <w:p w14:paraId="1A072369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4.2 Footer Architecture</w:t>
      </w:r>
    </w:p>
    <w:p w14:paraId="1EE62C8B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 footer is the site's quiet closing. It mirrors the nav's restraint. No cluttered link lists. No social proof logos. Clean, organised, purposeful.</w:t>
      </w:r>
    </w:p>
    <w:p w14:paraId="7F478937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86D2B" w14:paraId="0AC64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7F01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1F4BA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Specification</w:t>
            </w:r>
          </w:p>
        </w:tc>
      </w:tr>
      <w:tr w:rsidR="00B86D2B" w14:paraId="5C5F1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FFA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Background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6B3D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Deep navy #0F1A2E (slightly darker than section navy — creates visual termination).</w:t>
            </w:r>
          </w:p>
        </w:tc>
      </w:tr>
      <w:tr w:rsidR="00B86D2B" w14:paraId="2E539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4D7B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Top border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35EA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1px solid rgba(201,168,76,0.3) — faint gold line. Separates footer from body clearly but gently.</w:t>
            </w:r>
          </w:p>
        </w:tc>
      </w:tr>
      <w:tr w:rsidR="00B86D2B" w14:paraId="6377A2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0A1B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Left column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7B64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NITIN NAHATA wordmark. One-line beneath: 'Operating Architect. Author. Founder, HROS.' Inter Regular 13px mid-gray.</w:t>
            </w:r>
          </w:p>
        </w:tc>
      </w:tr>
      <w:tr w:rsidR="00B86D2B" w14:paraId="083B1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014F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Centre column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0F3F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Primary nav links stacked: Philosophy · Frameworks · Writing · Practice · Family Business · HROS · About. 13px Inter Regular. Mid-gray. On hover: gold #C9A84C.</w:t>
            </w:r>
          </w:p>
        </w:tc>
      </w:tr>
      <w:tr w:rsidR="00B86D2B" w14:paraId="67821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CCB1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Right column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827F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Social links: LinkedIn (primary) · Twitter/X (secondary) · Instagram (tertiary). Icon + text label. Mid-gray. On hover: gold.</w:t>
            </w:r>
          </w:p>
        </w:tc>
      </w:tr>
      <w:tr w:rsidR="00B86D2B" w14:paraId="65B99E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6172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Bottom bar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2D17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Single thin rule (#2A3D5E) then one line: '© 2026 Nitin Nahata' left-aligned | 'Privacy Policy' right-aligned. Inter Regular 12px mid-gray.</w:t>
            </w:r>
          </w:p>
        </w:tc>
      </w:tr>
      <w:tr w:rsidR="00B86D2B" w14:paraId="71A0E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7665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Doctrine line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EFB7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Between nav links and bottom bar: one gold doctrine line in JetBrains Mono italic, centred. 14px. '#C9A84C'. The closing note of the site.</w:t>
            </w:r>
          </w:p>
        </w:tc>
      </w:tr>
      <w:tr w:rsidR="00B86D2B" w14:paraId="4098BA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6B13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Newsletter embed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A32B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Below the left column: one-line signup. 'Get the Operating Architect Brief →' with email input. ConvertKit/Beehiiv embed. Styled to match footer (no white boxes).</w:t>
            </w:r>
          </w:p>
        </w:tc>
      </w:tr>
      <w:tr w:rsidR="00B86D2B" w14:paraId="60E7F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A6B4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NEVER include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330E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Cookie banners (unless legally required). Chat widget popups. 'Powered by Webflow' badge. Any affiliate or partner logos. Testimonial quotes.</w:t>
            </w:r>
          </w:p>
        </w:tc>
      </w:tr>
    </w:tbl>
    <w:p w14:paraId="3DDAB651" w14:textId="77777777" w:rsidR="00B86D2B" w:rsidRDefault="00B86D2B">
      <w:pPr>
        <w:spacing w:before="120"/>
      </w:pPr>
    </w:p>
    <w:p w14:paraId="0A912934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4.3 Page-Level Navigation Rules</w:t>
      </w:r>
    </w:p>
    <w:p w14:paraId="7DE67951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These rules apply to every individual page, not just the homepage:</w:t>
      </w:r>
    </w:p>
    <w:p w14:paraId="0DC918EE" w14:textId="77777777" w:rsidR="00B86D2B" w:rsidRDefault="00B86D2B">
      <w:pPr>
        <w:spacing w:before="60"/>
      </w:pPr>
    </w:p>
    <w:p w14:paraId="76CE29B7" w14:textId="77777777" w:rsidR="00B86D2B" w:rsidRDefault="0030243D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color w:val="2C2C2C"/>
          <w:sz w:val="22"/>
          <w:szCs w:val="22"/>
        </w:rPr>
        <w:lastRenderedPageBreak/>
        <w:t>Every page has a clear next action. No page should end without a contextual CTA or 'What to read next' module.</w:t>
      </w:r>
    </w:p>
    <w:p w14:paraId="5E2347B7" w14:textId="77777777" w:rsidR="00B86D2B" w:rsidRDefault="0030243D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color w:val="2C2C2C"/>
          <w:sz w:val="22"/>
          <w:szCs w:val="22"/>
        </w:rPr>
        <w:t>Framework pages and article pages use a 'breadcrumb trail' at the top: Home → Frameworks → [Framework Name]. Breadcrumbs in Inter Regular 13px mid-gray. Gold separator (·).</w:t>
      </w:r>
    </w:p>
    <w:p w14:paraId="0A832973" w14:textId="77777777" w:rsidR="00B86D2B" w:rsidRDefault="0030243D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color w:val="2C2C2C"/>
          <w:sz w:val="22"/>
          <w:szCs w:val="22"/>
        </w:rPr>
        <w:t>The /family-business page does NOT breadcrumb from the main nav — it has its own internal navigation for the five architectures (Authority, Leadership, Governance, Succession, fifth).</w:t>
      </w:r>
    </w:p>
    <w:p w14:paraId="64D9DED1" w14:textId="77777777" w:rsidR="00B86D2B" w:rsidRDefault="0030243D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color w:val="2C2C2C"/>
          <w:sz w:val="22"/>
          <w:szCs w:val="22"/>
        </w:rPr>
        <w:t>The /strip archive page uses a filter bar at the top: filter by Season (1–5) and by Primitive (Rhythm · Decision · Incentive · Accountability). Filter bar: sticky on scroll within the page.</w:t>
      </w:r>
    </w:p>
    <w:p w14:paraId="1545E10E" w14:textId="77777777" w:rsidR="00B86D2B" w:rsidRDefault="0030243D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color w:val="2C2C2C"/>
          <w:sz w:val="22"/>
          <w:szCs w:val="22"/>
        </w:rPr>
        <w:t>The /diagnostics page is self-contained. It does not display the main nav during the diagnostic flow — to eliminate distraction and improve completion rate. Main nav returns on the results page.</w:t>
      </w:r>
    </w:p>
    <w:p w14:paraId="34D7837E" w14:textId="77777777" w:rsidR="00B86D2B" w:rsidRDefault="0030243D"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eastAsia="Arial" w:hAnsi="Arial" w:cs="Arial"/>
          <w:color w:val="2C2C2C"/>
          <w:sz w:val="22"/>
          <w:szCs w:val="22"/>
        </w:rPr>
        <w:t>The /contact page routes enquiries into 6 separate forms. Each form is shown/hidden based on the selected enquiry type. No single long form. Structured and respectful of the visitor's time.</w:t>
      </w:r>
    </w:p>
    <w:p w14:paraId="4ADC5576" w14:textId="77777777" w:rsidR="00B86D2B" w:rsidRDefault="00B86D2B">
      <w:pPr>
        <w:pBdr>
          <w:bottom w:val="single" w:sz="2" w:space="6" w:color="E0E0E0"/>
        </w:pBdr>
        <w:spacing w:before="200" w:after="200"/>
      </w:pPr>
    </w:p>
    <w:p w14:paraId="01C75DCC" w14:textId="77777777" w:rsidR="00B86D2B" w:rsidRDefault="0030243D">
      <w:pPr>
        <w:spacing w:before="440" w:after="60"/>
      </w:pPr>
      <w:r>
        <w:rPr>
          <w:rFonts w:ascii="Arial" w:eastAsia="Arial" w:hAnsi="Arial" w:cs="Arial"/>
          <w:b/>
          <w:bCs/>
          <w:caps/>
          <w:color w:val="C9A84C"/>
          <w:sz w:val="18"/>
          <w:szCs w:val="18"/>
        </w:rPr>
        <w:t xml:space="preserve">PART 05  </w:t>
      </w:r>
      <w:r>
        <w:rPr>
          <w:rFonts w:ascii="Arial" w:eastAsia="Arial" w:hAnsi="Arial" w:cs="Arial"/>
          <w:caps/>
          <w:color w:val="666666"/>
          <w:sz w:val="18"/>
          <w:szCs w:val="18"/>
        </w:rPr>
        <w:t>·  Content Mapping — What Lives Where</w:t>
      </w:r>
    </w:p>
    <w:p w14:paraId="58660AFD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5.1 Homepage Content Map (All 9 Sections)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2400"/>
        <w:gridCol w:w="4360"/>
      </w:tblGrid>
      <w:tr w:rsidR="00B86D2B" w14:paraId="07D940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0685F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#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0FAE6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Section Name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62318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Background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D2BE2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Content Elements</w:t>
            </w:r>
          </w:p>
        </w:tc>
      </w:tr>
      <w:tr w:rsidR="00B86D2B" w14:paraId="3F2E8C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093C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79A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Hero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5D9E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#121C33 (dark navy)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48C7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0.6s empty delay. Hero line fades in (Playfair Display 64px white). Name in gold below. Nav invisible on load. Scroll to reveal nav.</w:t>
            </w:r>
          </w:p>
        </w:tc>
      </w:tr>
      <w:tr w:rsidR="00B86D2B" w14:paraId="26A11A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DA7C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9631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Scar Cards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B4A3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#F9F7F2 (off-white)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BDAA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Section label 'WHAT THE COLLISIONS TAUGHT ME'. Gold underline draws on entry. 4–6 case-file cards: Collision (bold navy) + Scar (dark gray) + Principle (monospace, gold left-border).</w:t>
            </w:r>
          </w:p>
        </w:tc>
      </w:tr>
      <w:tr w:rsidR="00B86D2B" w14:paraId="0B6B74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00EB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13D1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Philosophy T-A-S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0DD6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#121C33 (dark navy)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A16D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Three vertical panels: THESIS / ANTI-THESIS / SYNTHESIS. Gold connecting line draws between panels after all three appear. Gold labels, white serif content, 28px.</w:t>
            </w:r>
          </w:p>
        </w:tc>
      </w:tr>
      <w:tr w:rsidR="00B86D2B" w14:paraId="708AB2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6DAC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3A8E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Operating Architect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4ABD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#F9F7F2 + blueprint grid at 5% opacity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1613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SVG architecture diagram. Operating Architect node at top. Four domains branch below. Traditional HR positioned downstream. Lines draw sequentially on viewport entry.</w:t>
            </w:r>
          </w:p>
        </w:tc>
      </w:tr>
      <w:tr w:rsidR="00B86D2B" w14:paraId="6F00B2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7120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AAF1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TDAA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AFEF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#EDE8E0 (warm gray)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2F5E9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Four blocks: THINK → DESIGN → ACT → ACHIEVE. Gold connecting line on left edge. Hover any block → sub-elements expand. Each sub-element is a clickable link.</w:t>
            </w:r>
          </w:p>
        </w:tc>
      </w:tr>
      <w:tr w:rsidR="00B86D2B" w14:paraId="4DD183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7F8B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CAD3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Thought Leadership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CF32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#1B2A4A (navy)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A4FB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 stream tiles in 3×2 grid. Gold clockwise border on hover. Each tile: stream name (serif white 22px) + 2-line description + latest content link.</w:t>
            </w:r>
          </w:p>
        </w:tc>
      </w:tr>
      <w:tr w:rsidR="00B86D2B" w14:paraId="11403B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C815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AA81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HROS / Proof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F711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#121C33 (dark navy)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361E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Centred serif statement 36px: 'I diagnosed the structural failure. Then I built the infrastructure.' Gold underline grows from centre. One-line HROS description in gold. 'Learn more' CTA.</w:t>
            </w:r>
          </w:p>
        </w:tc>
      </w:tr>
      <w:tr w:rsidR="00B86D2B" w14:paraId="6C903F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7DED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CE5F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Routing Cards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E812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#EDE8E0 (warm gray)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E9CC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Section title 'WHAT BRINGS YOU HERE?' centred. 3×2 grid of 6–7 need-state cards. White card on warm gray. Gold border + gold arrow on hover.</w:t>
            </w:r>
          </w:p>
        </w:tc>
      </w:tr>
      <w:tr w:rsidR="00B86D2B" w14:paraId="18F285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D65D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870A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Closing Doctrine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75DA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#121C33 (dark navy)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0FAC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Full viewport. Centred gold monospace line. Scroll pauses 0.8s as section enters. Text fades in during pause. Maximum negative space. Nothing else.</w:t>
            </w:r>
          </w:p>
        </w:tc>
      </w:tr>
    </w:tbl>
    <w:p w14:paraId="2AFB6951" w14:textId="77777777" w:rsidR="00B86D2B" w:rsidRDefault="00B86D2B">
      <w:pPr>
        <w:spacing w:before="120"/>
      </w:pPr>
    </w:p>
    <w:p w14:paraId="0A040725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5.2 The Thought Leadership Stream — 6 Streams, Content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760"/>
        <w:gridCol w:w="3400"/>
      </w:tblGrid>
      <w:tr w:rsidR="00B86D2B" w14:paraId="59F70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2CB31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Stream Name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9EBD8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URL (within /writing)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99D88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TDAA Layer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D18A3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Content Types &amp; Flagship Assets</w:t>
            </w:r>
          </w:p>
        </w:tc>
      </w:tr>
      <w:tr w:rsidR="00B86D2B" w14:paraId="6AA008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DE8F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HR Tech for Next-Gen Organisations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F72D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/writing/hr-tech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4BE6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84BC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Product philosophy essays. Labour Code analysis. Competitive landscape pieces. Builder's notes. Flagship: HROS thesis essay.</w:t>
            </w:r>
          </w:p>
        </w:tc>
      </w:tr>
      <w:tr w:rsidR="00B86D2B" w14:paraId="53C80E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3165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Enabling the Start-up Journey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C69B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/writing/startup-journey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032C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7BC1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Startup stage frameworks. Inflection point maps. Founder energy diagnostics. BYD Blueprints in action. Flagship: Baptism by Chaos applied essays.</w:t>
            </w:r>
          </w:p>
        </w:tc>
      </w:tr>
      <w:tr w:rsidR="00B86D2B" w14:paraId="553C4C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CDB1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HR for Startups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EBF0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/writing/hr-for-startups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4358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76EA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 Masterclass tracks (Culture, Performance, Reward, Talent). Practitioner guides. Case studies. Worksheets. Diagnostic tools. Flagship: Masterclass on Culture.</w:t>
            </w:r>
          </w:p>
        </w:tc>
      </w:tr>
      <w:tr w:rsidR="00B86D2B" w14:paraId="312B8E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3B9A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Future of Talent Readiness in the AI Era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560C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/writing/ai-talent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EA5D6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CB9A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Long-form articles. Diagnostic narratives. Data-driven essays. The AI Replaceability Index. Salary Disconnect Matrix. Flagship: AI Edge Diagnostic explainer.</w:t>
            </w:r>
          </w:p>
        </w:tc>
      </w:tr>
      <w:tr w:rsidR="00B86D2B" w14:paraId="3123B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5FDC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Family Business Architecture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6F40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/writing/family-business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C4D65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1CC9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Axion Index guides. Governance architecture. Succession frameworks. Personal passion narrative. Fortune India-style thought leadership. Flagship: Five Architectures system.</w:t>
            </w:r>
          </w:p>
        </w:tc>
      </w:tr>
      <w:tr w:rsidR="00B86D2B" w14:paraId="72D96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DEFD1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The Operating Architect Strip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604C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/strip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16C8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ACHIEVE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D6004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Full archive by season and primitive. Each strip links to its framework. Doctrine line extracted. 'Suggest a Pattern' community form. One-Liners Bank. Flagship: Season 1 complete archive.</w:t>
            </w:r>
          </w:p>
        </w:tc>
      </w:tr>
    </w:tbl>
    <w:p w14:paraId="1920561B" w14:textId="77777777" w:rsidR="00B86D2B" w:rsidRDefault="00B86D2B">
      <w:pPr>
        <w:spacing w:before="120"/>
      </w:pPr>
    </w:p>
    <w:p w14:paraId="089412DE" w14:textId="77777777" w:rsidR="00B86D2B" w:rsidRDefault="0030243D">
      <w:pPr>
        <w:spacing w:before="360" w:after="10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5.3 The Conversion Ladder — Where Each Page Sits</w:t>
      </w:r>
    </w:p>
    <w:p w14:paraId="33A485F2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Every page on the site can be mapped to a stage in the progressive engagement ladder. The designer must ensure each stage has a clear visual next-action that moves the visitor forward.</w:t>
      </w:r>
    </w:p>
    <w:p w14:paraId="49B370B3" w14:textId="77777777" w:rsidR="00B86D2B" w:rsidRDefault="00B86D2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3000"/>
        <w:gridCol w:w="2360"/>
      </w:tblGrid>
      <w:tr w:rsidR="00B86D2B" w14:paraId="006005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7706D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0C091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Pages at This Stage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852A5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Visitor State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740DB" w14:textId="77777777" w:rsidR="00B86D2B" w:rsidRDefault="0030243D">
            <w:r>
              <w:rPr>
                <w:rFonts w:ascii="Arial" w:eastAsia="Arial" w:hAnsi="Arial" w:cs="Arial"/>
                <w:b/>
                <w:bCs/>
                <w:color w:val="F9F7F2"/>
              </w:rPr>
              <w:t>Next Action to Design</w:t>
            </w:r>
          </w:p>
        </w:tc>
      </w:tr>
      <w:tr w:rsidR="00B86D2B" w14:paraId="52FB60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62D1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DISCOVER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D623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Homepage, /philosophy, /writing (article pages)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EA8F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Curious. No commitment. Scanning.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3AC7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Scroll prompt on hero. 'Read the framework →' CTAs on articles. Newsletter embed at article foot.</w:t>
            </w:r>
          </w:p>
        </w:tc>
      </w:tr>
      <w:tr w:rsidR="00B86D2B" w14:paraId="5EF14E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5016E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LEARN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48818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/frameworks/[slug], /masterclass, /book, /strip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5BDD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Engaged. Building understanding.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1832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'What to read next' module. Framework download prompt. Newsletter signup. Diagnostic CTA.</w:t>
            </w:r>
          </w:p>
        </w:tc>
      </w:tr>
      <w:tr w:rsidR="00B86D2B" w14:paraId="50DFC9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E1A9A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ASSESS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F7A0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/diagnostics, /frameworks/ai-edge-diagnostic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8866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Self-aware. Looking for personal relevance.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9EC6C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Results page with band-specific routing. Email capture for full results PDF. Community invite.</w:t>
            </w:r>
          </w:p>
        </w:tc>
      </w:tr>
      <w:tr w:rsidR="00B86D2B" w14:paraId="06BAC7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D3F2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ENGAGE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CB75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/newsletter, /strip (community), /collaborate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268EF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Relationship forming. Returning visitor.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07AFB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Newsletter confirmation. 'Suggest a Pattern' form. Roundtable application. LinkedIn follow prompt.</w:t>
            </w:r>
          </w:p>
        </w:tc>
      </w:tr>
      <w:tr w:rsidR="00B86D2B" w14:paraId="1199AB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0037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COMMIT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90F6D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/practice, /speaking, /hros, /collaborate, /contact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1B373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Decision-ready. Wants professional engagement.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DF700" w14:textId="77777777" w:rsidR="00B86D2B" w:rsidRDefault="0030243D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Structured enquiry form. Calendly or 48-hour response promise. HROS 'Talk to us' CTA.</w:t>
            </w:r>
          </w:p>
        </w:tc>
      </w:tr>
    </w:tbl>
    <w:p w14:paraId="4F6805D1" w14:textId="77777777" w:rsidR="00B86D2B" w:rsidRDefault="00B86D2B">
      <w:pPr>
        <w:pBdr>
          <w:bottom w:val="single" w:sz="2" w:space="6" w:color="E0E0E0"/>
        </w:pBdr>
        <w:spacing w:before="200" w:after="200"/>
      </w:pPr>
    </w:p>
    <w:p w14:paraId="64B3F4E5" w14:textId="77777777" w:rsidR="00B86D2B" w:rsidRDefault="0030243D">
      <w:pPr>
        <w:pBdr>
          <w:bottom w:val="single" w:sz="4" w:space="6" w:color="C9A84C"/>
        </w:pBdr>
        <w:spacing w:before="480" w:after="160"/>
      </w:pPr>
      <w:r>
        <w:rPr>
          <w:rFonts w:ascii="Arial" w:eastAsia="Arial" w:hAnsi="Arial" w:cs="Arial"/>
          <w:b/>
          <w:bCs/>
          <w:color w:val="1B2A4A"/>
          <w:sz w:val="36"/>
          <w:szCs w:val="36"/>
        </w:rPr>
        <w:t>DESIGNER CHECKLIST — Before You Begin</w:t>
      </w:r>
    </w:p>
    <w:p w14:paraId="66C6EA74" w14:textId="77777777" w:rsidR="00B86D2B" w:rsidRDefault="0030243D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Confirm all of the following before starting any design work:</w:t>
      </w:r>
    </w:p>
    <w:p w14:paraId="781D483E" w14:textId="77777777" w:rsidR="00B86D2B" w:rsidRDefault="00B86D2B">
      <w:pPr>
        <w:spacing w:before="60"/>
      </w:pPr>
    </w:p>
    <w:p w14:paraId="16696624" w14:textId="77777777" w:rsidR="00B86D2B" w:rsidRDefault="0030243D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eastAsia="Arial" w:hAnsi="Arial" w:cs="Arial"/>
          <w:color w:val="2C2C2C"/>
          <w:sz w:val="22"/>
          <w:szCs w:val="22"/>
        </w:rPr>
        <w:t>Read the Website Architecture Blueprint v4 in full (uploaded to this project)</w:t>
      </w:r>
    </w:p>
    <w:p w14:paraId="6480310B" w14:textId="77777777" w:rsidR="00B86D2B" w:rsidRDefault="0030243D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Read the Designer Handoff Companion v3 in full</w:t>
      </w:r>
    </w:p>
    <w:p w14:paraId="24E65527" w14:textId="77777777" w:rsidR="00B86D2B" w:rsidRDefault="0030243D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Read the High Production Creative Direction v1 in full</w:t>
      </w:r>
    </w:p>
    <w:p w14:paraId="335D910F" w14:textId="77777777" w:rsidR="00B86D2B" w:rsidRDefault="0030243D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lastRenderedPageBreak/>
        <w:t>Open the five reference sites: jamesclear.com · paulgraham.com · nav.al · balajis.com · principles.com</w:t>
      </w:r>
    </w:p>
    <w:p w14:paraId="2792C8C3" w14:textId="77777777" w:rsidR="00B86D2B" w:rsidRDefault="0030243D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Confirm the three blocking assets are available: Professional portrait · Scar Card texts (4–6) · Hero line final selection</w:t>
      </w:r>
    </w:p>
    <w:p w14:paraId="452CB249" w14:textId="77777777" w:rsidR="00B86D2B" w:rsidRDefault="0030243D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Use #121C33 (not #1B2A4A) as hero and doctrine section background — this is the correct depth navy per Handoff Companion v3</w:t>
      </w:r>
    </w:p>
    <w:p w14:paraId="5EC0855E" w14:textId="77777777" w:rsidR="00B86D2B" w:rsidRDefault="0030243D"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Use #EDE8E0 (warm gray) — not cool gray — for all card surfaces and hover states</w:t>
      </w:r>
    </w:p>
    <w:p w14:paraId="1AC941BD" w14:textId="77777777" w:rsidR="00B86D2B" w:rsidRDefault="0030243D"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eastAsia="Arial" w:hAnsi="Arial" w:cs="Arial"/>
          <w:color w:val="2C2C2C"/>
          <w:sz w:val="22"/>
          <w:szCs w:val="22"/>
        </w:rPr>
        <w:t>The homepage hero has NO portrait. Portrait lives on /about and /speaking pages only.</w:t>
      </w:r>
    </w:p>
    <w:p w14:paraId="35EBBA4A" w14:textId="77777777" w:rsidR="00B86D2B" w:rsidRDefault="00B86D2B">
      <w:pPr>
        <w:spacing w:before="120"/>
      </w:pPr>
    </w:p>
    <w:p w14:paraId="2F567F6D" w14:textId="77777777" w:rsidR="00B86D2B" w:rsidRDefault="0030243D">
      <w:pPr>
        <w:spacing w:before="200" w:after="200"/>
        <w:jc w:val="center"/>
      </w:pPr>
      <w:r>
        <w:rPr>
          <w:rFonts w:ascii="Arial" w:eastAsia="Arial" w:hAnsi="Arial" w:cs="Arial"/>
          <w:i/>
          <w:iCs/>
          <w:color w:val="666666"/>
        </w:rPr>
        <w:t>— End of Navigation, Sitemap &amp; Routing Brief —</w:t>
      </w:r>
    </w:p>
    <w:sectPr w:rsidR="00B86D2B"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02708"/>
    <w:multiLevelType w:val="hybridMultilevel"/>
    <w:tmpl w:val="FFFFFFFF"/>
    <w:lvl w:ilvl="0" w:tplc="4154C250">
      <w:start w:val="1"/>
      <w:numFmt w:val="bullet"/>
      <w:lvlText w:val="●"/>
      <w:lvlJc w:val="left"/>
      <w:pPr>
        <w:ind w:left="720" w:hanging="360"/>
      </w:pPr>
    </w:lvl>
    <w:lvl w:ilvl="1" w:tplc="29D6765E">
      <w:start w:val="1"/>
      <w:numFmt w:val="bullet"/>
      <w:lvlText w:val="○"/>
      <w:lvlJc w:val="left"/>
      <w:pPr>
        <w:ind w:left="1440" w:hanging="360"/>
      </w:pPr>
    </w:lvl>
    <w:lvl w:ilvl="2" w:tplc="78EEA894">
      <w:start w:val="1"/>
      <w:numFmt w:val="bullet"/>
      <w:lvlText w:val="■"/>
      <w:lvlJc w:val="left"/>
      <w:pPr>
        <w:ind w:left="2160" w:hanging="360"/>
      </w:pPr>
    </w:lvl>
    <w:lvl w:ilvl="3" w:tplc="CE5AECEA">
      <w:start w:val="1"/>
      <w:numFmt w:val="bullet"/>
      <w:lvlText w:val="●"/>
      <w:lvlJc w:val="left"/>
      <w:pPr>
        <w:ind w:left="2880" w:hanging="360"/>
      </w:pPr>
    </w:lvl>
    <w:lvl w:ilvl="4" w:tplc="73644C70">
      <w:start w:val="1"/>
      <w:numFmt w:val="bullet"/>
      <w:lvlText w:val="○"/>
      <w:lvlJc w:val="left"/>
      <w:pPr>
        <w:ind w:left="3600" w:hanging="360"/>
      </w:pPr>
    </w:lvl>
    <w:lvl w:ilvl="5" w:tplc="C07609DC">
      <w:start w:val="1"/>
      <w:numFmt w:val="bullet"/>
      <w:lvlText w:val="■"/>
      <w:lvlJc w:val="left"/>
      <w:pPr>
        <w:ind w:left="4320" w:hanging="360"/>
      </w:pPr>
    </w:lvl>
    <w:lvl w:ilvl="6" w:tplc="96FCDB66">
      <w:start w:val="1"/>
      <w:numFmt w:val="bullet"/>
      <w:lvlText w:val="●"/>
      <w:lvlJc w:val="left"/>
      <w:pPr>
        <w:ind w:left="5040" w:hanging="360"/>
      </w:pPr>
    </w:lvl>
    <w:lvl w:ilvl="7" w:tplc="6D165242">
      <w:start w:val="1"/>
      <w:numFmt w:val="bullet"/>
      <w:lvlText w:val="●"/>
      <w:lvlJc w:val="left"/>
      <w:pPr>
        <w:ind w:left="5760" w:hanging="360"/>
      </w:pPr>
    </w:lvl>
    <w:lvl w:ilvl="8" w:tplc="3E6E77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0F3197"/>
    <w:multiLevelType w:val="hybridMultilevel"/>
    <w:tmpl w:val="FFFFFFFF"/>
    <w:lvl w:ilvl="0" w:tplc="72FE16DC">
      <w:start w:val="1"/>
      <w:numFmt w:val="bullet"/>
      <w:lvlText w:val="•"/>
      <w:lvlJc w:val="left"/>
      <w:pPr>
        <w:ind w:left="720" w:hanging="360"/>
      </w:pPr>
    </w:lvl>
    <w:lvl w:ilvl="1" w:tplc="7AC8B91A">
      <w:numFmt w:val="decimal"/>
      <w:lvlText w:val=""/>
      <w:lvlJc w:val="left"/>
    </w:lvl>
    <w:lvl w:ilvl="2" w:tplc="D3D88AAA">
      <w:numFmt w:val="decimal"/>
      <w:lvlText w:val=""/>
      <w:lvlJc w:val="left"/>
    </w:lvl>
    <w:lvl w:ilvl="3" w:tplc="024A30EE">
      <w:numFmt w:val="decimal"/>
      <w:lvlText w:val=""/>
      <w:lvlJc w:val="left"/>
    </w:lvl>
    <w:lvl w:ilvl="4" w:tplc="91B6781C">
      <w:numFmt w:val="decimal"/>
      <w:lvlText w:val=""/>
      <w:lvlJc w:val="left"/>
    </w:lvl>
    <w:lvl w:ilvl="5" w:tplc="5B08DA70">
      <w:numFmt w:val="decimal"/>
      <w:lvlText w:val=""/>
      <w:lvlJc w:val="left"/>
    </w:lvl>
    <w:lvl w:ilvl="6" w:tplc="87F0655A">
      <w:numFmt w:val="decimal"/>
      <w:lvlText w:val=""/>
      <w:lvlJc w:val="left"/>
    </w:lvl>
    <w:lvl w:ilvl="7" w:tplc="89E0C358">
      <w:numFmt w:val="decimal"/>
      <w:lvlText w:val=""/>
      <w:lvlJc w:val="left"/>
    </w:lvl>
    <w:lvl w:ilvl="8" w:tplc="89F64916">
      <w:numFmt w:val="decimal"/>
      <w:lvlText w:val=""/>
      <w:lvlJc w:val="left"/>
    </w:lvl>
  </w:abstractNum>
  <w:abstractNum w:abstractNumId="2" w15:restartNumberingAfterBreak="0">
    <w:nsid w:val="6490349B"/>
    <w:multiLevelType w:val="hybridMultilevel"/>
    <w:tmpl w:val="FFFFFFFF"/>
    <w:lvl w:ilvl="0" w:tplc="C4F6B03E">
      <w:start w:val="1"/>
      <w:numFmt w:val="decimal"/>
      <w:lvlText w:val="%1."/>
      <w:lvlJc w:val="left"/>
      <w:pPr>
        <w:ind w:left="720" w:hanging="360"/>
      </w:pPr>
    </w:lvl>
    <w:lvl w:ilvl="1" w:tplc="B02879D2">
      <w:numFmt w:val="decimal"/>
      <w:lvlText w:val=""/>
      <w:lvlJc w:val="left"/>
    </w:lvl>
    <w:lvl w:ilvl="2" w:tplc="DF0A06D6">
      <w:numFmt w:val="decimal"/>
      <w:lvlText w:val=""/>
      <w:lvlJc w:val="left"/>
    </w:lvl>
    <w:lvl w:ilvl="3" w:tplc="9CB65EF6">
      <w:numFmt w:val="decimal"/>
      <w:lvlText w:val=""/>
      <w:lvlJc w:val="left"/>
    </w:lvl>
    <w:lvl w:ilvl="4" w:tplc="77323FD2">
      <w:numFmt w:val="decimal"/>
      <w:lvlText w:val=""/>
      <w:lvlJc w:val="left"/>
    </w:lvl>
    <w:lvl w:ilvl="5" w:tplc="C7FCA63A">
      <w:numFmt w:val="decimal"/>
      <w:lvlText w:val=""/>
      <w:lvlJc w:val="left"/>
    </w:lvl>
    <w:lvl w:ilvl="6" w:tplc="7B2CB536">
      <w:numFmt w:val="decimal"/>
      <w:lvlText w:val=""/>
      <w:lvlJc w:val="left"/>
    </w:lvl>
    <w:lvl w:ilvl="7" w:tplc="563C9E4A">
      <w:numFmt w:val="decimal"/>
      <w:lvlText w:val=""/>
      <w:lvlJc w:val="left"/>
    </w:lvl>
    <w:lvl w:ilvl="8" w:tplc="079C4680">
      <w:numFmt w:val="decimal"/>
      <w:lvlText w:val=""/>
      <w:lvlJc w:val="left"/>
    </w:lvl>
  </w:abstractNum>
  <w:num w:numId="1" w16cid:durableId="963775838">
    <w:abstractNumId w:val="0"/>
    <w:lvlOverride w:ilvl="0">
      <w:startOverride w:val="1"/>
    </w:lvlOverride>
  </w:num>
  <w:num w:numId="2" w16cid:durableId="1674188018">
    <w:abstractNumId w:val="1"/>
    <w:lvlOverride w:ilvl="0">
      <w:startOverride w:val="1"/>
    </w:lvlOverride>
  </w:num>
  <w:num w:numId="3" w16cid:durableId="7052995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2B"/>
    <w:rsid w:val="0030243D"/>
    <w:rsid w:val="00B86D2B"/>
    <w:rsid w:val="00DB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E44F8"/>
  <w15:docId w15:val="{D1B78ACA-52C0-0A46-90F0-98DCE9A0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4090</Words>
  <Characters>23316</Characters>
  <Application>Microsoft Office Word</Application>
  <DocSecurity>0</DocSecurity>
  <Lines>194</Lines>
  <Paragraphs>54</Paragraphs>
  <ScaleCrop>false</ScaleCrop>
  <Company/>
  <LinksUpToDate>false</LinksUpToDate>
  <CharactersWithSpaces>27352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nahata</cp:lastModifiedBy>
  <cp:revision>2</cp:revision>
  <dcterms:created xsi:type="dcterms:W3CDTF">2026-04-19T08:51:00Z</dcterms:created>
  <dcterms:modified xsi:type="dcterms:W3CDTF">2026-04-19T08:51:00Z</dcterms:modified>
</cp:coreProperties>
</file>