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Library Policies and Procedures</w:t>
      </w:r>
    </w:p>
    <w:p>
      <w:pPr>
        <w:pStyle w:val="Heading1"/>
      </w:pPr>
      <w:r>
        <w:t>Section 1: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2: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3: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4: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5: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6: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7: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8: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9: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10: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11: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12: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13: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14: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15: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16: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17: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18: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19: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20: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21: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22: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23: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24: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25: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26: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27: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28: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29: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30: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31: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32: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33: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34: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35: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36: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37: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38: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39: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40: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41: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42: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43: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44: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45: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46: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47: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48: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49: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50: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51: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52: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53: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54: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55: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56: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57: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58: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59: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60: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61: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62: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63: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64: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65: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66: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67: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68: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69: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70: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71: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72: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73: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74: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75: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76: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77: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78: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79: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80: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81: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82: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83: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84: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85: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86: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87: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88: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89: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90: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91: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92: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93: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94: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95: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96: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97: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98: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99: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br w:type="page"/>
      </w:r>
    </w:p>
    <w:p>
      <w:pPr>
        <w:pStyle w:val="Heading1"/>
      </w:pPr>
      <w:r>
        <w:t>Section 100: Policy Guidelines</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p>
      <w:r>
        <w:t xml:space="preserve">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All patrons are required to adhere to the code of conduct, respect library property, and ensure timely return of borrowed materials.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