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E4BD6" w14:textId="77777777" w:rsidR="00941CF4" w:rsidRDefault="00000000">
      <w:pPr>
        <w:pStyle w:val="Title"/>
        <w:jc w:val="center"/>
      </w:pPr>
      <w:r>
        <w:t>Customer Engagement &amp; Product Utilization Analytics</w:t>
      </w:r>
      <w:r>
        <w:br/>
        <w:t>for Retention Strategy</w:t>
      </w:r>
    </w:p>
    <w:p w14:paraId="41202C28" w14:textId="77777777" w:rsidR="00941CF4" w:rsidRDefault="00000000">
      <w:pPr>
        <w:pStyle w:val="Subtitle"/>
        <w:jc w:val="center"/>
      </w:pPr>
      <w:r>
        <w:t>An Applied Data Analytics Research Paper Using Engagement Classification, Product Utilization Metrics, High-Value Disengagement Detection, Retention Strength Scoring, and Dashboard-Based Strategic Recommendations</w:t>
      </w:r>
    </w:p>
    <w:p w14:paraId="0A4AC517" w14:textId="77777777" w:rsidR="00941CF4" w:rsidRDefault="00941CF4"/>
    <w:tbl>
      <w:tblPr>
        <w:tblW w:w="0" w:type="auto"/>
        <w:jc w:val="center"/>
        <w:tblLook w:val="04A0" w:firstRow="1" w:lastRow="0" w:firstColumn="1" w:lastColumn="0" w:noHBand="0" w:noVBand="1"/>
      </w:tblPr>
      <w:tblGrid>
        <w:gridCol w:w="3168"/>
        <w:gridCol w:w="6912"/>
      </w:tblGrid>
      <w:tr w:rsidR="00941CF4" w14:paraId="5D0AB02A" w14:textId="77777777">
        <w:trPr>
          <w:tblHeade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7177AC90" w14:textId="77777777" w:rsidR="00941CF4" w:rsidRDefault="00000000">
            <w:pPr>
              <w:spacing w:after="0"/>
            </w:pPr>
            <w:r>
              <w:rPr>
                <w:b/>
                <w:color w:val="FFFFFF"/>
                <w:sz w:val="17"/>
              </w:rPr>
              <w:t>Document Field</w:t>
            </w:r>
          </w:p>
        </w:tc>
        <w:tc>
          <w:tcPr>
            <w:tcW w:w="6912"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17240CC5" w14:textId="77777777" w:rsidR="00941CF4" w:rsidRDefault="00000000">
            <w:pPr>
              <w:spacing w:after="0"/>
            </w:pPr>
            <w:r>
              <w:rPr>
                <w:b/>
                <w:color w:val="FFFFFF"/>
                <w:sz w:val="17"/>
              </w:rPr>
              <w:t>Details</w:t>
            </w:r>
          </w:p>
        </w:tc>
      </w:tr>
      <w:tr w:rsidR="00941CF4" w14:paraId="71CD264A" w14:textId="77777777">
        <w:trPr>
          <w:jc w:val="center"/>
        </w:trPr>
        <w:tc>
          <w:tcPr>
            <w:tcW w:w="3168" w:type="dxa"/>
            <w:shd w:val="clear" w:color="auto" w:fill="FFFFFF"/>
          </w:tcPr>
          <w:p w14:paraId="7E1529D9" w14:textId="77777777" w:rsidR="00941CF4" w:rsidRDefault="00000000">
            <w:pPr>
              <w:spacing w:after="0"/>
            </w:pPr>
            <w:r>
              <w:rPr>
                <w:sz w:val="16"/>
              </w:rPr>
              <w:t>Author</w:t>
            </w:r>
          </w:p>
        </w:tc>
        <w:tc>
          <w:tcPr>
            <w:tcW w:w="6912" w:type="dxa"/>
            <w:shd w:val="clear" w:color="auto" w:fill="FFFFFF"/>
          </w:tcPr>
          <w:p w14:paraId="0CF36DEF" w14:textId="77777777" w:rsidR="00941CF4" w:rsidRDefault="00000000">
            <w:pPr>
              <w:spacing w:after="0"/>
            </w:pPr>
            <w:r>
              <w:rPr>
                <w:sz w:val="16"/>
              </w:rPr>
              <w:t>Mohit Gupta</w:t>
            </w:r>
          </w:p>
        </w:tc>
      </w:tr>
      <w:tr w:rsidR="00941CF4" w14:paraId="1C554E2E" w14:textId="77777777">
        <w:trPr>
          <w:jc w:val="center"/>
        </w:trPr>
        <w:tc>
          <w:tcPr>
            <w:tcW w:w="3168" w:type="dxa"/>
            <w:shd w:val="clear" w:color="auto" w:fill="F5F7FA"/>
          </w:tcPr>
          <w:p w14:paraId="6642D520" w14:textId="77777777" w:rsidR="00941CF4" w:rsidRDefault="00000000">
            <w:pPr>
              <w:spacing w:after="0"/>
            </w:pPr>
            <w:r>
              <w:rPr>
                <w:sz w:val="16"/>
              </w:rPr>
              <w:t>Domain</w:t>
            </w:r>
          </w:p>
        </w:tc>
        <w:tc>
          <w:tcPr>
            <w:tcW w:w="6912" w:type="dxa"/>
            <w:shd w:val="clear" w:color="auto" w:fill="F5F7FA"/>
          </w:tcPr>
          <w:p w14:paraId="2CF70A5D" w14:textId="77777777" w:rsidR="00941CF4" w:rsidRDefault="00000000">
            <w:pPr>
              <w:spacing w:after="0"/>
            </w:pPr>
            <w:r>
              <w:rPr>
                <w:sz w:val="16"/>
              </w:rPr>
              <w:t>Banking Retention Analytics / Customer Behavior Analytics</w:t>
            </w:r>
          </w:p>
        </w:tc>
      </w:tr>
      <w:tr w:rsidR="00941CF4" w14:paraId="44A6360A" w14:textId="77777777">
        <w:trPr>
          <w:jc w:val="center"/>
        </w:trPr>
        <w:tc>
          <w:tcPr>
            <w:tcW w:w="3168" w:type="dxa"/>
            <w:shd w:val="clear" w:color="auto" w:fill="FFFFFF"/>
          </w:tcPr>
          <w:p w14:paraId="0FA4FDA0" w14:textId="77777777" w:rsidR="00941CF4" w:rsidRDefault="00000000">
            <w:pPr>
              <w:spacing w:after="0"/>
            </w:pPr>
            <w:r>
              <w:rPr>
                <w:sz w:val="16"/>
              </w:rPr>
              <w:t>Project</w:t>
            </w:r>
          </w:p>
        </w:tc>
        <w:tc>
          <w:tcPr>
            <w:tcW w:w="6912" w:type="dxa"/>
            <w:shd w:val="clear" w:color="auto" w:fill="FFFFFF"/>
          </w:tcPr>
          <w:p w14:paraId="47A29E78" w14:textId="77777777" w:rsidR="00941CF4" w:rsidRDefault="00000000">
            <w:pPr>
              <w:spacing w:after="0"/>
            </w:pPr>
            <w:r>
              <w:rPr>
                <w:sz w:val="16"/>
              </w:rPr>
              <w:t>Customer Engagement &amp; Product Utilization Analytics for Retention Strategy</w:t>
            </w:r>
          </w:p>
        </w:tc>
      </w:tr>
      <w:tr w:rsidR="00941CF4" w14:paraId="4EE18E2B" w14:textId="77777777">
        <w:trPr>
          <w:jc w:val="center"/>
        </w:trPr>
        <w:tc>
          <w:tcPr>
            <w:tcW w:w="3168" w:type="dxa"/>
            <w:shd w:val="clear" w:color="auto" w:fill="F5F7FA"/>
          </w:tcPr>
          <w:p w14:paraId="3773EC4F" w14:textId="77777777" w:rsidR="00941CF4" w:rsidRDefault="00000000">
            <w:pPr>
              <w:spacing w:after="0"/>
            </w:pPr>
            <w:r>
              <w:rPr>
                <w:sz w:val="16"/>
              </w:rPr>
              <w:t>Tool Stack</w:t>
            </w:r>
          </w:p>
        </w:tc>
        <w:tc>
          <w:tcPr>
            <w:tcW w:w="6912" w:type="dxa"/>
            <w:shd w:val="clear" w:color="auto" w:fill="F5F7FA"/>
          </w:tcPr>
          <w:p w14:paraId="753D61E5" w14:textId="77777777" w:rsidR="00941CF4" w:rsidRDefault="00000000">
            <w:pPr>
              <w:spacing w:after="0"/>
            </w:pPr>
            <w:r>
              <w:rPr>
                <w:sz w:val="16"/>
              </w:rPr>
              <w:t>Python, Pandas, NumPy, Plotly, Streamlit, data validation, dashboard analytics</w:t>
            </w:r>
          </w:p>
        </w:tc>
      </w:tr>
      <w:tr w:rsidR="00941CF4" w14:paraId="272DFAF7" w14:textId="77777777">
        <w:trPr>
          <w:jc w:val="center"/>
        </w:trPr>
        <w:tc>
          <w:tcPr>
            <w:tcW w:w="3168" w:type="dxa"/>
            <w:shd w:val="clear" w:color="auto" w:fill="FFFFFF"/>
          </w:tcPr>
          <w:p w14:paraId="3E17EAC0" w14:textId="77777777" w:rsidR="00941CF4" w:rsidRDefault="00000000">
            <w:pPr>
              <w:spacing w:after="0"/>
            </w:pPr>
            <w:r>
              <w:rPr>
                <w:sz w:val="16"/>
              </w:rPr>
              <w:t>Research Type</w:t>
            </w:r>
          </w:p>
        </w:tc>
        <w:tc>
          <w:tcPr>
            <w:tcW w:w="6912" w:type="dxa"/>
            <w:shd w:val="clear" w:color="auto" w:fill="FFFFFF"/>
          </w:tcPr>
          <w:p w14:paraId="3695AD81" w14:textId="77777777" w:rsidR="00941CF4" w:rsidRDefault="00000000">
            <w:pPr>
              <w:spacing w:after="0"/>
            </w:pPr>
            <w:r>
              <w:rPr>
                <w:sz w:val="16"/>
              </w:rPr>
              <w:t>Applied data analytics research paper with EDA, KPI measurement, dashboard evidence, insights, recommendations, and appendix</w:t>
            </w:r>
          </w:p>
        </w:tc>
      </w:tr>
      <w:tr w:rsidR="00941CF4" w14:paraId="28C6BFA6" w14:textId="77777777">
        <w:trPr>
          <w:jc w:val="center"/>
        </w:trPr>
        <w:tc>
          <w:tcPr>
            <w:tcW w:w="3168" w:type="dxa"/>
            <w:shd w:val="clear" w:color="auto" w:fill="F5F7FA"/>
          </w:tcPr>
          <w:p w14:paraId="2A01AC0D" w14:textId="77777777" w:rsidR="00941CF4" w:rsidRDefault="00000000">
            <w:pPr>
              <w:spacing w:after="0"/>
            </w:pPr>
            <w:r>
              <w:rPr>
                <w:sz w:val="16"/>
              </w:rPr>
              <w:t>Prepared</w:t>
            </w:r>
          </w:p>
        </w:tc>
        <w:tc>
          <w:tcPr>
            <w:tcW w:w="6912" w:type="dxa"/>
            <w:shd w:val="clear" w:color="auto" w:fill="F5F7FA"/>
          </w:tcPr>
          <w:p w14:paraId="1D322BCB" w14:textId="77777777" w:rsidR="00941CF4" w:rsidRDefault="00000000">
            <w:pPr>
              <w:spacing w:after="0"/>
            </w:pPr>
            <w:r>
              <w:rPr>
                <w:sz w:val="16"/>
              </w:rPr>
              <w:t>June 2026</w:t>
            </w:r>
          </w:p>
        </w:tc>
      </w:tr>
      <w:tr w:rsidR="00941CF4" w14:paraId="1A506E92" w14:textId="77777777">
        <w:trPr>
          <w:jc w:val="center"/>
        </w:trPr>
        <w:tc>
          <w:tcPr>
            <w:tcW w:w="3168" w:type="dxa"/>
            <w:shd w:val="clear" w:color="auto" w:fill="FFFFFF"/>
          </w:tcPr>
          <w:p w14:paraId="6BB2FFEB" w14:textId="3A4246B8" w:rsidR="00941CF4" w:rsidRDefault="00AE19FB">
            <w:pPr>
              <w:spacing w:after="0"/>
            </w:pPr>
            <w:r>
              <w:rPr>
                <w:sz w:val="16"/>
              </w:rPr>
              <w:t>Company</w:t>
            </w:r>
          </w:p>
        </w:tc>
        <w:tc>
          <w:tcPr>
            <w:tcW w:w="6912" w:type="dxa"/>
            <w:shd w:val="clear" w:color="auto" w:fill="FFFFFF"/>
          </w:tcPr>
          <w:p w14:paraId="4D10D88D" w14:textId="2C384526" w:rsidR="00941CF4" w:rsidRDefault="00AE19FB">
            <w:pPr>
              <w:spacing w:after="0"/>
            </w:pPr>
            <w:r>
              <w:rPr>
                <w:sz w:val="16"/>
              </w:rPr>
              <w:t>Unified Mentor Private Ltd</w:t>
            </w:r>
          </w:p>
        </w:tc>
      </w:tr>
    </w:tbl>
    <w:p w14:paraId="1AAE863F" w14:textId="77777777" w:rsidR="00941CF4" w:rsidRDefault="00941CF4"/>
    <w:tbl>
      <w:tblPr>
        <w:tblW w:w="0" w:type="auto"/>
        <w:jc w:val="center"/>
        <w:tblLook w:val="04A0" w:firstRow="1" w:lastRow="0" w:firstColumn="1" w:lastColumn="0" w:noHBand="0" w:noVBand="1"/>
      </w:tblPr>
      <w:tblGrid>
        <w:gridCol w:w="10656"/>
      </w:tblGrid>
      <w:tr w:rsidR="00941CF4" w14:paraId="569B349F"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EAF2FB"/>
          </w:tcPr>
          <w:p w14:paraId="3460E2FF" w14:textId="77777777" w:rsidR="00941CF4" w:rsidRDefault="00000000">
            <w:pPr>
              <w:spacing w:after="80"/>
            </w:pPr>
            <w:r>
              <w:rPr>
                <w:b/>
                <w:color w:val="001F3F"/>
                <w:sz w:val="21"/>
              </w:rPr>
              <w:t>Research scope</w:t>
            </w:r>
          </w:p>
          <w:p w14:paraId="03F12EC0" w14:textId="77777777" w:rsidR="00941CF4" w:rsidRDefault="00000000">
            <w:pPr>
              <w:spacing w:after="0"/>
            </w:pPr>
            <w:r>
              <w:rPr>
                <w:sz w:val="19"/>
              </w:rPr>
              <w:t>This research paper reframes banking churn from a behavior and relationship-strength perspective. It evaluates engagement behavior, product depth, credit card stickiness, high-value disengagement, and retention scoring to support targeted retention strategy rather than generic customer retention campaigns.</w:t>
            </w:r>
          </w:p>
        </w:tc>
      </w:tr>
    </w:tbl>
    <w:p w14:paraId="1B3E8C6F" w14:textId="77777777" w:rsidR="00941CF4" w:rsidRDefault="00941CF4"/>
    <w:tbl>
      <w:tblPr>
        <w:tblW w:w="0" w:type="auto"/>
        <w:jc w:val="center"/>
        <w:tblLook w:val="04A0" w:firstRow="1" w:lastRow="0" w:firstColumn="1" w:lastColumn="0" w:noHBand="0" w:noVBand="1"/>
      </w:tblPr>
      <w:tblGrid>
        <w:gridCol w:w="3456"/>
        <w:gridCol w:w="2016"/>
        <w:gridCol w:w="4752"/>
      </w:tblGrid>
      <w:tr w:rsidR="00941CF4" w14:paraId="31E416F7" w14:textId="77777777">
        <w:trPr>
          <w:tblHeader/>
          <w:jc w:val="center"/>
        </w:trPr>
        <w:tc>
          <w:tcPr>
            <w:tcW w:w="3456"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499E3B8A" w14:textId="77777777" w:rsidR="00941CF4" w:rsidRDefault="00000000">
            <w:pPr>
              <w:spacing w:after="0"/>
            </w:pPr>
            <w:r>
              <w:rPr>
                <w:b/>
                <w:color w:val="FFFFFF"/>
                <w:sz w:val="17"/>
              </w:rPr>
              <w:t>Core KPI</w:t>
            </w:r>
          </w:p>
        </w:tc>
        <w:tc>
          <w:tcPr>
            <w:tcW w:w="2016"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565F0655" w14:textId="77777777" w:rsidR="00941CF4" w:rsidRDefault="00000000">
            <w:pPr>
              <w:spacing w:after="0"/>
            </w:pPr>
            <w:r>
              <w:rPr>
                <w:b/>
                <w:color w:val="FFFFFF"/>
                <w:sz w:val="17"/>
              </w:rPr>
              <w:t>Dashboard Value</w:t>
            </w:r>
          </w:p>
        </w:tc>
        <w:tc>
          <w:tcPr>
            <w:tcW w:w="4752"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1682C59F" w14:textId="77777777" w:rsidR="00941CF4" w:rsidRDefault="00000000">
            <w:pPr>
              <w:spacing w:after="0"/>
            </w:pPr>
            <w:r>
              <w:rPr>
                <w:b/>
                <w:color w:val="FFFFFF"/>
                <w:sz w:val="17"/>
              </w:rPr>
              <w:t>Executive Reading</w:t>
            </w:r>
          </w:p>
        </w:tc>
      </w:tr>
      <w:tr w:rsidR="00941CF4" w14:paraId="0EBE563B" w14:textId="77777777">
        <w:trPr>
          <w:jc w:val="center"/>
        </w:trPr>
        <w:tc>
          <w:tcPr>
            <w:tcW w:w="3456" w:type="dxa"/>
            <w:shd w:val="clear" w:color="auto" w:fill="FFFFFF"/>
          </w:tcPr>
          <w:p w14:paraId="1651D009" w14:textId="77777777" w:rsidR="00941CF4" w:rsidRDefault="00000000">
            <w:pPr>
              <w:spacing w:after="0"/>
            </w:pPr>
            <w:r>
              <w:rPr>
                <w:sz w:val="16"/>
              </w:rPr>
              <w:t>Engagement Retention Ratio</w:t>
            </w:r>
          </w:p>
        </w:tc>
        <w:tc>
          <w:tcPr>
            <w:tcW w:w="2016" w:type="dxa"/>
            <w:shd w:val="clear" w:color="auto" w:fill="FFFFFF"/>
          </w:tcPr>
          <w:p w14:paraId="5BA695A0" w14:textId="77777777" w:rsidR="00941CF4" w:rsidRDefault="00000000">
            <w:pPr>
              <w:spacing w:after="0"/>
            </w:pPr>
            <w:r>
              <w:rPr>
                <w:sz w:val="16"/>
              </w:rPr>
              <w:t>1.17</w:t>
            </w:r>
          </w:p>
        </w:tc>
        <w:tc>
          <w:tcPr>
            <w:tcW w:w="4752" w:type="dxa"/>
            <w:shd w:val="clear" w:color="auto" w:fill="FFFFFF"/>
          </w:tcPr>
          <w:p w14:paraId="20C70959" w14:textId="77777777" w:rsidR="00941CF4" w:rsidRDefault="00000000">
            <w:pPr>
              <w:spacing w:after="0"/>
            </w:pPr>
            <w:r>
              <w:rPr>
                <w:sz w:val="16"/>
              </w:rPr>
              <w:t>Active member retention is stronger than inactive member retention.</w:t>
            </w:r>
          </w:p>
        </w:tc>
      </w:tr>
      <w:tr w:rsidR="00941CF4" w14:paraId="74FB3839" w14:textId="77777777">
        <w:trPr>
          <w:jc w:val="center"/>
        </w:trPr>
        <w:tc>
          <w:tcPr>
            <w:tcW w:w="3456" w:type="dxa"/>
            <w:shd w:val="clear" w:color="auto" w:fill="F5F7FA"/>
          </w:tcPr>
          <w:p w14:paraId="36FEC012" w14:textId="77777777" w:rsidR="00941CF4" w:rsidRDefault="00000000">
            <w:pPr>
              <w:spacing w:after="0"/>
            </w:pPr>
            <w:r>
              <w:rPr>
                <w:sz w:val="16"/>
              </w:rPr>
              <w:t>Product Depth Index</w:t>
            </w:r>
          </w:p>
        </w:tc>
        <w:tc>
          <w:tcPr>
            <w:tcW w:w="2016" w:type="dxa"/>
            <w:shd w:val="clear" w:color="auto" w:fill="F5F7FA"/>
          </w:tcPr>
          <w:p w14:paraId="661B3393" w14:textId="77777777" w:rsidR="00941CF4" w:rsidRDefault="00000000">
            <w:pPr>
              <w:spacing w:after="0"/>
            </w:pPr>
            <w:r>
              <w:rPr>
                <w:sz w:val="16"/>
              </w:rPr>
              <w:t>100.92</w:t>
            </w:r>
          </w:p>
        </w:tc>
        <w:tc>
          <w:tcPr>
            <w:tcW w:w="4752" w:type="dxa"/>
            <w:shd w:val="clear" w:color="auto" w:fill="F5F7FA"/>
          </w:tcPr>
          <w:p w14:paraId="3C9681B8" w14:textId="77777777" w:rsidR="00941CF4" w:rsidRDefault="00000000">
            <w:pPr>
              <w:spacing w:after="0"/>
            </w:pPr>
            <w:r>
              <w:rPr>
                <w:sz w:val="16"/>
              </w:rPr>
              <w:t>Retained customers show slightly stronger product relationship depth than the overall base.</w:t>
            </w:r>
          </w:p>
        </w:tc>
      </w:tr>
      <w:tr w:rsidR="00941CF4" w14:paraId="1763447D" w14:textId="77777777">
        <w:trPr>
          <w:jc w:val="center"/>
        </w:trPr>
        <w:tc>
          <w:tcPr>
            <w:tcW w:w="3456" w:type="dxa"/>
            <w:shd w:val="clear" w:color="auto" w:fill="FFFFFF"/>
          </w:tcPr>
          <w:p w14:paraId="64A8CE61" w14:textId="77777777" w:rsidR="00941CF4" w:rsidRDefault="00000000">
            <w:pPr>
              <w:spacing w:after="0"/>
            </w:pPr>
            <w:r>
              <w:rPr>
                <w:sz w:val="16"/>
              </w:rPr>
              <w:t>High-Balance Disengagement Rate</w:t>
            </w:r>
          </w:p>
        </w:tc>
        <w:tc>
          <w:tcPr>
            <w:tcW w:w="2016" w:type="dxa"/>
            <w:shd w:val="clear" w:color="auto" w:fill="FFFFFF"/>
          </w:tcPr>
          <w:p w14:paraId="3B0239D4" w14:textId="77777777" w:rsidR="00941CF4" w:rsidRDefault="00000000">
            <w:pPr>
              <w:spacing w:after="0"/>
            </w:pPr>
            <w:r>
              <w:rPr>
                <w:sz w:val="16"/>
              </w:rPr>
              <w:t>49.51%</w:t>
            </w:r>
          </w:p>
        </w:tc>
        <w:tc>
          <w:tcPr>
            <w:tcW w:w="4752" w:type="dxa"/>
            <w:shd w:val="clear" w:color="auto" w:fill="FFFFFF"/>
          </w:tcPr>
          <w:p w14:paraId="5F7144A5" w14:textId="77777777" w:rsidR="00941CF4" w:rsidRDefault="00000000">
            <w:pPr>
              <w:spacing w:after="0"/>
            </w:pPr>
            <w:r>
              <w:rPr>
                <w:sz w:val="16"/>
              </w:rPr>
              <w:t>Nearly half of high-value customers are behaviorally disengaged and require intervention.</w:t>
            </w:r>
          </w:p>
        </w:tc>
      </w:tr>
      <w:tr w:rsidR="00941CF4" w14:paraId="239E5CBF" w14:textId="77777777">
        <w:trPr>
          <w:jc w:val="center"/>
        </w:trPr>
        <w:tc>
          <w:tcPr>
            <w:tcW w:w="3456" w:type="dxa"/>
            <w:shd w:val="clear" w:color="auto" w:fill="F5F7FA"/>
          </w:tcPr>
          <w:p w14:paraId="56471B04" w14:textId="77777777" w:rsidR="00941CF4" w:rsidRDefault="00000000">
            <w:pPr>
              <w:spacing w:after="0"/>
            </w:pPr>
            <w:r>
              <w:rPr>
                <w:sz w:val="16"/>
              </w:rPr>
              <w:t>Credit Card Stickiness Score</w:t>
            </w:r>
          </w:p>
        </w:tc>
        <w:tc>
          <w:tcPr>
            <w:tcW w:w="2016" w:type="dxa"/>
            <w:shd w:val="clear" w:color="auto" w:fill="F5F7FA"/>
          </w:tcPr>
          <w:p w14:paraId="00E45DB8" w14:textId="77777777" w:rsidR="00941CF4" w:rsidRDefault="00000000">
            <w:pPr>
              <w:spacing w:after="0"/>
            </w:pPr>
            <w:r>
              <w:rPr>
                <w:sz w:val="16"/>
              </w:rPr>
              <w:t>79.82%</w:t>
            </w:r>
          </w:p>
        </w:tc>
        <w:tc>
          <w:tcPr>
            <w:tcW w:w="4752" w:type="dxa"/>
            <w:shd w:val="clear" w:color="auto" w:fill="F5F7FA"/>
          </w:tcPr>
          <w:p w14:paraId="53EC1995" w14:textId="77777777" w:rsidR="00941CF4" w:rsidRDefault="00000000">
            <w:pPr>
              <w:spacing w:after="0"/>
            </w:pPr>
            <w:r>
              <w:rPr>
                <w:sz w:val="16"/>
              </w:rPr>
              <w:t>Credit card ownership is associated with a relatively strong retention profile.</w:t>
            </w:r>
          </w:p>
        </w:tc>
      </w:tr>
      <w:tr w:rsidR="00941CF4" w14:paraId="5D38191F" w14:textId="77777777">
        <w:trPr>
          <w:jc w:val="center"/>
        </w:trPr>
        <w:tc>
          <w:tcPr>
            <w:tcW w:w="3456" w:type="dxa"/>
            <w:shd w:val="clear" w:color="auto" w:fill="FFFFFF"/>
          </w:tcPr>
          <w:p w14:paraId="0D58D4BF" w14:textId="77777777" w:rsidR="00941CF4" w:rsidRDefault="00000000">
            <w:pPr>
              <w:spacing w:after="0"/>
            </w:pPr>
            <w:r>
              <w:rPr>
                <w:sz w:val="16"/>
              </w:rPr>
              <w:t>Relationship Strength Index</w:t>
            </w:r>
          </w:p>
        </w:tc>
        <w:tc>
          <w:tcPr>
            <w:tcW w:w="2016" w:type="dxa"/>
            <w:shd w:val="clear" w:color="auto" w:fill="FFFFFF"/>
          </w:tcPr>
          <w:p w14:paraId="23E65032" w14:textId="77777777" w:rsidR="00941CF4" w:rsidRDefault="00000000">
            <w:pPr>
              <w:spacing w:after="0"/>
            </w:pPr>
            <w:r>
              <w:rPr>
                <w:sz w:val="16"/>
              </w:rPr>
              <w:t>64.44</w:t>
            </w:r>
          </w:p>
        </w:tc>
        <w:tc>
          <w:tcPr>
            <w:tcW w:w="4752" w:type="dxa"/>
            <w:shd w:val="clear" w:color="auto" w:fill="FFFFFF"/>
          </w:tcPr>
          <w:p w14:paraId="559F5977" w14:textId="77777777" w:rsidR="00941CF4" w:rsidRDefault="00000000">
            <w:pPr>
              <w:spacing w:after="0"/>
            </w:pPr>
            <w:r>
              <w:rPr>
                <w:sz w:val="16"/>
              </w:rPr>
              <w:t>Overall relationship strength is moderate-to-strong, but segment differences remain important.</w:t>
            </w:r>
          </w:p>
        </w:tc>
      </w:tr>
    </w:tbl>
    <w:p w14:paraId="4C28B3DF" w14:textId="77777777" w:rsidR="00941CF4" w:rsidRDefault="00941CF4"/>
    <w:p w14:paraId="50894448" w14:textId="77777777" w:rsidR="00941CF4" w:rsidRDefault="00000000">
      <w:r>
        <w:br w:type="page"/>
      </w:r>
    </w:p>
    <w:p w14:paraId="3D0D68EE" w14:textId="77777777" w:rsidR="00941CF4" w:rsidRDefault="00000000">
      <w:pPr>
        <w:pStyle w:val="Heading1"/>
      </w:pPr>
      <w:r>
        <w:lastRenderedPageBreak/>
        <w:t>1. Executive Summary / Abstract</w:t>
      </w:r>
    </w:p>
    <w:p w14:paraId="467F4615" w14:textId="77777777" w:rsidR="00941CF4" w:rsidRDefault="00000000">
      <w:pPr>
        <w:pStyle w:val="BodyText"/>
        <w:jc w:val="both"/>
      </w:pPr>
      <w:r>
        <w:t>This research paper presents a dashboard-supported banking retention analytics study focused on customer engagement, product utilization, high-value disengagement, and relationship strength scoring. The analysis uses customer-level churn indicators and derived behavioral fields to understand which customer profiles require targeted retention attention.</w:t>
      </w:r>
    </w:p>
    <w:p w14:paraId="1BB06262" w14:textId="77777777" w:rsidR="00941CF4" w:rsidRDefault="00000000">
      <w:pPr>
        <w:pStyle w:val="BodyText"/>
        <w:jc w:val="both"/>
      </w:pPr>
      <w:r>
        <w:t>The project begins from a practical banking problem: customers may appear financially valuable because of high balances or salaries, but still churn when engagement is weak, product adoption is limited, or the relationship with the bank lacks depth. The dashboard therefore moves beyond generic demographic churn reporting and evaluates retention through measurable behavioral and relationship-strength indicators.</w:t>
      </w:r>
    </w:p>
    <w:p w14:paraId="58BAF968" w14:textId="77777777" w:rsidR="00941CF4" w:rsidRDefault="00000000">
      <w:pPr>
        <w:pStyle w:val="BodyText"/>
        <w:jc w:val="both"/>
      </w:pPr>
      <w:r>
        <w:t>The dashboard baseline analyzes 10,000 customers, of whom 7,963 are retained and 2,037 are churned. The overall retention rate is 79.63%, while inactive customers account for 63.9% of churn. Product-depth evidence shows that two-product customers have the strongest retention profile at 92.42%, while single-product customers carry higher churn exposure. The high-value customer detector identifies 4,351 high-value customers, 2,154 of whom are high-value disengaged, generating a high-balance disengagement rate of 49.51% and balance exposure of 232,942,972.</w:t>
      </w:r>
    </w:p>
    <w:p w14:paraId="17FEE047" w14:textId="77777777" w:rsidR="00941CF4" w:rsidRDefault="00000000">
      <w:pPr>
        <w:pStyle w:val="BodyText"/>
        <w:jc w:val="both"/>
      </w:pPr>
      <w:r>
        <w:t>The most important strategic conclusion is that financial value alone does not guarantee loyalty. A customer may hold a high balance but still have low engagement, weak product relationship, and elevated churn risk. The retention scoring module further confirms that churn risk declines sharply as retention strength increases: Critical Retention Risk has 69.0% churn, while Very Strong Retention has 0.0% churn.</w:t>
      </w:r>
    </w:p>
    <w:tbl>
      <w:tblPr>
        <w:tblW w:w="0" w:type="auto"/>
        <w:jc w:val="center"/>
        <w:tblLook w:val="04A0" w:firstRow="1" w:lastRow="0" w:firstColumn="1" w:lastColumn="0" w:noHBand="0" w:noVBand="1"/>
      </w:tblPr>
      <w:tblGrid>
        <w:gridCol w:w="2952"/>
        <w:gridCol w:w="3384"/>
        <w:gridCol w:w="3888"/>
      </w:tblGrid>
      <w:tr w:rsidR="00941CF4" w14:paraId="1058221C" w14:textId="77777777">
        <w:trPr>
          <w:tblHeader/>
          <w:jc w:val="center"/>
        </w:trPr>
        <w:tc>
          <w:tcPr>
            <w:tcW w:w="2952"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27EEC0F0" w14:textId="77777777" w:rsidR="00941CF4" w:rsidRDefault="00000000">
            <w:pPr>
              <w:spacing w:after="0"/>
            </w:pPr>
            <w:r>
              <w:rPr>
                <w:b/>
                <w:color w:val="FFFFFF"/>
                <w:sz w:val="17"/>
              </w:rPr>
              <w:t>Executive Question</w:t>
            </w:r>
          </w:p>
        </w:tc>
        <w:tc>
          <w:tcPr>
            <w:tcW w:w="3384"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0D6C730F" w14:textId="77777777" w:rsidR="00941CF4" w:rsidRDefault="00000000">
            <w:pPr>
              <w:spacing w:after="0"/>
            </w:pPr>
            <w:r>
              <w:rPr>
                <w:b/>
                <w:color w:val="FFFFFF"/>
                <w:sz w:val="17"/>
              </w:rPr>
              <w:t>Evidence from Dashboard</w:t>
            </w:r>
          </w:p>
        </w:tc>
        <w:tc>
          <w:tcPr>
            <w:tcW w:w="3888"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1486BEF3" w14:textId="77777777" w:rsidR="00941CF4" w:rsidRDefault="00000000">
            <w:pPr>
              <w:spacing w:after="0"/>
            </w:pPr>
            <w:r>
              <w:rPr>
                <w:b/>
                <w:color w:val="FFFFFF"/>
                <w:sz w:val="17"/>
              </w:rPr>
              <w:t>Strategic Meaning</w:t>
            </w:r>
          </w:p>
        </w:tc>
      </w:tr>
      <w:tr w:rsidR="00941CF4" w14:paraId="4D79A425" w14:textId="77777777">
        <w:trPr>
          <w:jc w:val="center"/>
        </w:trPr>
        <w:tc>
          <w:tcPr>
            <w:tcW w:w="2952" w:type="dxa"/>
            <w:shd w:val="clear" w:color="auto" w:fill="FFFFFF"/>
          </w:tcPr>
          <w:p w14:paraId="202137A2" w14:textId="77777777" w:rsidR="00941CF4" w:rsidRDefault="00000000">
            <w:pPr>
              <w:spacing w:after="0"/>
            </w:pPr>
            <w:r>
              <w:rPr>
                <w:sz w:val="16"/>
              </w:rPr>
              <w:t>Are active customers more loyal?</w:t>
            </w:r>
          </w:p>
        </w:tc>
        <w:tc>
          <w:tcPr>
            <w:tcW w:w="3384" w:type="dxa"/>
            <w:shd w:val="clear" w:color="auto" w:fill="FFFFFF"/>
          </w:tcPr>
          <w:p w14:paraId="356002D1" w14:textId="77777777" w:rsidR="00941CF4" w:rsidRDefault="00000000">
            <w:pPr>
              <w:spacing w:after="0"/>
            </w:pPr>
            <w:r>
              <w:rPr>
                <w:sz w:val="16"/>
              </w:rPr>
              <w:t>Engagement Retention Ratio = 1.17</w:t>
            </w:r>
          </w:p>
        </w:tc>
        <w:tc>
          <w:tcPr>
            <w:tcW w:w="3888" w:type="dxa"/>
            <w:shd w:val="clear" w:color="auto" w:fill="FFFFFF"/>
          </w:tcPr>
          <w:p w14:paraId="3F58D1E9" w14:textId="77777777" w:rsidR="00941CF4" w:rsidRDefault="00000000">
            <w:pPr>
              <w:spacing w:after="0"/>
            </w:pPr>
            <w:r>
              <w:rPr>
                <w:sz w:val="16"/>
              </w:rPr>
              <w:t>Active engagement is linked with stronger retention quality.</w:t>
            </w:r>
          </w:p>
        </w:tc>
      </w:tr>
      <w:tr w:rsidR="00941CF4" w14:paraId="48C15940" w14:textId="77777777">
        <w:trPr>
          <w:jc w:val="center"/>
        </w:trPr>
        <w:tc>
          <w:tcPr>
            <w:tcW w:w="2952" w:type="dxa"/>
            <w:shd w:val="clear" w:color="auto" w:fill="F5F7FA"/>
          </w:tcPr>
          <w:p w14:paraId="4E9B0ABD" w14:textId="77777777" w:rsidR="00941CF4" w:rsidRDefault="00000000">
            <w:pPr>
              <w:spacing w:after="0"/>
            </w:pPr>
            <w:r>
              <w:rPr>
                <w:sz w:val="16"/>
              </w:rPr>
              <w:t>Which segment contributes most to churn?</w:t>
            </w:r>
          </w:p>
        </w:tc>
        <w:tc>
          <w:tcPr>
            <w:tcW w:w="3384" w:type="dxa"/>
            <w:shd w:val="clear" w:color="auto" w:fill="F5F7FA"/>
          </w:tcPr>
          <w:p w14:paraId="2CF7D2B2" w14:textId="77777777" w:rsidR="00941CF4" w:rsidRDefault="00000000">
            <w:pPr>
              <w:spacing w:after="0"/>
            </w:pPr>
            <w:r>
              <w:rPr>
                <w:sz w:val="16"/>
              </w:rPr>
              <w:t>Inactive Members contribute 63.9% of total churn</w:t>
            </w:r>
          </w:p>
        </w:tc>
        <w:tc>
          <w:tcPr>
            <w:tcW w:w="3888" w:type="dxa"/>
            <w:shd w:val="clear" w:color="auto" w:fill="F5F7FA"/>
          </w:tcPr>
          <w:p w14:paraId="3A5ACEEE" w14:textId="77777777" w:rsidR="00941CF4" w:rsidRDefault="00000000">
            <w:pPr>
              <w:spacing w:after="0"/>
            </w:pPr>
            <w:r>
              <w:rPr>
                <w:sz w:val="16"/>
              </w:rPr>
              <w:t>Reactivation and engagement recovery should be first-priority campaigns.</w:t>
            </w:r>
          </w:p>
        </w:tc>
      </w:tr>
      <w:tr w:rsidR="00941CF4" w14:paraId="1CD83B66" w14:textId="77777777">
        <w:trPr>
          <w:jc w:val="center"/>
        </w:trPr>
        <w:tc>
          <w:tcPr>
            <w:tcW w:w="2952" w:type="dxa"/>
            <w:shd w:val="clear" w:color="auto" w:fill="FFFFFF"/>
          </w:tcPr>
          <w:p w14:paraId="3C89CF75" w14:textId="77777777" w:rsidR="00941CF4" w:rsidRDefault="00000000">
            <w:pPr>
              <w:spacing w:after="0"/>
            </w:pPr>
            <w:r>
              <w:rPr>
                <w:sz w:val="16"/>
              </w:rPr>
              <w:t>Does high balance guarantee loyalty?</w:t>
            </w:r>
          </w:p>
        </w:tc>
        <w:tc>
          <w:tcPr>
            <w:tcW w:w="3384" w:type="dxa"/>
            <w:shd w:val="clear" w:color="auto" w:fill="FFFFFF"/>
          </w:tcPr>
          <w:p w14:paraId="0DE881DD" w14:textId="77777777" w:rsidR="00941CF4" w:rsidRDefault="00000000">
            <w:pPr>
              <w:spacing w:after="0"/>
            </w:pPr>
            <w:r>
              <w:rPr>
                <w:sz w:val="16"/>
              </w:rPr>
              <w:t>49.51% high-value disengagement rate</w:t>
            </w:r>
          </w:p>
        </w:tc>
        <w:tc>
          <w:tcPr>
            <w:tcW w:w="3888" w:type="dxa"/>
            <w:shd w:val="clear" w:color="auto" w:fill="FFFFFF"/>
          </w:tcPr>
          <w:p w14:paraId="2BCAC444" w14:textId="77777777" w:rsidR="00941CF4" w:rsidRDefault="00000000">
            <w:pPr>
              <w:spacing w:after="0"/>
            </w:pPr>
            <w:r>
              <w:rPr>
                <w:sz w:val="16"/>
              </w:rPr>
              <w:t>Premium customers can still carry silent churn risk.</w:t>
            </w:r>
          </w:p>
        </w:tc>
      </w:tr>
      <w:tr w:rsidR="00941CF4" w14:paraId="3685F5D5" w14:textId="77777777">
        <w:trPr>
          <w:jc w:val="center"/>
        </w:trPr>
        <w:tc>
          <w:tcPr>
            <w:tcW w:w="2952" w:type="dxa"/>
            <w:shd w:val="clear" w:color="auto" w:fill="F5F7FA"/>
          </w:tcPr>
          <w:p w14:paraId="2E6B719A" w14:textId="77777777" w:rsidR="00941CF4" w:rsidRDefault="00000000">
            <w:pPr>
              <w:spacing w:after="0"/>
            </w:pPr>
            <w:r>
              <w:rPr>
                <w:sz w:val="16"/>
              </w:rPr>
              <w:t>Which product count performs best?</w:t>
            </w:r>
          </w:p>
        </w:tc>
        <w:tc>
          <w:tcPr>
            <w:tcW w:w="3384" w:type="dxa"/>
            <w:shd w:val="clear" w:color="auto" w:fill="F5F7FA"/>
          </w:tcPr>
          <w:p w14:paraId="6AF1E79A" w14:textId="77777777" w:rsidR="00941CF4" w:rsidRDefault="00000000">
            <w:pPr>
              <w:spacing w:after="0"/>
            </w:pPr>
            <w:r>
              <w:rPr>
                <w:sz w:val="16"/>
              </w:rPr>
              <w:t>2-product customers show 92.42% retention</w:t>
            </w:r>
          </w:p>
        </w:tc>
        <w:tc>
          <w:tcPr>
            <w:tcW w:w="3888" w:type="dxa"/>
            <w:shd w:val="clear" w:color="auto" w:fill="F5F7FA"/>
          </w:tcPr>
          <w:p w14:paraId="5D4EE3CC" w14:textId="77777777" w:rsidR="00941CF4" w:rsidRDefault="00000000">
            <w:pPr>
              <w:spacing w:after="0"/>
            </w:pPr>
            <w:r>
              <w:rPr>
                <w:sz w:val="16"/>
              </w:rPr>
              <w:t>Product bundling should target optimal relationship depth.</w:t>
            </w:r>
          </w:p>
        </w:tc>
      </w:tr>
      <w:tr w:rsidR="00941CF4" w14:paraId="28265D13" w14:textId="77777777">
        <w:trPr>
          <w:jc w:val="center"/>
        </w:trPr>
        <w:tc>
          <w:tcPr>
            <w:tcW w:w="2952" w:type="dxa"/>
            <w:shd w:val="clear" w:color="auto" w:fill="FFFFFF"/>
          </w:tcPr>
          <w:p w14:paraId="4C34B55C" w14:textId="77777777" w:rsidR="00941CF4" w:rsidRDefault="00000000">
            <w:pPr>
              <w:spacing w:after="0"/>
            </w:pPr>
            <w:r>
              <w:rPr>
                <w:sz w:val="16"/>
              </w:rPr>
              <w:t>Can scoring separate risk?</w:t>
            </w:r>
          </w:p>
        </w:tc>
        <w:tc>
          <w:tcPr>
            <w:tcW w:w="3384" w:type="dxa"/>
            <w:shd w:val="clear" w:color="auto" w:fill="FFFFFF"/>
          </w:tcPr>
          <w:p w14:paraId="1D1E611E" w14:textId="77777777" w:rsidR="00941CF4" w:rsidRDefault="00000000">
            <w:pPr>
              <w:spacing w:after="0"/>
            </w:pPr>
            <w:r>
              <w:rPr>
                <w:sz w:val="16"/>
              </w:rPr>
              <w:t>Critical tier churn 69.0%; Very Strong tier churn 0.0%</w:t>
            </w:r>
          </w:p>
        </w:tc>
        <w:tc>
          <w:tcPr>
            <w:tcW w:w="3888" w:type="dxa"/>
            <w:shd w:val="clear" w:color="auto" w:fill="FFFFFF"/>
          </w:tcPr>
          <w:p w14:paraId="31807572" w14:textId="77777777" w:rsidR="00941CF4" w:rsidRDefault="00000000">
            <w:pPr>
              <w:spacing w:after="0"/>
            </w:pPr>
            <w:r>
              <w:rPr>
                <w:sz w:val="16"/>
              </w:rPr>
              <w:t>Retention tiers can prioritize campaign urgency.</w:t>
            </w:r>
          </w:p>
        </w:tc>
      </w:tr>
    </w:tbl>
    <w:p w14:paraId="62CD6064" w14:textId="77777777" w:rsidR="00941CF4" w:rsidRDefault="00941CF4"/>
    <w:p w14:paraId="7BF7C8E5" w14:textId="77777777" w:rsidR="00941CF4" w:rsidRDefault="00000000">
      <w:pPr>
        <w:jc w:val="center"/>
      </w:pPr>
      <w:r>
        <w:rPr>
          <w:noProof/>
        </w:rPr>
        <w:drawing>
          <wp:inline distT="0" distB="0" distL="0" distR="0" wp14:anchorId="20CC1171" wp14:editId="4FC5E089">
            <wp:extent cx="6172200" cy="3310393"/>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png"/>
                    <pic:cNvPicPr/>
                  </pic:nvPicPr>
                  <pic:blipFill>
                    <a:blip r:embed="rId8"/>
                    <a:stretch>
                      <a:fillRect/>
                    </a:stretch>
                  </pic:blipFill>
                  <pic:spPr>
                    <a:xfrm>
                      <a:off x="0" y="0"/>
                      <a:ext cx="6172200" cy="3310393"/>
                    </a:xfrm>
                    <a:prstGeom prst="rect">
                      <a:avLst/>
                    </a:prstGeom>
                  </pic:spPr>
                </pic:pic>
              </a:graphicData>
            </a:graphic>
          </wp:inline>
        </w:drawing>
      </w:r>
    </w:p>
    <w:p w14:paraId="6BE300F6" w14:textId="77777777" w:rsidR="00941CF4" w:rsidRDefault="00000000">
      <w:pPr>
        <w:spacing w:before="40" w:after="80"/>
        <w:jc w:val="center"/>
      </w:pPr>
      <w:r>
        <w:rPr>
          <w:i/>
          <w:color w:val="596579"/>
          <w:sz w:val="17"/>
        </w:rPr>
        <w:t>Figure 1. Key Performance Indicator snapshot showing the five required retention strategy KPIs.</w:t>
      </w:r>
    </w:p>
    <w:tbl>
      <w:tblPr>
        <w:tblW w:w="0" w:type="auto"/>
        <w:jc w:val="center"/>
        <w:tblLook w:val="04A0" w:firstRow="1" w:lastRow="0" w:firstColumn="1" w:lastColumn="0" w:noHBand="0" w:noVBand="1"/>
      </w:tblPr>
      <w:tblGrid>
        <w:gridCol w:w="10656"/>
      </w:tblGrid>
      <w:tr w:rsidR="00941CF4" w14:paraId="5BD086FF"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F8FBFF"/>
          </w:tcPr>
          <w:p w14:paraId="7EA8BC4C" w14:textId="77777777" w:rsidR="00941CF4" w:rsidRDefault="00000000">
            <w:pPr>
              <w:spacing w:after="80"/>
            </w:pPr>
            <w:r>
              <w:rPr>
                <w:b/>
                <w:color w:val="001F3F"/>
                <w:sz w:val="21"/>
              </w:rPr>
              <w:lastRenderedPageBreak/>
              <w:t>Analyst interpretation</w:t>
            </w:r>
          </w:p>
          <w:p w14:paraId="2A4CB535" w14:textId="77777777" w:rsidR="00941CF4" w:rsidRDefault="00000000">
            <w:pPr>
              <w:spacing w:after="0"/>
            </w:pPr>
            <w:r>
              <w:rPr>
                <w:sz w:val="19"/>
              </w:rPr>
              <w:t>The KPI snapshot provides the executive baseline for the research paper: engagement retention, product depth, high-balance disengagement, card stickiness, and relationship strength all contribute to the overall retention strategy view.</w:t>
            </w:r>
          </w:p>
        </w:tc>
      </w:tr>
    </w:tbl>
    <w:p w14:paraId="69D7CF2F" w14:textId="77777777" w:rsidR="00941CF4" w:rsidRDefault="00941CF4"/>
    <w:tbl>
      <w:tblPr>
        <w:tblW w:w="0" w:type="auto"/>
        <w:jc w:val="center"/>
        <w:tblLook w:val="04A0" w:firstRow="1" w:lastRow="0" w:firstColumn="1" w:lastColumn="0" w:noHBand="0" w:noVBand="1"/>
      </w:tblPr>
      <w:tblGrid>
        <w:gridCol w:w="10656"/>
      </w:tblGrid>
      <w:tr w:rsidR="00941CF4" w14:paraId="0A3B2134"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EAF2FB"/>
          </w:tcPr>
          <w:p w14:paraId="17342328" w14:textId="77777777" w:rsidR="00941CF4" w:rsidRDefault="00000000">
            <w:pPr>
              <w:spacing w:after="80"/>
            </w:pPr>
            <w:r>
              <w:rPr>
                <w:b/>
                <w:color w:val="001F3F"/>
                <w:sz w:val="21"/>
              </w:rPr>
              <w:t>Executive takeaway</w:t>
            </w:r>
          </w:p>
          <w:p w14:paraId="46356A48" w14:textId="77777777" w:rsidR="00941CF4" w:rsidRDefault="00000000">
            <w:pPr>
              <w:spacing w:after="0"/>
            </w:pPr>
            <w:r>
              <w:rPr>
                <w:sz w:val="19"/>
              </w:rPr>
              <w:t>The bank should prioritize inactive-member reactivation, high-value disengagement recovery, optimal two-product bundling, and retention-tier based campaign prioritization. These actions directly align with the largest observed churn contributors and the strongest dashboard signals.</w:t>
            </w:r>
          </w:p>
        </w:tc>
      </w:tr>
    </w:tbl>
    <w:p w14:paraId="19758197" w14:textId="77777777" w:rsidR="00941CF4" w:rsidRDefault="00941CF4"/>
    <w:p w14:paraId="4BF92C16" w14:textId="77777777" w:rsidR="00941CF4" w:rsidRDefault="00000000">
      <w:pPr>
        <w:pStyle w:val="Heading2"/>
      </w:pPr>
      <w:r>
        <w:t>1.1 Executive Decision-Readiness Snapshot</w:t>
      </w:r>
    </w:p>
    <w:p w14:paraId="311D249B" w14:textId="77777777" w:rsidR="00941CF4" w:rsidRDefault="00000000">
      <w:pPr>
        <w:pStyle w:val="BodyText"/>
        <w:jc w:val="both"/>
      </w:pPr>
      <w:r>
        <w:t>The executive value of this project is not limited to identifying a churn rate. It converts churn evidence into a prioritized decision framework that separates broad customer retention from targeted retention action. Each dashboard module answers a specific leadership question and connects that answer to a practical action pathway.</w:t>
      </w:r>
    </w:p>
    <w:tbl>
      <w:tblPr>
        <w:tblW w:w="0" w:type="auto"/>
        <w:jc w:val="center"/>
        <w:tblLook w:val="04A0" w:firstRow="1" w:lastRow="0" w:firstColumn="1" w:lastColumn="0" w:noHBand="0" w:noVBand="1"/>
      </w:tblPr>
      <w:tblGrid>
        <w:gridCol w:w="2376"/>
        <w:gridCol w:w="3528"/>
        <w:gridCol w:w="4176"/>
      </w:tblGrid>
      <w:tr w:rsidR="00941CF4" w14:paraId="0418C140" w14:textId="77777777">
        <w:trPr>
          <w:tblHeader/>
          <w:jc w:val="center"/>
        </w:trPr>
        <w:tc>
          <w:tcPr>
            <w:tcW w:w="2376"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46121544" w14:textId="77777777" w:rsidR="00941CF4" w:rsidRDefault="00000000">
            <w:pPr>
              <w:spacing w:after="0"/>
            </w:pPr>
            <w:r>
              <w:rPr>
                <w:b/>
                <w:color w:val="FFFFFF"/>
                <w:sz w:val="17"/>
              </w:rPr>
              <w:t>Decision Lens</w:t>
            </w:r>
          </w:p>
        </w:tc>
        <w:tc>
          <w:tcPr>
            <w:tcW w:w="3528"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3EC6AC11" w14:textId="77777777" w:rsidR="00941CF4" w:rsidRDefault="00000000">
            <w:pPr>
              <w:spacing w:after="0"/>
            </w:pPr>
            <w:r>
              <w:rPr>
                <w:b/>
                <w:color w:val="FFFFFF"/>
                <w:sz w:val="17"/>
              </w:rPr>
              <w:t>Evidence Signal</w:t>
            </w:r>
          </w:p>
        </w:tc>
        <w:tc>
          <w:tcPr>
            <w:tcW w:w="4176"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66C3E443" w14:textId="77777777" w:rsidR="00941CF4" w:rsidRDefault="00000000">
            <w:pPr>
              <w:spacing w:after="0"/>
            </w:pPr>
            <w:r>
              <w:rPr>
                <w:b/>
                <w:color w:val="FFFFFF"/>
                <w:sz w:val="17"/>
              </w:rPr>
              <w:t>Recommended Executive Action</w:t>
            </w:r>
          </w:p>
        </w:tc>
      </w:tr>
      <w:tr w:rsidR="00941CF4" w14:paraId="7962F9E6" w14:textId="77777777">
        <w:trPr>
          <w:jc w:val="center"/>
        </w:trPr>
        <w:tc>
          <w:tcPr>
            <w:tcW w:w="2376" w:type="dxa"/>
            <w:shd w:val="clear" w:color="auto" w:fill="FFFFFF"/>
          </w:tcPr>
          <w:p w14:paraId="44BA5EBC" w14:textId="77777777" w:rsidR="00941CF4" w:rsidRDefault="00000000">
            <w:pPr>
              <w:spacing w:after="0"/>
            </w:pPr>
            <w:r>
              <w:rPr>
                <w:sz w:val="16"/>
              </w:rPr>
              <w:t>Engagement recovery</w:t>
            </w:r>
          </w:p>
        </w:tc>
        <w:tc>
          <w:tcPr>
            <w:tcW w:w="3528" w:type="dxa"/>
            <w:shd w:val="clear" w:color="auto" w:fill="FFFFFF"/>
          </w:tcPr>
          <w:p w14:paraId="3CD12BC3" w14:textId="77777777" w:rsidR="00941CF4" w:rsidRDefault="00000000">
            <w:pPr>
              <w:spacing w:after="0"/>
            </w:pPr>
            <w:r>
              <w:rPr>
                <w:sz w:val="16"/>
              </w:rPr>
              <w:t>Inactive Members contribute 63.9% of churn</w:t>
            </w:r>
          </w:p>
        </w:tc>
        <w:tc>
          <w:tcPr>
            <w:tcW w:w="4176" w:type="dxa"/>
            <w:shd w:val="clear" w:color="auto" w:fill="FFFFFF"/>
          </w:tcPr>
          <w:p w14:paraId="3F88AD09" w14:textId="77777777" w:rsidR="00941CF4" w:rsidRDefault="00000000">
            <w:pPr>
              <w:spacing w:after="0"/>
            </w:pPr>
            <w:r>
              <w:rPr>
                <w:sz w:val="16"/>
              </w:rPr>
              <w:t>Prioritize inactive-member reactivation campaigns before broad generic campaigns.</w:t>
            </w:r>
          </w:p>
        </w:tc>
      </w:tr>
      <w:tr w:rsidR="00941CF4" w14:paraId="692A70C8" w14:textId="77777777">
        <w:trPr>
          <w:jc w:val="center"/>
        </w:trPr>
        <w:tc>
          <w:tcPr>
            <w:tcW w:w="2376" w:type="dxa"/>
            <w:shd w:val="clear" w:color="auto" w:fill="F5F7FA"/>
          </w:tcPr>
          <w:p w14:paraId="6519DF45" w14:textId="77777777" w:rsidR="00941CF4" w:rsidRDefault="00000000">
            <w:pPr>
              <w:spacing w:after="0"/>
            </w:pPr>
            <w:r>
              <w:rPr>
                <w:sz w:val="16"/>
              </w:rPr>
              <w:t>Product strategy</w:t>
            </w:r>
          </w:p>
        </w:tc>
        <w:tc>
          <w:tcPr>
            <w:tcW w:w="3528" w:type="dxa"/>
            <w:shd w:val="clear" w:color="auto" w:fill="F5F7FA"/>
          </w:tcPr>
          <w:p w14:paraId="2C973781" w14:textId="77777777" w:rsidR="00941CF4" w:rsidRDefault="00000000">
            <w:pPr>
              <w:spacing w:after="0"/>
            </w:pPr>
            <w:r>
              <w:rPr>
                <w:sz w:val="16"/>
              </w:rPr>
              <w:t>Two-product customers show 92.42% retention</w:t>
            </w:r>
          </w:p>
        </w:tc>
        <w:tc>
          <w:tcPr>
            <w:tcW w:w="4176" w:type="dxa"/>
            <w:shd w:val="clear" w:color="auto" w:fill="F5F7FA"/>
          </w:tcPr>
          <w:p w14:paraId="403916BF" w14:textId="77777777" w:rsidR="00941CF4" w:rsidRDefault="00000000">
            <w:pPr>
              <w:spacing w:after="0"/>
            </w:pPr>
            <w:r>
              <w:rPr>
                <w:sz w:val="16"/>
              </w:rPr>
              <w:t>Promote need-aligned product bundles that move single-product customers toward optimal depth.</w:t>
            </w:r>
          </w:p>
        </w:tc>
      </w:tr>
      <w:tr w:rsidR="00941CF4" w14:paraId="4C2FA151" w14:textId="77777777">
        <w:trPr>
          <w:jc w:val="center"/>
        </w:trPr>
        <w:tc>
          <w:tcPr>
            <w:tcW w:w="2376" w:type="dxa"/>
            <w:shd w:val="clear" w:color="auto" w:fill="FFFFFF"/>
          </w:tcPr>
          <w:p w14:paraId="1C3588DE" w14:textId="77777777" w:rsidR="00941CF4" w:rsidRDefault="00000000">
            <w:pPr>
              <w:spacing w:after="0"/>
            </w:pPr>
            <w:r>
              <w:rPr>
                <w:sz w:val="16"/>
              </w:rPr>
              <w:t>Premium retention</w:t>
            </w:r>
          </w:p>
        </w:tc>
        <w:tc>
          <w:tcPr>
            <w:tcW w:w="3528" w:type="dxa"/>
            <w:shd w:val="clear" w:color="auto" w:fill="FFFFFF"/>
          </w:tcPr>
          <w:p w14:paraId="4CD068D1" w14:textId="77777777" w:rsidR="00941CF4" w:rsidRDefault="00000000">
            <w:pPr>
              <w:spacing w:after="0"/>
            </w:pPr>
            <w:r>
              <w:rPr>
                <w:sz w:val="16"/>
              </w:rPr>
              <w:t>2,154 high-value disengaged customers and 232,942,972 balance at risk</w:t>
            </w:r>
          </w:p>
        </w:tc>
        <w:tc>
          <w:tcPr>
            <w:tcW w:w="4176" w:type="dxa"/>
            <w:shd w:val="clear" w:color="auto" w:fill="FFFFFF"/>
          </w:tcPr>
          <w:p w14:paraId="7251EE4B" w14:textId="77777777" w:rsidR="00941CF4" w:rsidRDefault="00000000">
            <w:pPr>
              <w:spacing w:after="0"/>
            </w:pPr>
            <w:r>
              <w:rPr>
                <w:sz w:val="16"/>
              </w:rPr>
              <w:t>Assign high-value disengaged customers to relationship recovery and premium outreach workflows.</w:t>
            </w:r>
          </w:p>
        </w:tc>
      </w:tr>
      <w:tr w:rsidR="00941CF4" w14:paraId="3399CD7E" w14:textId="77777777">
        <w:trPr>
          <w:jc w:val="center"/>
        </w:trPr>
        <w:tc>
          <w:tcPr>
            <w:tcW w:w="2376" w:type="dxa"/>
            <w:shd w:val="clear" w:color="auto" w:fill="F5F7FA"/>
          </w:tcPr>
          <w:p w14:paraId="5A4C73D2" w14:textId="77777777" w:rsidR="00941CF4" w:rsidRDefault="00000000">
            <w:pPr>
              <w:spacing w:after="0"/>
            </w:pPr>
            <w:r>
              <w:rPr>
                <w:sz w:val="16"/>
              </w:rPr>
              <w:t>Scoring governance</w:t>
            </w:r>
          </w:p>
        </w:tc>
        <w:tc>
          <w:tcPr>
            <w:tcW w:w="3528" w:type="dxa"/>
            <w:shd w:val="clear" w:color="auto" w:fill="F5F7FA"/>
          </w:tcPr>
          <w:p w14:paraId="42041F7F" w14:textId="77777777" w:rsidR="00941CF4" w:rsidRDefault="00000000">
            <w:pPr>
              <w:spacing w:after="0"/>
            </w:pPr>
            <w:r>
              <w:rPr>
                <w:sz w:val="16"/>
              </w:rPr>
              <w:t>Critical Retention Risk churn is 69.0%</w:t>
            </w:r>
          </w:p>
        </w:tc>
        <w:tc>
          <w:tcPr>
            <w:tcW w:w="4176" w:type="dxa"/>
            <w:shd w:val="clear" w:color="auto" w:fill="F5F7FA"/>
          </w:tcPr>
          <w:p w14:paraId="33392DAB" w14:textId="77777777" w:rsidR="00941CF4" w:rsidRDefault="00000000">
            <w:pPr>
              <w:spacing w:after="0"/>
            </w:pPr>
            <w:r>
              <w:rPr>
                <w:sz w:val="16"/>
              </w:rPr>
              <w:t>Use retention strength tiers to sequence campaign urgency and customer-success actions.</w:t>
            </w:r>
          </w:p>
        </w:tc>
      </w:tr>
      <w:tr w:rsidR="00941CF4" w14:paraId="2AAD1999" w14:textId="77777777">
        <w:trPr>
          <w:jc w:val="center"/>
        </w:trPr>
        <w:tc>
          <w:tcPr>
            <w:tcW w:w="2376" w:type="dxa"/>
            <w:shd w:val="clear" w:color="auto" w:fill="FFFFFF"/>
          </w:tcPr>
          <w:p w14:paraId="2E6D227B" w14:textId="77777777" w:rsidR="00941CF4" w:rsidRDefault="00000000">
            <w:pPr>
              <w:spacing w:after="0"/>
            </w:pPr>
            <w:r>
              <w:rPr>
                <w:sz w:val="16"/>
              </w:rPr>
              <w:t>Risk interpretation</w:t>
            </w:r>
          </w:p>
        </w:tc>
        <w:tc>
          <w:tcPr>
            <w:tcW w:w="3528" w:type="dxa"/>
            <w:shd w:val="clear" w:color="auto" w:fill="FFFFFF"/>
          </w:tcPr>
          <w:p w14:paraId="2BD09C01" w14:textId="77777777" w:rsidR="00941CF4" w:rsidRDefault="00000000">
            <w:pPr>
              <w:spacing w:after="0"/>
            </w:pPr>
            <w:r>
              <w:rPr>
                <w:sz w:val="16"/>
              </w:rPr>
              <w:t>4-product churn reaches 100% but likely involves smaller segment size</w:t>
            </w:r>
          </w:p>
        </w:tc>
        <w:tc>
          <w:tcPr>
            <w:tcW w:w="4176" w:type="dxa"/>
            <w:shd w:val="clear" w:color="auto" w:fill="FFFFFF"/>
          </w:tcPr>
          <w:p w14:paraId="7CFDAB99" w14:textId="77777777" w:rsidR="00941CF4" w:rsidRDefault="00000000">
            <w:pPr>
              <w:spacing w:after="0"/>
            </w:pPr>
            <w:r>
              <w:rPr>
                <w:sz w:val="16"/>
              </w:rPr>
              <w:t>Review customer count and product-fit context before treating extreme rates as broad policy.</w:t>
            </w:r>
          </w:p>
        </w:tc>
      </w:tr>
    </w:tbl>
    <w:p w14:paraId="4DBBD6BA" w14:textId="77777777" w:rsidR="00941CF4" w:rsidRDefault="00941CF4"/>
    <w:tbl>
      <w:tblPr>
        <w:tblW w:w="0" w:type="auto"/>
        <w:jc w:val="center"/>
        <w:tblLook w:val="04A0" w:firstRow="1" w:lastRow="0" w:firstColumn="1" w:lastColumn="0" w:noHBand="0" w:noVBand="1"/>
      </w:tblPr>
      <w:tblGrid>
        <w:gridCol w:w="10656"/>
      </w:tblGrid>
      <w:tr w:rsidR="00941CF4" w14:paraId="61691A4C"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EAF2FB"/>
          </w:tcPr>
          <w:p w14:paraId="3A2976BC" w14:textId="77777777" w:rsidR="00941CF4" w:rsidRDefault="00000000">
            <w:pPr>
              <w:spacing w:after="80"/>
            </w:pPr>
            <w:r>
              <w:rPr>
                <w:b/>
                <w:color w:val="001F3F"/>
                <w:sz w:val="21"/>
              </w:rPr>
              <w:t>Research contribution snapshot</w:t>
            </w:r>
          </w:p>
          <w:p w14:paraId="63BCE9FA" w14:textId="77777777" w:rsidR="00941CF4" w:rsidRDefault="00000000">
            <w:pPr>
              <w:spacing w:after="0"/>
            </w:pPr>
            <w:r>
              <w:rPr>
                <w:sz w:val="19"/>
              </w:rPr>
              <w:t>The research contribution is a complete applied analytics framework that joins engagement status, product utilization, premium value exposure, and retention strength scoring into one dashboard-supported retention strategy. This makes the project suitable for portfolio, research repository, and professional analytics submission use.</w:t>
            </w:r>
          </w:p>
        </w:tc>
      </w:tr>
    </w:tbl>
    <w:p w14:paraId="1822C6D4" w14:textId="77777777" w:rsidR="00941CF4" w:rsidRDefault="00000000">
      <w:pPr>
        <w:pStyle w:val="Heading2"/>
        <w:spacing w:after="80"/>
      </w:pPr>
      <w:r>
        <w:t>1.2 Retention Strategy Action Hierarchy</w:t>
      </w:r>
    </w:p>
    <w:p w14:paraId="0932781A" w14:textId="77777777" w:rsidR="00941CF4" w:rsidRDefault="00000000">
      <w:pPr>
        <w:pStyle w:val="BodyText"/>
        <w:spacing w:after="80" w:line="252" w:lineRule="auto"/>
      </w:pPr>
      <w:r>
        <w:rPr>
          <w:rFonts w:ascii="Aptos" w:hAnsi="Aptos"/>
          <w:sz w:val="19"/>
        </w:rPr>
        <w:t>The executive evidence is converted into a practical action hierarchy so that leadership can move from dashboard reading to campaign sequencing. The order below prioritizes actions by observed churn contribution, financial exposure, and scoring severity.</w:t>
      </w:r>
    </w:p>
    <w:tbl>
      <w:tblPr>
        <w:tblStyle w:val="TableGrid"/>
        <w:tblW w:w="0" w:type="auto"/>
        <w:jc w:val="center"/>
        <w:tblLook w:val="04A0" w:firstRow="1" w:lastRow="0" w:firstColumn="1" w:lastColumn="0" w:noHBand="0" w:noVBand="1"/>
      </w:tblPr>
      <w:tblGrid>
        <w:gridCol w:w="2664"/>
        <w:gridCol w:w="2664"/>
        <w:gridCol w:w="2664"/>
        <w:gridCol w:w="2664"/>
      </w:tblGrid>
      <w:tr w:rsidR="00941CF4" w14:paraId="01CFAA8B" w14:textId="77777777">
        <w:trPr>
          <w:tblHeader/>
          <w:jc w:val="center"/>
        </w:trPr>
        <w:tc>
          <w:tcPr>
            <w:tcW w:w="2664" w:type="dxa"/>
            <w:shd w:val="clear" w:color="auto" w:fill="003A5D"/>
            <w:vAlign w:val="center"/>
          </w:tcPr>
          <w:p w14:paraId="7036430D" w14:textId="77777777" w:rsidR="00941CF4" w:rsidRDefault="00000000">
            <w:r>
              <w:rPr>
                <w:rFonts w:ascii="Aptos" w:hAnsi="Aptos"/>
                <w:b/>
                <w:color w:val="FFFFFF"/>
                <w:sz w:val="16"/>
              </w:rPr>
              <w:t>Action Layer</w:t>
            </w:r>
          </w:p>
        </w:tc>
        <w:tc>
          <w:tcPr>
            <w:tcW w:w="2664" w:type="dxa"/>
            <w:shd w:val="clear" w:color="auto" w:fill="003A5D"/>
            <w:vAlign w:val="center"/>
          </w:tcPr>
          <w:p w14:paraId="6CB7401B" w14:textId="77777777" w:rsidR="00941CF4" w:rsidRDefault="00000000">
            <w:r>
              <w:rPr>
                <w:rFonts w:ascii="Aptos" w:hAnsi="Aptos"/>
                <w:b/>
                <w:color w:val="FFFFFF"/>
                <w:sz w:val="16"/>
              </w:rPr>
              <w:t>Primary Evidence</w:t>
            </w:r>
          </w:p>
        </w:tc>
        <w:tc>
          <w:tcPr>
            <w:tcW w:w="2664" w:type="dxa"/>
            <w:shd w:val="clear" w:color="auto" w:fill="003A5D"/>
            <w:vAlign w:val="center"/>
          </w:tcPr>
          <w:p w14:paraId="4D234BB6" w14:textId="77777777" w:rsidR="00941CF4" w:rsidRDefault="00000000">
            <w:r>
              <w:rPr>
                <w:rFonts w:ascii="Aptos" w:hAnsi="Aptos"/>
                <w:b/>
                <w:color w:val="FFFFFF"/>
                <w:sz w:val="16"/>
              </w:rPr>
              <w:t>Why It Matters</w:t>
            </w:r>
          </w:p>
        </w:tc>
        <w:tc>
          <w:tcPr>
            <w:tcW w:w="2664" w:type="dxa"/>
            <w:shd w:val="clear" w:color="auto" w:fill="003A5D"/>
            <w:vAlign w:val="center"/>
          </w:tcPr>
          <w:p w14:paraId="5E1C615A" w14:textId="77777777" w:rsidR="00941CF4" w:rsidRDefault="00000000">
            <w:r>
              <w:rPr>
                <w:rFonts w:ascii="Aptos" w:hAnsi="Aptos"/>
                <w:b/>
                <w:color w:val="FFFFFF"/>
                <w:sz w:val="16"/>
              </w:rPr>
              <w:t>Recommended Use</w:t>
            </w:r>
          </w:p>
        </w:tc>
      </w:tr>
      <w:tr w:rsidR="00941CF4" w14:paraId="1C116DEC" w14:textId="77777777">
        <w:trPr>
          <w:jc w:val="center"/>
        </w:trPr>
        <w:tc>
          <w:tcPr>
            <w:tcW w:w="2664" w:type="dxa"/>
            <w:shd w:val="clear" w:color="auto" w:fill="FFFFFF"/>
            <w:vAlign w:val="center"/>
          </w:tcPr>
          <w:p w14:paraId="16CE38BE" w14:textId="77777777" w:rsidR="00941CF4" w:rsidRDefault="00000000">
            <w:r>
              <w:rPr>
                <w:rFonts w:ascii="Aptos" w:hAnsi="Aptos"/>
                <w:sz w:val="16"/>
              </w:rPr>
              <w:t>1. Reactivate inactive members</w:t>
            </w:r>
          </w:p>
        </w:tc>
        <w:tc>
          <w:tcPr>
            <w:tcW w:w="2664" w:type="dxa"/>
            <w:shd w:val="clear" w:color="auto" w:fill="FFFFFF"/>
            <w:vAlign w:val="center"/>
          </w:tcPr>
          <w:p w14:paraId="006384E1" w14:textId="77777777" w:rsidR="00941CF4" w:rsidRDefault="00000000">
            <w:r>
              <w:rPr>
                <w:rFonts w:ascii="Aptos" w:hAnsi="Aptos"/>
                <w:sz w:val="16"/>
              </w:rPr>
              <w:t>Inactive Members contribute 63.9% of churn</w:t>
            </w:r>
          </w:p>
        </w:tc>
        <w:tc>
          <w:tcPr>
            <w:tcW w:w="2664" w:type="dxa"/>
            <w:shd w:val="clear" w:color="auto" w:fill="FFFFFF"/>
            <w:vAlign w:val="center"/>
          </w:tcPr>
          <w:p w14:paraId="04ED6A88" w14:textId="77777777" w:rsidR="00941CF4" w:rsidRDefault="00000000">
            <w:r>
              <w:rPr>
                <w:rFonts w:ascii="Aptos" w:hAnsi="Aptos"/>
                <w:sz w:val="16"/>
              </w:rPr>
              <w:t>This is the largest churn-contribution signal in the dashboard.</w:t>
            </w:r>
          </w:p>
        </w:tc>
        <w:tc>
          <w:tcPr>
            <w:tcW w:w="2664" w:type="dxa"/>
            <w:shd w:val="clear" w:color="auto" w:fill="FFFFFF"/>
            <w:vAlign w:val="center"/>
          </w:tcPr>
          <w:p w14:paraId="231C9F21" w14:textId="77777777" w:rsidR="00941CF4" w:rsidRDefault="00000000">
            <w:r>
              <w:rPr>
                <w:rFonts w:ascii="Aptos" w:hAnsi="Aptos"/>
                <w:sz w:val="16"/>
              </w:rPr>
              <w:t>Start with targeted reactivation journeys, reminders, service outreach, and digital engagement nudges.</w:t>
            </w:r>
          </w:p>
        </w:tc>
      </w:tr>
      <w:tr w:rsidR="00941CF4" w14:paraId="08621E49" w14:textId="77777777">
        <w:trPr>
          <w:jc w:val="center"/>
        </w:trPr>
        <w:tc>
          <w:tcPr>
            <w:tcW w:w="2664" w:type="dxa"/>
            <w:shd w:val="clear" w:color="auto" w:fill="F4F7FB"/>
            <w:vAlign w:val="center"/>
          </w:tcPr>
          <w:p w14:paraId="63B2BB7B" w14:textId="77777777" w:rsidR="00941CF4" w:rsidRDefault="00000000">
            <w:r>
              <w:rPr>
                <w:rFonts w:ascii="Aptos" w:hAnsi="Aptos"/>
                <w:sz w:val="16"/>
              </w:rPr>
              <w:t>2. Recover high-value disengaged customers</w:t>
            </w:r>
          </w:p>
        </w:tc>
        <w:tc>
          <w:tcPr>
            <w:tcW w:w="2664" w:type="dxa"/>
            <w:shd w:val="clear" w:color="auto" w:fill="F4F7FB"/>
            <w:vAlign w:val="center"/>
          </w:tcPr>
          <w:p w14:paraId="5ACF3D7A" w14:textId="77777777" w:rsidR="00941CF4" w:rsidRDefault="00000000">
            <w:r>
              <w:rPr>
                <w:rFonts w:ascii="Aptos" w:hAnsi="Aptos"/>
                <w:sz w:val="16"/>
              </w:rPr>
              <w:t>2,154 high-value disengaged customers; 232,942,972 balance at risk</w:t>
            </w:r>
          </w:p>
        </w:tc>
        <w:tc>
          <w:tcPr>
            <w:tcW w:w="2664" w:type="dxa"/>
            <w:shd w:val="clear" w:color="auto" w:fill="F4F7FB"/>
            <w:vAlign w:val="center"/>
          </w:tcPr>
          <w:p w14:paraId="5B76671B" w14:textId="77777777" w:rsidR="00941CF4" w:rsidRDefault="00000000">
            <w:r>
              <w:rPr>
                <w:rFonts w:ascii="Aptos" w:hAnsi="Aptos"/>
                <w:sz w:val="16"/>
              </w:rPr>
              <w:t>Premium customers can look financially valuable while remaining behaviorally weak.</w:t>
            </w:r>
          </w:p>
        </w:tc>
        <w:tc>
          <w:tcPr>
            <w:tcW w:w="2664" w:type="dxa"/>
            <w:shd w:val="clear" w:color="auto" w:fill="F4F7FB"/>
            <w:vAlign w:val="center"/>
          </w:tcPr>
          <w:p w14:paraId="685E6553" w14:textId="77777777" w:rsidR="00941CF4" w:rsidRDefault="00000000">
            <w:r>
              <w:rPr>
                <w:rFonts w:ascii="Aptos" w:hAnsi="Aptos"/>
                <w:sz w:val="16"/>
              </w:rPr>
              <w:t>Prioritize relationship-manager outreach, premium retention offers, and service-quality review.</w:t>
            </w:r>
          </w:p>
        </w:tc>
      </w:tr>
      <w:tr w:rsidR="00941CF4" w14:paraId="5F2CF316" w14:textId="77777777">
        <w:trPr>
          <w:jc w:val="center"/>
        </w:trPr>
        <w:tc>
          <w:tcPr>
            <w:tcW w:w="2664" w:type="dxa"/>
            <w:shd w:val="clear" w:color="auto" w:fill="FFFFFF"/>
            <w:vAlign w:val="center"/>
          </w:tcPr>
          <w:p w14:paraId="37309709" w14:textId="77777777" w:rsidR="00941CF4" w:rsidRDefault="00000000">
            <w:r>
              <w:rPr>
                <w:rFonts w:ascii="Aptos" w:hAnsi="Aptos"/>
                <w:sz w:val="16"/>
              </w:rPr>
              <w:t>3. Optimize product depth</w:t>
            </w:r>
          </w:p>
        </w:tc>
        <w:tc>
          <w:tcPr>
            <w:tcW w:w="2664" w:type="dxa"/>
            <w:shd w:val="clear" w:color="auto" w:fill="FFFFFF"/>
            <w:vAlign w:val="center"/>
          </w:tcPr>
          <w:p w14:paraId="5E1EF6CE" w14:textId="77777777" w:rsidR="00941CF4" w:rsidRDefault="00000000">
            <w:r>
              <w:rPr>
                <w:rFonts w:ascii="Aptos" w:hAnsi="Aptos"/>
                <w:sz w:val="16"/>
              </w:rPr>
              <w:t>2-product customers show 92.42% retention</w:t>
            </w:r>
          </w:p>
        </w:tc>
        <w:tc>
          <w:tcPr>
            <w:tcW w:w="2664" w:type="dxa"/>
            <w:shd w:val="clear" w:color="auto" w:fill="FFFFFF"/>
            <w:vAlign w:val="center"/>
          </w:tcPr>
          <w:p w14:paraId="64EF2210" w14:textId="77777777" w:rsidR="00941CF4" w:rsidRDefault="00000000">
            <w:r>
              <w:rPr>
                <w:rFonts w:ascii="Aptos" w:hAnsi="Aptos"/>
                <w:sz w:val="16"/>
              </w:rPr>
              <w:t>Product depth has an optimal zone rather than a simple more-is-better pattern.</w:t>
            </w:r>
          </w:p>
        </w:tc>
        <w:tc>
          <w:tcPr>
            <w:tcW w:w="2664" w:type="dxa"/>
            <w:shd w:val="clear" w:color="auto" w:fill="FFFFFF"/>
            <w:vAlign w:val="center"/>
          </w:tcPr>
          <w:p w14:paraId="44FAA8DD" w14:textId="77777777" w:rsidR="00941CF4" w:rsidRDefault="00000000">
            <w:r>
              <w:rPr>
                <w:rFonts w:ascii="Aptos" w:hAnsi="Aptos"/>
                <w:sz w:val="16"/>
              </w:rPr>
              <w:t>Move suitable single-product customers toward need-aligned second products.</w:t>
            </w:r>
          </w:p>
        </w:tc>
      </w:tr>
      <w:tr w:rsidR="00941CF4" w14:paraId="065B18EA" w14:textId="77777777">
        <w:trPr>
          <w:jc w:val="center"/>
        </w:trPr>
        <w:tc>
          <w:tcPr>
            <w:tcW w:w="2664" w:type="dxa"/>
            <w:shd w:val="clear" w:color="auto" w:fill="F4F7FB"/>
            <w:vAlign w:val="center"/>
          </w:tcPr>
          <w:p w14:paraId="5A7673CC" w14:textId="77777777" w:rsidR="00941CF4" w:rsidRDefault="00000000">
            <w:r>
              <w:rPr>
                <w:rFonts w:ascii="Aptos" w:hAnsi="Aptos"/>
                <w:sz w:val="16"/>
              </w:rPr>
              <w:t>4. Use retention tiers for campaign order</w:t>
            </w:r>
          </w:p>
        </w:tc>
        <w:tc>
          <w:tcPr>
            <w:tcW w:w="2664" w:type="dxa"/>
            <w:shd w:val="clear" w:color="auto" w:fill="F4F7FB"/>
            <w:vAlign w:val="center"/>
          </w:tcPr>
          <w:p w14:paraId="0D454D07" w14:textId="77777777" w:rsidR="00941CF4" w:rsidRDefault="00000000">
            <w:r>
              <w:rPr>
                <w:rFonts w:ascii="Aptos" w:hAnsi="Aptos"/>
                <w:sz w:val="16"/>
              </w:rPr>
              <w:t>Critical Retention Risk churn is 69.0%</w:t>
            </w:r>
          </w:p>
        </w:tc>
        <w:tc>
          <w:tcPr>
            <w:tcW w:w="2664" w:type="dxa"/>
            <w:shd w:val="clear" w:color="auto" w:fill="F4F7FB"/>
            <w:vAlign w:val="center"/>
          </w:tcPr>
          <w:p w14:paraId="36A8B8F2" w14:textId="77777777" w:rsidR="00941CF4" w:rsidRDefault="00000000">
            <w:r>
              <w:rPr>
                <w:rFonts w:ascii="Aptos" w:hAnsi="Aptos"/>
                <w:sz w:val="16"/>
              </w:rPr>
              <w:t>Retention strength scoring separates urgent risk from sticky customers.</w:t>
            </w:r>
          </w:p>
        </w:tc>
        <w:tc>
          <w:tcPr>
            <w:tcW w:w="2664" w:type="dxa"/>
            <w:shd w:val="clear" w:color="auto" w:fill="F4F7FB"/>
            <w:vAlign w:val="center"/>
          </w:tcPr>
          <w:p w14:paraId="01CBE69F" w14:textId="77777777" w:rsidR="00941CF4" w:rsidRDefault="00000000">
            <w:r>
              <w:rPr>
                <w:rFonts w:ascii="Aptos" w:hAnsi="Aptos"/>
                <w:sz w:val="16"/>
              </w:rPr>
              <w:t>Sequence campaigns by tier, with critical and weak tiers handled first.</w:t>
            </w:r>
          </w:p>
        </w:tc>
      </w:tr>
    </w:tbl>
    <w:p w14:paraId="6FD7707F" w14:textId="77777777" w:rsidR="00941CF4" w:rsidRDefault="00941CF4"/>
    <w:p w14:paraId="37039E68" w14:textId="77777777" w:rsidR="00941CF4" w:rsidRDefault="00000000">
      <w:pPr>
        <w:pStyle w:val="Heading1"/>
      </w:pPr>
      <w:r>
        <w:t>2. Table of Contents</w:t>
      </w:r>
    </w:p>
    <w:tbl>
      <w:tblPr>
        <w:tblW w:w="0" w:type="auto"/>
        <w:jc w:val="center"/>
        <w:tblLook w:val="04A0" w:firstRow="1" w:lastRow="0" w:firstColumn="1" w:lastColumn="0" w:noHBand="0" w:noVBand="1"/>
      </w:tblPr>
      <w:tblGrid>
        <w:gridCol w:w="1008"/>
        <w:gridCol w:w="3888"/>
        <w:gridCol w:w="5184"/>
      </w:tblGrid>
      <w:tr w:rsidR="00941CF4" w14:paraId="23C15043" w14:textId="77777777">
        <w:trPr>
          <w:tblHeader/>
          <w:jc w:val="center"/>
        </w:trPr>
        <w:tc>
          <w:tcPr>
            <w:tcW w:w="1008"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20E0C417" w14:textId="77777777" w:rsidR="00941CF4" w:rsidRDefault="00000000">
            <w:pPr>
              <w:spacing w:after="0"/>
            </w:pPr>
            <w:r>
              <w:rPr>
                <w:b/>
                <w:color w:val="FFFFFF"/>
                <w:sz w:val="17"/>
              </w:rPr>
              <w:t>Section</w:t>
            </w:r>
          </w:p>
        </w:tc>
        <w:tc>
          <w:tcPr>
            <w:tcW w:w="3888"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69CF64B2" w14:textId="77777777" w:rsidR="00941CF4" w:rsidRDefault="00000000">
            <w:pPr>
              <w:spacing w:after="0"/>
            </w:pPr>
            <w:r>
              <w:rPr>
                <w:b/>
                <w:color w:val="FFFFFF"/>
                <w:sz w:val="17"/>
              </w:rPr>
              <w:t>Title</w:t>
            </w:r>
          </w:p>
        </w:tc>
        <w:tc>
          <w:tcPr>
            <w:tcW w:w="5184"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5456DF4C" w14:textId="77777777" w:rsidR="00941CF4" w:rsidRDefault="00000000">
            <w:pPr>
              <w:spacing w:after="0"/>
            </w:pPr>
            <w:r>
              <w:rPr>
                <w:b/>
                <w:color w:val="FFFFFF"/>
                <w:sz w:val="17"/>
              </w:rPr>
              <w:t>Purpose</w:t>
            </w:r>
          </w:p>
        </w:tc>
      </w:tr>
      <w:tr w:rsidR="00941CF4" w14:paraId="1879B472" w14:textId="77777777">
        <w:trPr>
          <w:jc w:val="center"/>
        </w:trPr>
        <w:tc>
          <w:tcPr>
            <w:tcW w:w="1008" w:type="dxa"/>
            <w:shd w:val="clear" w:color="auto" w:fill="FFFFFF"/>
          </w:tcPr>
          <w:p w14:paraId="4A30D229" w14:textId="77777777" w:rsidR="00941CF4" w:rsidRDefault="00000000">
            <w:pPr>
              <w:spacing w:after="0"/>
            </w:pPr>
            <w:r>
              <w:rPr>
                <w:sz w:val="16"/>
              </w:rPr>
              <w:t>1</w:t>
            </w:r>
          </w:p>
        </w:tc>
        <w:tc>
          <w:tcPr>
            <w:tcW w:w="3888" w:type="dxa"/>
            <w:shd w:val="clear" w:color="auto" w:fill="FFFFFF"/>
          </w:tcPr>
          <w:p w14:paraId="4DFB5519" w14:textId="77777777" w:rsidR="00941CF4" w:rsidRDefault="00000000">
            <w:pPr>
              <w:spacing w:after="0"/>
            </w:pPr>
            <w:r>
              <w:rPr>
                <w:sz w:val="16"/>
              </w:rPr>
              <w:t>Executive Summary / Abstract</w:t>
            </w:r>
          </w:p>
        </w:tc>
        <w:tc>
          <w:tcPr>
            <w:tcW w:w="5184" w:type="dxa"/>
            <w:shd w:val="clear" w:color="auto" w:fill="FFFFFF"/>
          </w:tcPr>
          <w:p w14:paraId="3DFC70A1" w14:textId="77777777" w:rsidR="00941CF4" w:rsidRDefault="00000000">
            <w:pPr>
              <w:spacing w:after="0"/>
            </w:pPr>
            <w:r>
              <w:rPr>
                <w:sz w:val="16"/>
              </w:rPr>
              <w:t>C-level summary of evidence, findings, and recommendations</w:t>
            </w:r>
          </w:p>
        </w:tc>
      </w:tr>
      <w:tr w:rsidR="00941CF4" w14:paraId="6281BC17" w14:textId="77777777">
        <w:trPr>
          <w:jc w:val="center"/>
        </w:trPr>
        <w:tc>
          <w:tcPr>
            <w:tcW w:w="1008" w:type="dxa"/>
            <w:shd w:val="clear" w:color="auto" w:fill="F5F7FA"/>
          </w:tcPr>
          <w:p w14:paraId="100C38BB" w14:textId="77777777" w:rsidR="00941CF4" w:rsidRDefault="00000000">
            <w:pPr>
              <w:spacing w:after="0"/>
            </w:pPr>
            <w:r>
              <w:rPr>
                <w:sz w:val="16"/>
              </w:rPr>
              <w:lastRenderedPageBreak/>
              <w:t>2</w:t>
            </w:r>
          </w:p>
        </w:tc>
        <w:tc>
          <w:tcPr>
            <w:tcW w:w="3888" w:type="dxa"/>
            <w:shd w:val="clear" w:color="auto" w:fill="F5F7FA"/>
          </w:tcPr>
          <w:p w14:paraId="3FE92411" w14:textId="77777777" w:rsidR="00941CF4" w:rsidRDefault="00000000">
            <w:pPr>
              <w:spacing w:after="0"/>
            </w:pPr>
            <w:r>
              <w:rPr>
                <w:sz w:val="16"/>
              </w:rPr>
              <w:t>Table of Contents</w:t>
            </w:r>
          </w:p>
        </w:tc>
        <w:tc>
          <w:tcPr>
            <w:tcW w:w="5184" w:type="dxa"/>
            <w:shd w:val="clear" w:color="auto" w:fill="F5F7FA"/>
          </w:tcPr>
          <w:p w14:paraId="6E197A9D" w14:textId="77777777" w:rsidR="00941CF4" w:rsidRDefault="00000000">
            <w:pPr>
              <w:spacing w:after="0"/>
            </w:pPr>
            <w:r>
              <w:rPr>
                <w:sz w:val="16"/>
              </w:rPr>
              <w:t>Document navigation</w:t>
            </w:r>
          </w:p>
        </w:tc>
      </w:tr>
      <w:tr w:rsidR="00941CF4" w14:paraId="3D0F925E" w14:textId="77777777">
        <w:trPr>
          <w:jc w:val="center"/>
        </w:trPr>
        <w:tc>
          <w:tcPr>
            <w:tcW w:w="1008" w:type="dxa"/>
            <w:shd w:val="clear" w:color="auto" w:fill="FFFFFF"/>
          </w:tcPr>
          <w:p w14:paraId="26199D4B" w14:textId="77777777" w:rsidR="00941CF4" w:rsidRDefault="00000000">
            <w:pPr>
              <w:spacing w:after="0"/>
            </w:pPr>
            <w:r>
              <w:rPr>
                <w:sz w:val="16"/>
              </w:rPr>
              <w:t>3</w:t>
            </w:r>
          </w:p>
        </w:tc>
        <w:tc>
          <w:tcPr>
            <w:tcW w:w="3888" w:type="dxa"/>
            <w:shd w:val="clear" w:color="auto" w:fill="FFFFFF"/>
          </w:tcPr>
          <w:p w14:paraId="3FB3FF0B" w14:textId="77777777" w:rsidR="00941CF4" w:rsidRDefault="00000000">
            <w:pPr>
              <w:spacing w:after="0"/>
            </w:pPr>
            <w:r>
              <w:rPr>
                <w:sz w:val="16"/>
              </w:rPr>
              <w:t>Introduction</w:t>
            </w:r>
          </w:p>
        </w:tc>
        <w:tc>
          <w:tcPr>
            <w:tcW w:w="5184" w:type="dxa"/>
            <w:shd w:val="clear" w:color="auto" w:fill="FFFFFF"/>
          </w:tcPr>
          <w:p w14:paraId="774C16B2" w14:textId="77777777" w:rsidR="00941CF4" w:rsidRDefault="00000000">
            <w:pPr>
              <w:spacing w:after="0"/>
            </w:pPr>
            <w:r>
              <w:rPr>
                <w:sz w:val="16"/>
              </w:rPr>
              <w:t>Research motivation and banking retention context</w:t>
            </w:r>
          </w:p>
        </w:tc>
      </w:tr>
      <w:tr w:rsidR="00941CF4" w14:paraId="6B2B0647" w14:textId="77777777">
        <w:trPr>
          <w:jc w:val="center"/>
        </w:trPr>
        <w:tc>
          <w:tcPr>
            <w:tcW w:w="1008" w:type="dxa"/>
            <w:shd w:val="clear" w:color="auto" w:fill="F5F7FA"/>
          </w:tcPr>
          <w:p w14:paraId="196EE29D" w14:textId="77777777" w:rsidR="00941CF4" w:rsidRDefault="00000000">
            <w:pPr>
              <w:spacing w:after="0"/>
            </w:pPr>
            <w:r>
              <w:rPr>
                <w:sz w:val="16"/>
              </w:rPr>
              <w:t>4</w:t>
            </w:r>
          </w:p>
        </w:tc>
        <w:tc>
          <w:tcPr>
            <w:tcW w:w="3888" w:type="dxa"/>
            <w:shd w:val="clear" w:color="auto" w:fill="F5F7FA"/>
          </w:tcPr>
          <w:p w14:paraId="4DF858EE" w14:textId="77777777" w:rsidR="00941CF4" w:rsidRDefault="00000000">
            <w:pPr>
              <w:spacing w:after="0"/>
            </w:pPr>
            <w:r>
              <w:rPr>
                <w:sz w:val="16"/>
              </w:rPr>
              <w:t>Background and Context</w:t>
            </w:r>
          </w:p>
        </w:tc>
        <w:tc>
          <w:tcPr>
            <w:tcW w:w="5184" w:type="dxa"/>
            <w:shd w:val="clear" w:color="auto" w:fill="F5F7FA"/>
          </w:tcPr>
          <w:p w14:paraId="4B788FA2" w14:textId="77777777" w:rsidR="00941CF4" w:rsidRDefault="00000000">
            <w:pPr>
              <w:spacing w:after="0"/>
            </w:pPr>
            <w:r>
              <w:rPr>
                <w:sz w:val="16"/>
              </w:rPr>
              <w:t>Customer engagement, product adoption, and retention rationale</w:t>
            </w:r>
          </w:p>
        </w:tc>
      </w:tr>
      <w:tr w:rsidR="00941CF4" w14:paraId="25DE4BEA" w14:textId="77777777">
        <w:trPr>
          <w:jc w:val="center"/>
        </w:trPr>
        <w:tc>
          <w:tcPr>
            <w:tcW w:w="1008" w:type="dxa"/>
            <w:shd w:val="clear" w:color="auto" w:fill="FFFFFF"/>
          </w:tcPr>
          <w:p w14:paraId="6C9CB61F" w14:textId="77777777" w:rsidR="00941CF4" w:rsidRDefault="00000000">
            <w:pPr>
              <w:spacing w:after="0"/>
            </w:pPr>
            <w:r>
              <w:rPr>
                <w:sz w:val="16"/>
              </w:rPr>
              <w:t>5</w:t>
            </w:r>
          </w:p>
        </w:tc>
        <w:tc>
          <w:tcPr>
            <w:tcW w:w="3888" w:type="dxa"/>
            <w:shd w:val="clear" w:color="auto" w:fill="FFFFFF"/>
          </w:tcPr>
          <w:p w14:paraId="5303A57E" w14:textId="77777777" w:rsidR="00941CF4" w:rsidRDefault="00000000">
            <w:pPr>
              <w:spacing w:after="0"/>
            </w:pPr>
            <w:r>
              <w:rPr>
                <w:sz w:val="16"/>
              </w:rPr>
              <w:t>Problem Statement</w:t>
            </w:r>
          </w:p>
        </w:tc>
        <w:tc>
          <w:tcPr>
            <w:tcW w:w="5184" w:type="dxa"/>
            <w:shd w:val="clear" w:color="auto" w:fill="FFFFFF"/>
          </w:tcPr>
          <w:p w14:paraId="4DF0B1B5" w14:textId="77777777" w:rsidR="00941CF4" w:rsidRDefault="00000000">
            <w:pPr>
              <w:spacing w:after="0"/>
            </w:pPr>
            <w:r>
              <w:rPr>
                <w:sz w:val="16"/>
              </w:rPr>
              <w:t>Decision problem and research questions</w:t>
            </w:r>
          </w:p>
        </w:tc>
      </w:tr>
      <w:tr w:rsidR="00941CF4" w14:paraId="2ECED3FE" w14:textId="77777777">
        <w:trPr>
          <w:jc w:val="center"/>
        </w:trPr>
        <w:tc>
          <w:tcPr>
            <w:tcW w:w="1008" w:type="dxa"/>
            <w:shd w:val="clear" w:color="auto" w:fill="F5F7FA"/>
          </w:tcPr>
          <w:p w14:paraId="5C131DB5" w14:textId="77777777" w:rsidR="00941CF4" w:rsidRDefault="00000000">
            <w:pPr>
              <w:spacing w:after="0"/>
            </w:pPr>
            <w:r>
              <w:rPr>
                <w:sz w:val="16"/>
              </w:rPr>
              <w:t>6</w:t>
            </w:r>
          </w:p>
        </w:tc>
        <w:tc>
          <w:tcPr>
            <w:tcW w:w="3888" w:type="dxa"/>
            <w:shd w:val="clear" w:color="auto" w:fill="F5F7FA"/>
          </w:tcPr>
          <w:p w14:paraId="64679074" w14:textId="77777777" w:rsidR="00941CF4" w:rsidRDefault="00000000">
            <w:pPr>
              <w:spacing w:after="0"/>
            </w:pPr>
            <w:r>
              <w:rPr>
                <w:sz w:val="16"/>
              </w:rPr>
              <w:t>Dataset Overview</w:t>
            </w:r>
          </w:p>
        </w:tc>
        <w:tc>
          <w:tcPr>
            <w:tcW w:w="5184" w:type="dxa"/>
            <w:shd w:val="clear" w:color="auto" w:fill="F5F7FA"/>
          </w:tcPr>
          <w:p w14:paraId="741D9AF6" w14:textId="77777777" w:rsidR="00941CF4" w:rsidRDefault="00000000">
            <w:pPr>
              <w:spacing w:after="0"/>
            </w:pPr>
            <w:r>
              <w:rPr>
                <w:sz w:val="16"/>
              </w:rPr>
              <w:t>Field structure and derived analytical variables</w:t>
            </w:r>
          </w:p>
        </w:tc>
      </w:tr>
      <w:tr w:rsidR="00941CF4" w14:paraId="0599C613" w14:textId="77777777">
        <w:trPr>
          <w:jc w:val="center"/>
        </w:trPr>
        <w:tc>
          <w:tcPr>
            <w:tcW w:w="1008" w:type="dxa"/>
            <w:shd w:val="clear" w:color="auto" w:fill="FFFFFF"/>
          </w:tcPr>
          <w:p w14:paraId="4FA77E3B" w14:textId="77777777" w:rsidR="00941CF4" w:rsidRDefault="00000000">
            <w:pPr>
              <w:spacing w:after="0"/>
            </w:pPr>
            <w:r>
              <w:rPr>
                <w:sz w:val="16"/>
              </w:rPr>
              <w:t>7</w:t>
            </w:r>
          </w:p>
        </w:tc>
        <w:tc>
          <w:tcPr>
            <w:tcW w:w="3888" w:type="dxa"/>
            <w:shd w:val="clear" w:color="auto" w:fill="FFFFFF"/>
          </w:tcPr>
          <w:p w14:paraId="67A277CC" w14:textId="77777777" w:rsidR="00941CF4" w:rsidRDefault="00000000">
            <w:pPr>
              <w:spacing w:after="0"/>
            </w:pPr>
            <w:r>
              <w:rPr>
                <w:sz w:val="16"/>
              </w:rPr>
              <w:t>Methodology and Data Governance</w:t>
            </w:r>
          </w:p>
        </w:tc>
        <w:tc>
          <w:tcPr>
            <w:tcW w:w="5184" w:type="dxa"/>
            <w:shd w:val="clear" w:color="auto" w:fill="FFFFFF"/>
          </w:tcPr>
          <w:p w14:paraId="5EDAA932" w14:textId="77777777" w:rsidR="00941CF4" w:rsidRDefault="00000000">
            <w:pPr>
              <w:spacing w:after="0"/>
            </w:pPr>
            <w:r>
              <w:rPr>
                <w:sz w:val="16"/>
              </w:rPr>
              <w:t>Data ingestion, validation, feature engineering, and KPI modeling</w:t>
            </w:r>
          </w:p>
        </w:tc>
      </w:tr>
      <w:tr w:rsidR="00941CF4" w14:paraId="688E8EE7" w14:textId="77777777">
        <w:trPr>
          <w:jc w:val="center"/>
        </w:trPr>
        <w:tc>
          <w:tcPr>
            <w:tcW w:w="1008" w:type="dxa"/>
            <w:shd w:val="clear" w:color="auto" w:fill="F5F7FA"/>
          </w:tcPr>
          <w:p w14:paraId="77507162" w14:textId="77777777" w:rsidR="00941CF4" w:rsidRDefault="00000000">
            <w:pPr>
              <w:spacing w:after="0"/>
            </w:pPr>
            <w:r>
              <w:rPr>
                <w:sz w:val="16"/>
              </w:rPr>
              <w:t>8</w:t>
            </w:r>
          </w:p>
        </w:tc>
        <w:tc>
          <w:tcPr>
            <w:tcW w:w="3888" w:type="dxa"/>
            <w:shd w:val="clear" w:color="auto" w:fill="F5F7FA"/>
          </w:tcPr>
          <w:p w14:paraId="641ABC6D" w14:textId="77777777" w:rsidR="00941CF4" w:rsidRDefault="00000000">
            <w:pPr>
              <w:spacing w:after="0"/>
            </w:pPr>
            <w:r>
              <w:rPr>
                <w:sz w:val="16"/>
              </w:rPr>
              <w:t>Data Limitations and Scope</w:t>
            </w:r>
          </w:p>
        </w:tc>
        <w:tc>
          <w:tcPr>
            <w:tcW w:w="5184" w:type="dxa"/>
            <w:shd w:val="clear" w:color="auto" w:fill="F5F7FA"/>
          </w:tcPr>
          <w:p w14:paraId="70BB9D4D" w14:textId="77777777" w:rsidR="00941CF4" w:rsidRDefault="00000000">
            <w:pPr>
              <w:spacing w:after="0"/>
            </w:pPr>
            <w:r>
              <w:rPr>
                <w:sz w:val="16"/>
              </w:rPr>
              <w:t>Responsible interpretation boundaries</w:t>
            </w:r>
          </w:p>
        </w:tc>
      </w:tr>
      <w:tr w:rsidR="00941CF4" w14:paraId="1ADA3DD0" w14:textId="77777777">
        <w:trPr>
          <w:jc w:val="center"/>
        </w:trPr>
        <w:tc>
          <w:tcPr>
            <w:tcW w:w="1008" w:type="dxa"/>
            <w:shd w:val="clear" w:color="auto" w:fill="FFFFFF"/>
          </w:tcPr>
          <w:p w14:paraId="400D1E8B" w14:textId="77777777" w:rsidR="00941CF4" w:rsidRDefault="00000000">
            <w:pPr>
              <w:spacing w:after="0"/>
            </w:pPr>
            <w:r>
              <w:rPr>
                <w:sz w:val="16"/>
              </w:rPr>
              <w:t>9</w:t>
            </w:r>
          </w:p>
        </w:tc>
        <w:tc>
          <w:tcPr>
            <w:tcW w:w="3888" w:type="dxa"/>
            <w:shd w:val="clear" w:color="auto" w:fill="FFFFFF"/>
          </w:tcPr>
          <w:p w14:paraId="5259802E" w14:textId="77777777" w:rsidR="00941CF4" w:rsidRDefault="00000000">
            <w:pPr>
              <w:spacing w:after="0"/>
            </w:pPr>
            <w:r>
              <w:rPr>
                <w:sz w:val="16"/>
              </w:rPr>
              <w:t>Key Performance Indicators</w:t>
            </w:r>
          </w:p>
        </w:tc>
        <w:tc>
          <w:tcPr>
            <w:tcW w:w="5184" w:type="dxa"/>
            <w:shd w:val="clear" w:color="auto" w:fill="FFFFFF"/>
          </w:tcPr>
          <w:p w14:paraId="4E973BB4" w14:textId="77777777" w:rsidR="00941CF4" w:rsidRDefault="00000000">
            <w:pPr>
              <w:spacing w:after="0"/>
            </w:pPr>
            <w:r>
              <w:rPr>
                <w:sz w:val="16"/>
              </w:rPr>
              <w:t>Five required KPIs and strategic meaning</w:t>
            </w:r>
          </w:p>
        </w:tc>
      </w:tr>
      <w:tr w:rsidR="00941CF4" w14:paraId="42F87B18" w14:textId="77777777">
        <w:trPr>
          <w:jc w:val="center"/>
        </w:trPr>
        <w:tc>
          <w:tcPr>
            <w:tcW w:w="1008" w:type="dxa"/>
            <w:shd w:val="clear" w:color="auto" w:fill="F5F7FA"/>
          </w:tcPr>
          <w:p w14:paraId="41820ABC" w14:textId="77777777" w:rsidR="00941CF4" w:rsidRDefault="00000000">
            <w:pPr>
              <w:spacing w:after="0"/>
            </w:pPr>
            <w:r>
              <w:rPr>
                <w:sz w:val="16"/>
              </w:rPr>
              <w:t>10</w:t>
            </w:r>
          </w:p>
        </w:tc>
        <w:tc>
          <w:tcPr>
            <w:tcW w:w="3888" w:type="dxa"/>
            <w:shd w:val="clear" w:color="auto" w:fill="F5F7FA"/>
          </w:tcPr>
          <w:p w14:paraId="34E2B4A6" w14:textId="77777777" w:rsidR="00941CF4" w:rsidRDefault="00000000">
            <w:pPr>
              <w:spacing w:after="0"/>
            </w:pPr>
            <w:r>
              <w:rPr>
                <w:sz w:val="16"/>
              </w:rPr>
              <w:t>Exploratory Data Analysis</w:t>
            </w:r>
          </w:p>
        </w:tc>
        <w:tc>
          <w:tcPr>
            <w:tcW w:w="5184" w:type="dxa"/>
            <w:shd w:val="clear" w:color="auto" w:fill="F5F7FA"/>
          </w:tcPr>
          <w:p w14:paraId="783922C9" w14:textId="77777777" w:rsidR="00941CF4" w:rsidRDefault="00000000">
            <w:pPr>
              <w:spacing w:after="0"/>
            </w:pPr>
            <w:r>
              <w:rPr>
                <w:sz w:val="16"/>
              </w:rPr>
              <w:t>Pattern discovery across engagement, product depth, high-value risk, and scoring</w:t>
            </w:r>
          </w:p>
        </w:tc>
      </w:tr>
      <w:tr w:rsidR="00941CF4" w14:paraId="074A3D76" w14:textId="77777777">
        <w:trPr>
          <w:jc w:val="center"/>
        </w:trPr>
        <w:tc>
          <w:tcPr>
            <w:tcW w:w="1008" w:type="dxa"/>
            <w:shd w:val="clear" w:color="auto" w:fill="FFFFFF"/>
          </w:tcPr>
          <w:p w14:paraId="51972E25" w14:textId="77777777" w:rsidR="00941CF4" w:rsidRDefault="00000000">
            <w:pPr>
              <w:spacing w:after="0"/>
            </w:pPr>
            <w:r>
              <w:rPr>
                <w:sz w:val="16"/>
              </w:rPr>
              <w:t>11</w:t>
            </w:r>
          </w:p>
        </w:tc>
        <w:tc>
          <w:tcPr>
            <w:tcW w:w="3888" w:type="dxa"/>
            <w:shd w:val="clear" w:color="auto" w:fill="FFFFFF"/>
          </w:tcPr>
          <w:p w14:paraId="2FD226E5" w14:textId="77777777" w:rsidR="00941CF4" w:rsidRDefault="00000000">
            <w:pPr>
              <w:spacing w:after="0"/>
            </w:pPr>
            <w:r>
              <w:rPr>
                <w:sz w:val="16"/>
              </w:rPr>
              <w:t>Result and Analysis</w:t>
            </w:r>
          </w:p>
        </w:tc>
        <w:tc>
          <w:tcPr>
            <w:tcW w:w="5184" w:type="dxa"/>
            <w:shd w:val="clear" w:color="auto" w:fill="FFFFFF"/>
          </w:tcPr>
          <w:p w14:paraId="2C2AF6C9" w14:textId="77777777" w:rsidR="00941CF4" w:rsidRDefault="00000000">
            <w:pPr>
              <w:spacing w:after="0"/>
            </w:pPr>
            <w:r>
              <w:rPr>
                <w:sz w:val="16"/>
              </w:rPr>
              <w:t>Main dashboard evidence and interpretation</w:t>
            </w:r>
          </w:p>
        </w:tc>
      </w:tr>
      <w:tr w:rsidR="00941CF4" w14:paraId="1F7A8A38" w14:textId="77777777">
        <w:trPr>
          <w:jc w:val="center"/>
        </w:trPr>
        <w:tc>
          <w:tcPr>
            <w:tcW w:w="1008" w:type="dxa"/>
            <w:shd w:val="clear" w:color="auto" w:fill="F5F7FA"/>
          </w:tcPr>
          <w:p w14:paraId="4624936F" w14:textId="77777777" w:rsidR="00941CF4" w:rsidRDefault="00000000">
            <w:pPr>
              <w:spacing w:after="0"/>
            </w:pPr>
            <w:r>
              <w:rPr>
                <w:sz w:val="16"/>
              </w:rPr>
              <w:t>12</w:t>
            </w:r>
          </w:p>
        </w:tc>
        <w:tc>
          <w:tcPr>
            <w:tcW w:w="3888" w:type="dxa"/>
            <w:shd w:val="clear" w:color="auto" w:fill="F5F7FA"/>
          </w:tcPr>
          <w:p w14:paraId="0438F2AD" w14:textId="77777777" w:rsidR="00941CF4" w:rsidRDefault="00000000">
            <w:pPr>
              <w:spacing w:after="0"/>
            </w:pPr>
            <w:r>
              <w:rPr>
                <w:sz w:val="16"/>
              </w:rPr>
              <w:t>Findings and Insights</w:t>
            </w:r>
          </w:p>
        </w:tc>
        <w:tc>
          <w:tcPr>
            <w:tcW w:w="5184" w:type="dxa"/>
            <w:shd w:val="clear" w:color="auto" w:fill="F5F7FA"/>
          </w:tcPr>
          <w:p w14:paraId="17C29929" w14:textId="77777777" w:rsidR="00941CF4" w:rsidRDefault="00000000">
            <w:pPr>
              <w:spacing w:after="0"/>
            </w:pPr>
            <w:r>
              <w:rPr>
                <w:sz w:val="16"/>
              </w:rPr>
              <w:t>Evidence-to-insight synthesis</w:t>
            </w:r>
          </w:p>
        </w:tc>
      </w:tr>
      <w:tr w:rsidR="00941CF4" w14:paraId="508CB752" w14:textId="77777777">
        <w:trPr>
          <w:jc w:val="center"/>
        </w:trPr>
        <w:tc>
          <w:tcPr>
            <w:tcW w:w="1008" w:type="dxa"/>
            <w:shd w:val="clear" w:color="auto" w:fill="FFFFFF"/>
          </w:tcPr>
          <w:p w14:paraId="3B155565" w14:textId="77777777" w:rsidR="00941CF4" w:rsidRDefault="00000000">
            <w:pPr>
              <w:spacing w:after="0"/>
            </w:pPr>
            <w:r>
              <w:rPr>
                <w:sz w:val="16"/>
              </w:rPr>
              <w:t>13</w:t>
            </w:r>
          </w:p>
        </w:tc>
        <w:tc>
          <w:tcPr>
            <w:tcW w:w="3888" w:type="dxa"/>
            <w:shd w:val="clear" w:color="auto" w:fill="FFFFFF"/>
          </w:tcPr>
          <w:p w14:paraId="3C79CF5F" w14:textId="77777777" w:rsidR="00941CF4" w:rsidRDefault="00000000">
            <w:pPr>
              <w:spacing w:after="0"/>
            </w:pPr>
            <w:r>
              <w:rPr>
                <w:sz w:val="16"/>
              </w:rPr>
              <w:t>Actionable Recommendations</w:t>
            </w:r>
          </w:p>
        </w:tc>
        <w:tc>
          <w:tcPr>
            <w:tcW w:w="5184" w:type="dxa"/>
            <w:shd w:val="clear" w:color="auto" w:fill="FFFFFF"/>
          </w:tcPr>
          <w:p w14:paraId="28153486" w14:textId="77777777" w:rsidR="00941CF4" w:rsidRDefault="00000000">
            <w:pPr>
              <w:spacing w:after="0"/>
            </w:pPr>
            <w:r>
              <w:rPr>
                <w:sz w:val="16"/>
              </w:rPr>
              <w:t>Retention strategy actions and 90-day roadmap</w:t>
            </w:r>
          </w:p>
        </w:tc>
      </w:tr>
      <w:tr w:rsidR="00941CF4" w14:paraId="310E4D56" w14:textId="77777777">
        <w:trPr>
          <w:jc w:val="center"/>
        </w:trPr>
        <w:tc>
          <w:tcPr>
            <w:tcW w:w="1008" w:type="dxa"/>
            <w:shd w:val="clear" w:color="auto" w:fill="F5F7FA"/>
          </w:tcPr>
          <w:p w14:paraId="416198EF" w14:textId="77777777" w:rsidR="00941CF4" w:rsidRDefault="00000000">
            <w:pPr>
              <w:spacing w:after="0"/>
            </w:pPr>
            <w:r>
              <w:rPr>
                <w:sz w:val="16"/>
              </w:rPr>
              <w:t>14</w:t>
            </w:r>
          </w:p>
        </w:tc>
        <w:tc>
          <w:tcPr>
            <w:tcW w:w="3888" w:type="dxa"/>
            <w:shd w:val="clear" w:color="auto" w:fill="F5F7FA"/>
          </w:tcPr>
          <w:p w14:paraId="5834E1FD" w14:textId="77777777" w:rsidR="00941CF4" w:rsidRDefault="00000000">
            <w:pPr>
              <w:spacing w:after="0"/>
            </w:pPr>
            <w:r>
              <w:rPr>
                <w:sz w:val="16"/>
              </w:rPr>
              <w:t>Dashboard Implementation</w:t>
            </w:r>
          </w:p>
        </w:tc>
        <w:tc>
          <w:tcPr>
            <w:tcW w:w="5184" w:type="dxa"/>
            <w:shd w:val="clear" w:color="auto" w:fill="F5F7FA"/>
          </w:tcPr>
          <w:p w14:paraId="7FCE8697" w14:textId="77777777" w:rsidR="00941CF4" w:rsidRDefault="00000000">
            <w:pPr>
              <w:spacing w:after="0"/>
            </w:pPr>
            <w:r>
              <w:rPr>
                <w:sz w:val="16"/>
              </w:rPr>
              <w:t>Streamlit, data validation, filtering, and module architecture</w:t>
            </w:r>
          </w:p>
        </w:tc>
      </w:tr>
      <w:tr w:rsidR="00941CF4" w14:paraId="27BE8975" w14:textId="77777777">
        <w:trPr>
          <w:jc w:val="center"/>
        </w:trPr>
        <w:tc>
          <w:tcPr>
            <w:tcW w:w="1008" w:type="dxa"/>
            <w:shd w:val="clear" w:color="auto" w:fill="FFFFFF"/>
          </w:tcPr>
          <w:p w14:paraId="0CB9A719" w14:textId="77777777" w:rsidR="00941CF4" w:rsidRDefault="00000000">
            <w:pPr>
              <w:spacing w:after="0"/>
            </w:pPr>
            <w:r>
              <w:rPr>
                <w:sz w:val="16"/>
              </w:rPr>
              <w:t>15</w:t>
            </w:r>
          </w:p>
        </w:tc>
        <w:tc>
          <w:tcPr>
            <w:tcW w:w="3888" w:type="dxa"/>
            <w:shd w:val="clear" w:color="auto" w:fill="FFFFFF"/>
          </w:tcPr>
          <w:p w14:paraId="494C2F2A" w14:textId="77777777" w:rsidR="00941CF4" w:rsidRDefault="00000000">
            <w:pPr>
              <w:spacing w:after="0"/>
            </w:pPr>
            <w:r>
              <w:rPr>
                <w:sz w:val="16"/>
              </w:rPr>
              <w:t>Data Interpretation Governance</w:t>
            </w:r>
          </w:p>
        </w:tc>
        <w:tc>
          <w:tcPr>
            <w:tcW w:w="5184" w:type="dxa"/>
            <w:shd w:val="clear" w:color="auto" w:fill="FFFFFF"/>
          </w:tcPr>
          <w:p w14:paraId="0ABA4A3C" w14:textId="77777777" w:rsidR="00941CF4" w:rsidRDefault="00000000">
            <w:pPr>
              <w:spacing w:after="0"/>
            </w:pPr>
            <w:r>
              <w:rPr>
                <w:sz w:val="16"/>
              </w:rPr>
              <w:t>Rules for responsible KPI reading</w:t>
            </w:r>
          </w:p>
        </w:tc>
      </w:tr>
      <w:tr w:rsidR="00941CF4" w14:paraId="779D7F81" w14:textId="77777777">
        <w:trPr>
          <w:jc w:val="center"/>
        </w:trPr>
        <w:tc>
          <w:tcPr>
            <w:tcW w:w="1008" w:type="dxa"/>
            <w:shd w:val="clear" w:color="auto" w:fill="F5F7FA"/>
          </w:tcPr>
          <w:p w14:paraId="53AC270B" w14:textId="77777777" w:rsidR="00941CF4" w:rsidRDefault="00000000">
            <w:pPr>
              <w:spacing w:after="0"/>
            </w:pPr>
            <w:r>
              <w:rPr>
                <w:sz w:val="16"/>
              </w:rPr>
              <w:t>16</w:t>
            </w:r>
          </w:p>
        </w:tc>
        <w:tc>
          <w:tcPr>
            <w:tcW w:w="3888" w:type="dxa"/>
            <w:shd w:val="clear" w:color="auto" w:fill="F5F7FA"/>
          </w:tcPr>
          <w:p w14:paraId="0E62AD29" w14:textId="77777777" w:rsidR="00941CF4" w:rsidRDefault="00000000">
            <w:pPr>
              <w:spacing w:after="0"/>
            </w:pPr>
            <w:r>
              <w:rPr>
                <w:sz w:val="16"/>
              </w:rPr>
              <w:t>Conclusion</w:t>
            </w:r>
          </w:p>
        </w:tc>
        <w:tc>
          <w:tcPr>
            <w:tcW w:w="5184" w:type="dxa"/>
            <w:shd w:val="clear" w:color="auto" w:fill="F5F7FA"/>
          </w:tcPr>
          <w:p w14:paraId="7A99C167" w14:textId="77777777" w:rsidR="00941CF4" w:rsidRDefault="00000000">
            <w:pPr>
              <w:spacing w:after="0"/>
            </w:pPr>
            <w:r>
              <w:rPr>
                <w:sz w:val="16"/>
              </w:rPr>
              <w:t>Final synthesis</w:t>
            </w:r>
          </w:p>
        </w:tc>
      </w:tr>
      <w:tr w:rsidR="00941CF4" w14:paraId="5D3E25B1" w14:textId="77777777">
        <w:trPr>
          <w:jc w:val="center"/>
        </w:trPr>
        <w:tc>
          <w:tcPr>
            <w:tcW w:w="1008" w:type="dxa"/>
            <w:shd w:val="clear" w:color="auto" w:fill="FFFFFF"/>
          </w:tcPr>
          <w:p w14:paraId="70317810" w14:textId="77777777" w:rsidR="00941CF4" w:rsidRDefault="00000000">
            <w:pPr>
              <w:spacing w:after="0"/>
            </w:pPr>
            <w:r>
              <w:rPr>
                <w:sz w:val="16"/>
              </w:rPr>
              <w:t>17</w:t>
            </w:r>
          </w:p>
        </w:tc>
        <w:tc>
          <w:tcPr>
            <w:tcW w:w="3888" w:type="dxa"/>
            <w:shd w:val="clear" w:color="auto" w:fill="FFFFFF"/>
          </w:tcPr>
          <w:p w14:paraId="34D7F5EC" w14:textId="77777777" w:rsidR="00941CF4" w:rsidRDefault="00000000">
            <w:pPr>
              <w:spacing w:after="0"/>
            </w:pPr>
            <w:r>
              <w:rPr>
                <w:sz w:val="16"/>
              </w:rPr>
              <w:t>References</w:t>
            </w:r>
          </w:p>
        </w:tc>
        <w:tc>
          <w:tcPr>
            <w:tcW w:w="5184" w:type="dxa"/>
            <w:shd w:val="clear" w:color="auto" w:fill="FFFFFF"/>
          </w:tcPr>
          <w:p w14:paraId="5C023F2A" w14:textId="77777777" w:rsidR="00941CF4" w:rsidRDefault="00000000">
            <w:pPr>
              <w:spacing w:after="0"/>
            </w:pPr>
            <w:r>
              <w:rPr>
                <w:sz w:val="16"/>
              </w:rPr>
              <w:t>Source and technical references</w:t>
            </w:r>
          </w:p>
        </w:tc>
      </w:tr>
      <w:tr w:rsidR="00941CF4" w14:paraId="570748DC" w14:textId="77777777">
        <w:trPr>
          <w:jc w:val="center"/>
        </w:trPr>
        <w:tc>
          <w:tcPr>
            <w:tcW w:w="1008" w:type="dxa"/>
            <w:shd w:val="clear" w:color="auto" w:fill="F5F7FA"/>
          </w:tcPr>
          <w:p w14:paraId="3438E5AC" w14:textId="77777777" w:rsidR="00941CF4" w:rsidRDefault="00000000">
            <w:pPr>
              <w:spacing w:after="0"/>
            </w:pPr>
            <w:r>
              <w:rPr>
                <w:sz w:val="16"/>
              </w:rPr>
              <w:t>18</w:t>
            </w:r>
          </w:p>
        </w:tc>
        <w:tc>
          <w:tcPr>
            <w:tcW w:w="3888" w:type="dxa"/>
            <w:shd w:val="clear" w:color="auto" w:fill="F5F7FA"/>
          </w:tcPr>
          <w:p w14:paraId="05CFC052" w14:textId="77777777" w:rsidR="00941CF4" w:rsidRDefault="00000000">
            <w:pPr>
              <w:spacing w:after="0"/>
            </w:pPr>
            <w:r>
              <w:rPr>
                <w:sz w:val="16"/>
              </w:rPr>
              <w:t>Appendix</w:t>
            </w:r>
          </w:p>
        </w:tc>
        <w:tc>
          <w:tcPr>
            <w:tcW w:w="5184" w:type="dxa"/>
            <w:shd w:val="clear" w:color="auto" w:fill="F5F7FA"/>
          </w:tcPr>
          <w:p w14:paraId="0E11AC2F" w14:textId="77777777" w:rsidR="00941CF4" w:rsidRDefault="00000000">
            <w:pPr>
              <w:spacing w:after="0"/>
            </w:pPr>
            <w:r>
              <w:rPr>
                <w:sz w:val="16"/>
              </w:rPr>
              <w:t>KPI formula register, figure register, and metadata</w:t>
            </w:r>
          </w:p>
        </w:tc>
      </w:tr>
    </w:tbl>
    <w:p w14:paraId="4D830C31" w14:textId="77777777" w:rsidR="00941CF4" w:rsidRDefault="00941CF4"/>
    <w:tbl>
      <w:tblPr>
        <w:tblW w:w="0" w:type="auto"/>
        <w:jc w:val="center"/>
        <w:tblLook w:val="04A0" w:firstRow="1" w:lastRow="0" w:firstColumn="1" w:lastColumn="0" w:noHBand="0" w:noVBand="1"/>
      </w:tblPr>
      <w:tblGrid>
        <w:gridCol w:w="10656"/>
      </w:tblGrid>
      <w:tr w:rsidR="00941CF4" w14:paraId="57EA864A"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EAF2FB"/>
          </w:tcPr>
          <w:p w14:paraId="37779FB3" w14:textId="77777777" w:rsidR="00941CF4" w:rsidRDefault="00000000">
            <w:pPr>
              <w:spacing w:after="80"/>
            </w:pPr>
            <w:r>
              <w:rPr>
                <w:b/>
                <w:color w:val="001F3F"/>
                <w:sz w:val="21"/>
              </w:rPr>
              <w:t>Navigation note</w:t>
            </w:r>
          </w:p>
          <w:p w14:paraId="03365F16" w14:textId="77777777" w:rsidR="00941CF4" w:rsidRDefault="00000000">
            <w:pPr>
              <w:spacing w:after="0"/>
            </w:pPr>
            <w:r>
              <w:rPr>
                <w:sz w:val="19"/>
              </w:rPr>
              <w:t>Page references should be checked after final PDF export because Word pagination can shift slightly across devices. The section order and figure register are fixed and publication-ready.</w:t>
            </w:r>
          </w:p>
        </w:tc>
      </w:tr>
    </w:tbl>
    <w:p w14:paraId="5B2EA0AC" w14:textId="77777777" w:rsidR="00941CF4" w:rsidRDefault="00000000">
      <w:pPr>
        <w:pStyle w:val="Heading2"/>
        <w:spacing w:after="80"/>
      </w:pPr>
      <w:r>
        <w:t>2.1 Evidence Flow Roadmap</w:t>
      </w:r>
    </w:p>
    <w:p w14:paraId="26D6C485" w14:textId="77777777" w:rsidR="00941CF4" w:rsidRDefault="00000000">
      <w:pPr>
        <w:pStyle w:val="BodyText"/>
        <w:spacing w:after="80" w:line="252" w:lineRule="auto"/>
      </w:pPr>
      <w:r>
        <w:rPr>
          <w:rFonts w:ascii="Aptos" w:hAnsi="Aptos"/>
          <w:sz w:val="19"/>
        </w:rPr>
        <w:t>The report follows a structured evidence path. It starts with the executive KPI baseline, then explains data preparation, evaluates core behavioral patterns through EDA, presents dashboard evidence module by module, and ends with retention actions and governance rules.</w:t>
      </w:r>
    </w:p>
    <w:tbl>
      <w:tblPr>
        <w:tblStyle w:val="TableGrid"/>
        <w:tblW w:w="0" w:type="auto"/>
        <w:jc w:val="center"/>
        <w:tblLook w:val="04A0" w:firstRow="1" w:lastRow="0" w:firstColumn="1" w:lastColumn="0" w:noHBand="0" w:noVBand="1"/>
      </w:tblPr>
      <w:tblGrid>
        <w:gridCol w:w="2664"/>
        <w:gridCol w:w="2664"/>
        <w:gridCol w:w="2664"/>
        <w:gridCol w:w="2664"/>
      </w:tblGrid>
      <w:tr w:rsidR="00941CF4" w14:paraId="293198AF" w14:textId="77777777">
        <w:trPr>
          <w:tblHeader/>
          <w:jc w:val="center"/>
        </w:trPr>
        <w:tc>
          <w:tcPr>
            <w:tcW w:w="2664" w:type="dxa"/>
            <w:shd w:val="clear" w:color="auto" w:fill="003A5D"/>
            <w:vAlign w:val="center"/>
          </w:tcPr>
          <w:p w14:paraId="183DFA96" w14:textId="77777777" w:rsidR="00941CF4" w:rsidRDefault="00000000">
            <w:r>
              <w:rPr>
                <w:rFonts w:ascii="Aptos" w:hAnsi="Aptos"/>
                <w:b/>
                <w:color w:val="FFFFFF"/>
                <w:sz w:val="16"/>
              </w:rPr>
              <w:t>Reading Stage</w:t>
            </w:r>
          </w:p>
        </w:tc>
        <w:tc>
          <w:tcPr>
            <w:tcW w:w="2664" w:type="dxa"/>
            <w:shd w:val="clear" w:color="auto" w:fill="003A5D"/>
            <w:vAlign w:val="center"/>
          </w:tcPr>
          <w:p w14:paraId="1CC2FEEC" w14:textId="77777777" w:rsidR="00941CF4" w:rsidRDefault="00000000">
            <w:r>
              <w:rPr>
                <w:rFonts w:ascii="Aptos" w:hAnsi="Aptos"/>
                <w:b/>
                <w:color w:val="FFFFFF"/>
                <w:sz w:val="16"/>
              </w:rPr>
              <w:t>Sections</w:t>
            </w:r>
          </w:p>
        </w:tc>
        <w:tc>
          <w:tcPr>
            <w:tcW w:w="2664" w:type="dxa"/>
            <w:shd w:val="clear" w:color="auto" w:fill="003A5D"/>
            <w:vAlign w:val="center"/>
          </w:tcPr>
          <w:p w14:paraId="7FBA6093" w14:textId="77777777" w:rsidR="00941CF4" w:rsidRDefault="00000000">
            <w:r>
              <w:rPr>
                <w:rFonts w:ascii="Aptos" w:hAnsi="Aptos"/>
                <w:b/>
                <w:color w:val="FFFFFF"/>
                <w:sz w:val="16"/>
              </w:rPr>
              <w:t>Evidence Used</w:t>
            </w:r>
          </w:p>
        </w:tc>
        <w:tc>
          <w:tcPr>
            <w:tcW w:w="2664" w:type="dxa"/>
            <w:shd w:val="clear" w:color="auto" w:fill="003A5D"/>
            <w:vAlign w:val="center"/>
          </w:tcPr>
          <w:p w14:paraId="2C17D420" w14:textId="77777777" w:rsidR="00941CF4" w:rsidRDefault="00000000">
            <w:r>
              <w:rPr>
                <w:rFonts w:ascii="Aptos" w:hAnsi="Aptos"/>
                <w:b/>
                <w:color w:val="FFFFFF"/>
                <w:sz w:val="16"/>
              </w:rPr>
              <w:t>Expected Decision Output</w:t>
            </w:r>
          </w:p>
        </w:tc>
      </w:tr>
      <w:tr w:rsidR="00941CF4" w14:paraId="73771B05" w14:textId="77777777">
        <w:trPr>
          <w:jc w:val="center"/>
        </w:trPr>
        <w:tc>
          <w:tcPr>
            <w:tcW w:w="2664" w:type="dxa"/>
            <w:shd w:val="clear" w:color="auto" w:fill="FFFFFF"/>
            <w:vAlign w:val="center"/>
          </w:tcPr>
          <w:p w14:paraId="6EBB28DE" w14:textId="77777777" w:rsidR="00941CF4" w:rsidRDefault="00000000">
            <w:r>
              <w:rPr>
                <w:rFonts w:ascii="Aptos" w:hAnsi="Aptos"/>
                <w:sz w:val="16"/>
              </w:rPr>
              <w:t>Strategic baseline</w:t>
            </w:r>
          </w:p>
        </w:tc>
        <w:tc>
          <w:tcPr>
            <w:tcW w:w="2664" w:type="dxa"/>
            <w:shd w:val="clear" w:color="auto" w:fill="FFFFFF"/>
            <w:vAlign w:val="center"/>
          </w:tcPr>
          <w:p w14:paraId="1D1BCECD" w14:textId="77777777" w:rsidR="00941CF4" w:rsidRDefault="00000000">
            <w:r>
              <w:rPr>
                <w:rFonts w:ascii="Aptos" w:hAnsi="Aptos"/>
                <w:sz w:val="16"/>
              </w:rPr>
              <w:t>Executive Summary, KPIs</w:t>
            </w:r>
          </w:p>
        </w:tc>
        <w:tc>
          <w:tcPr>
            <w:tcW w:w="2664" w:type="dxa"/>
            <w:shd w:val="clear" w:color="auto" w:fill="FFFFFF"/>
            <w:vAlign w:val="center"/>
          </w:tcPr>
          <w:p w14:paraId="4ED95594" w14:textId="77777777" w:rsidR="00941CF4" w:rsidRDefault="00000000">
            <w:r>
              <w:rPr>
                <w:rFonts w:ascii="Aptos" w:hAnsi="Aptos"/>
                <w:sz w:val="16"/>
              </w:rPr>
              <w:t>Five KPI cards and executive readings</w:t>
            </w:r>
          </w:p>
        </w:tc>
        <w:tc>
          <w:tcPr>
            <w:tcW w:w="2664" w:type="dxa"/>
            <w:shd w:val="clear" w:color="auto" w:fill="FFFFFF"/>
            <w:vAlign w:val="center"/>
          </w:tcPr>
          <w:p w14:paraId="02B4F712" w14:textId="77777777" w:rsidR="00941CF4" w:rsidRDefault="00000000">
            <w:r>
              <w:rPr>
                <w:rFonts w:ascii="Aptos" w:hAnsi="Aptos"/>
                <w:sz w:val="16"/>
              </w:rPr>
              <w:t>Understand the retention problem and priority signals.</w:t>
            </w:r>
          </w:p>
        </w:tc>
      </w:tr>
      <w:tr w:rsidR="00941CF4" w14:paraId="0B780BA6" w14:textId="77777777">
        <w:trPr>
          <w:jc w:val="center"/>
        </w:trPr>
        <w:tc>
          <w:tcPr>
            <w:tcW w:w="2664" w:type="dxa"/>
            <w:shd w:val="clear" w:color="auto" w:fill="F4F7FB"/>
            <w:vAlign w:val="center"/>
          </w:tcPr>
          <w:p w14:paraId="3B547279" w14:textId="77777777" w:rsidR="00941CF4" w:rsidRDefault="00000000">
            <w:r>
              <w:rPr>
                <w:rFonts w:ascii="Aptos" w:hAnsi="Aptos"/>
                <w:sz w:val="16"/>
              </w:rPr>
              <w:t>Data credibility</w:t>
            </w:r>
          </w:p>
        </w:tc>
        <w:tc>
          <w:tcPr>
            <w:tcW w:w="2664" w:type="dxa"/>
            <w:shd w:val="clear" w:color="auto" w:fill="F4F7FB"/>
            <w:vAlign w:val="center"/>
          </w:tcPr>
          <w:p w14:paraId="31B86CD7" w14:textId="77777777" w:rsidR="00941CF4" w:rsidRDefault="00000000">
            <w:r>
              <w:rPr>
                <w:rFonts w:ascii="Aptos" w:hAnsi="Aptos"/>
                <w:sz w:val="16"/>
              </w:rPr>
              <w:t>Dataset, Methodology, Limitations</w:t>
            </w:r>
          </w:p>
        </w:tc>
        <w:tc>
          <w:tcPr>
            <w:tcW w:w="2664" w:type="dxa"/>
            <w:shd w:val="clear" w:color="auto" w:fill="F4F7FB"/>
            <w:vAlign w:val="center"/>
          </w:tcPr>
          <w:p w14:paraId="0B3448A1" w14:textId="77777777" w:rsidR="00941CF4" w:rsidRDefault="00000000">
            <w:r>
              <w:rPr>
                <w:rFonts w:ascii="Aptos" w:hAnsi="Aptos"/>
                <w:sz w:val="16"/>
              </w:rPr>
              <w:t>Field dictionary, derived metrics, validation rules</w:t>
            </w:r>
          </w:p>
        </w:tc>
        <w:tc>
          <w:tcPr>
            <w:tcW w:w="2664" w:type="dxa"/>
            <w:shd w:val="clear" w:color="auto" w:fill="F4F7FB"/>
            <w:vAlign w:val="center"/>
          </w:tcPr>
          <w:p w14:paraId="6FD2F7C4" w14:textId="77777777" w:rsidR="00941CF4" w:rsidRDefault="00000000">
            <w:r>
              <w:rPr>
                <w:rFonts w:ascii="Aptos" w:hAnsi="Aptos"/>
                <w:sz w:val="16"/>
              </w:rPr>
              <w:t>Confirm that metrics are traceable and responsibly interpreted.</w:t>
            </w:r>
          </w:p>
        </w:tc>
      </w:tr>
      <w:tr w:rsidR="00941CF4" w14:paraId="6030F974" w14:textId="77777777">
        <w:trPr>
          <w:jc w:val="center"/>
        </w:trPr>
        <w:tc>
          <w:tcPr>
            <w:tcW w:w="2664" w:type="dxa"/>
            <w:shd w:val="clear" w:color="auto" w:fill="FFFFFF"/>
            <w:vAlign w:val="center"/>
          </w:tcPr>
          <w:p w14:paraId="17639315" w14:textId="77777777" w:rsidR="00941CF4" w:rsidRDefault="00000000">
            <w:r>
              <w:rPr>
                <w:rFonts w:ascii="Aptos" w:hAnsi="Aptos"/>
                <w:sz w:val="16"/>
              </w:rPr>
              <w:t>Pattern discovery</w:t>
            </w:r>
          </w:p>
        </w:tc>
        <w:tc>
          <w:tcPr>
            <w:tcW w:w="2664" w:type="dxa"/>
            <w:shd w:val="clear" w:color="auto" w:fill="FFFFFF"/>
            <w:vAlign w:val="center"/>
          </w:tcPr>
          <w:p w14:paraId="620E53CF" w14:textId="77777777" w:rsidR="00941CF4" w:rsidRDefault="00000000">
            <w:r>
              <w:rPr>
                <w:rFonts w:ascii="Aptos" w:hAnsi="Aptos"/>
                <w:sz w:val="16"/>
              </w:rPr>
              <w:t>EDA</w:t>
            </w:r>
          </w:p>
        </w:tc>
        <w:tc>
          <w:tcPr>
            <w:tcW w:w="2664" w:type="dxa"/>
            <w:shd w:val="clear" w:color="auto" w:fill="FFFFFF"/>
            <w:vAlign w:val="center"/>
          </w:tcPr>
          <w:p w14:paraId="5AB21B77" w14:textId="77777777" w:rsidR="00941CF4" w:rsidRDefault="00000000">
            <w:r>
              <w:rPr>
                <w:rFonts w:ascii="Aptos" w:hAnsi="Aptos"/>
                <w:sz w:val="16"/>
              </w:rPr>
              <w:t>Engagement, product depth, high-value, and retention score snapshots</w:t>
            </w:r>
          </w:p>
        </w:tc>
        <w:tc>
          <w:tcPr>
            <w:tcW w:w="2664" w:type="dxa"/>
            <w:shd w:val="clear" w:color="auto" w:fill="FFFFFF"/>
            <w:vAlign w:val="center"/>
          </w:tcPr>
          <w:p w14:paraId="7DD49A50" w14:textId="77777777" w:rsidR="00941CF4" w:rsidRDefault="00000000">
            <w:r>
              <w:rPr>
                <w:rFonts w:ascii="Aptos" w:hAnsi="Aptos"/>
                <w:sz w:val="16"/>
              </w:rPr>
              <w:t>Identify where churn risk concentrates before final interpretation.</w:t>
            </w:r>
          </w:p>
        </w:tc>
      </w:tr>
      <w:tr w:rsidR="00941CF4" w14:paraId="3B8BC99A" w14:textId="77777777">
        <w:trPr>
          <w:jc w:val="center"/>
        </w:trPr>
        <w:tc>
          <w:tcPr>
            <w:tcW w:w="2664" w:type="dxa"/>
            <w:shd w:val="clear" w:color="auto" w:fill="F4F7FB"/>
            <w:vAlign w:val="center"/>
          </w:tcPr>
          <w:p w14:paraId="51DEC3DC" w14:textId="77777777" w:rsidR="00941CF4" w:rsidRDefault="00000000">
            <w:r>
              <w:rPr>
                <w:rFonts w:ascii="Aptos" w:hAnsi="Aptos"/>
                <w:sz w:val="16"/>
              </w:rPr>
              <w:t>Evidence analysis</w:t>
            </w:r>
          </w:p>
        </w:tc>
        <w:tc>
          <w:tcPr>
            <w:tcW w:w="2664" w:type="dxa"/>
            <w:shd w:val="clear" w:color="auto" w:fill="F4F7FB"/>
            <w:vAlign w:val="center"/>
          </w:tcPr>
          <w:p w14:paraId="6A0CBE43" w14:textId="77777777" w:rsidR="00941CF4" w:rsidRDefault="00000000">
            <w:r>
              <w:rPr>
                <w:rFonts w:ascii="Aptos" w:hAnsi="Aptos"/>
                <w:sz w:val="16"/>
              </w:rPr>
              <w:t>Result and Analysis</w:t>
            </w:r>
          </w:p>
        </w:tc>
        <w:tc>
          <w:tcPr>
            <w:tcW w:w="2664" w:type="dxa"/>
            <w:shd w:val="clear" w:color="auto" w:fill="F4F7FB"/>
            <w:vAlign w:val="center"/>
          </w:tcPr>
          <w:p w14:paraId="05EC0D66" w14:textId="77777777" w:rsidR="00941CF4" w:rsidRDefault="00000000">
            <w:r>
              <w:rPr>
                <w:rFonts w:ascii="Aptos" w:hAnsi="Aptos"/>
                <w:sz w:val="16"/>
              </w:rPr>
              <w:t>20 dashboard screenshots and module findings</w:t>
            </w:r>
          </w:p>
        </w:tc>
        <w:tc>
          <w:tcPr>
            <w:tcW w:w="2664" w:type="dxa"/>
            <w:shd w:val="clear" w:color="auto" w:fill="F4F7FB"/>
            <w:vAlign w:val="center"/>
          </w:tcPr>
          <w:p w14:paraId="4BCABB99" w14:textId="77777777" w:rsidR="00941CF4" w:rsidRDefault="00000000">
            <w:r>
              <w:rPr>
                <w:rFonts w:ascii="Aptos" w:hAnsi="Aptos"/>
                <w:sz w:val="16"/>
              </w:rPr>
              <w:t>Convert visual evidence into segment-level findings.</w:t>
            </w:r>
          </w:p>
        </w:tc>
      </w:tr>
      <w:tr w:rsidR="00941CF4" w14:paraId="559C78ED" w14:textId="77777777">
        <w:trPr>
          <w:jc w:val="center"/>
        </w:trPr>
        <w:tc>
          <w:tcPr>
            <w:tcW w:w="2664" w:type="dxa"/>
            <w:shd w:val="clear" w:color="auto" w:fill="FFFFFF"/>
            <w:vAlign w:val="center"/>
          </w:tcPr>
          <w:p w14:paraId="7CC1FDCC" w14:textId="77777777" w:rsidR="00941CF4" w:rsidRDefault="00000000">
            <w:r>
              <w:rPr>
                <w:rFonts w:ascii="Aptos" w:hAnsi="Aptos"/>
                <w:sz w:val="16"/>
              </w:rPr>
              <w:t>Action planning</w:t>
            </w:r>
          </w:p>
        </w:tc>
        <w:tc>
          <w:tcPr>
            <w:tcW w:w="2664" w:type="dxa"/>
            <w:shd w:val="clear" w:color="auto" w:fill="FFFFFF"/>
            <w:vAlign w:val="center"/>
          </w:tcPr>
          <w:p w14:paraId="393267AE" w14:textId="77777777" w:rsidR="00941CF4" w:rsidRDefault="00000000">
            <w:r>
              <w:rPr>
                <w:rFonts w:ascii="Aptos" w:hAnsi="Aptos"/>
                <w:sz w:val="16"/>
              </w:rPr>
              <w:t>Findings, Recommendations, Governance</w:t>
            </w:r>
          </w:p>
        </w:tc>
        <w:tc>
          <w:tcPr>
            <w:tcW w:w="2664" w:type="dxa"/>
            <w:shd w:val="clear" w:color="auto" w:fill="FFFFFF"/>
            <w:vAlign w:val="center"/>
          </w:tcPr>
          <w:p w14:paraId="5DC05FB1" w14:textId="77777777" w:rsidR="00941CF4" w:rsidRDefault="00000000">
            <w:r>
              <w:rPr>
                <w:rFonts w:ascii="Aptos" w:hAnsi="Aptos"/>
                <w:sz w:val="16"/>
              </w:rPr>
              <w:t>Action roadmap and interpretation rules</w:t>
            </w:r>
          </w:p>
        </w:tc>
        <w:tc>
          <w:tcPr>
            <w:tcW w:w="2664" w:type="dxa"/>
            <w:shd w:val="clear" w:color="auto" w:fill="FFFFFF"/>
            <w:vAlign w:val="center"/>
          </w:tcPr>
          <w:p w14:paraId="3823EF34" w14:textId="77777777" w:rsidR="00941CF4" w:rsidRDefault="00000000">
            <w:r>
              <w:rPr>
                <w:rFonts w:ascii="Aptos" w:hAnsi="Aptos"/>
                <w:sz w:val="16"/>
              </w:rPr>
              <w:t>Translate insights into retention campaign strategy.</w:t>
            </w:r>
          </w:p>
        </w:tc>
      </w:tr>
    </w:tbl>
    <w:p w14:paraId="6ED81089" w14:textId="77777777" w:rsidR="00941CF4" w:rsidRDefault="00941CF4"/>
    <w:p w14:paraId="71FF3BF2" w14:textId="77777777" w:rsidR="00941CF4" w:rsidRDefault="00000000">
      <w:r>
        <w:br w:type="page"/>
      </w:r>
    </w:p>
    <w:p w14:paraId="67ABAD92" w14:textId="77777777" w:rsidR="00941CF4" w:rsidRDefault="00000000">
      <w:pPr>
        <w:pStyle w:val="Heading1"/>
      </w:pPr>
      <w:r>
        <w:lastRenderedPageBreak/>
        <w:t>3. Introduction</w:t>
      </w:r>
    </w:p>
    <w:p w14:paraId="402EA137" w14:textId="77777777" w:rsidR="00941CF4" w:rsidRDefault="00000000">
      <w:pPr>
        <w:pStyle w:val="BodyText"/>
        <w:jc w:val="both"/>
      </w:pPr>
      <w:r>
        <w:t>Banking retention analytics increasingly depends on understanding how customers behave rather than only describing who they are. Traditional churn analysis often focuses on demographics or financial indicators, but customer engagement, product usage, and relationship depth provide stronger decision signals for designing targeted retention strategies.</w:t>
      </w:r>
    </w:p>
    <w:p w14:paraId="57EB9964" w14:textId="77777777" w:rsidR="00941CF4" w:rsidRDefault="00000000">
      <w:pPr>
        <w:pStyle w:val="BodyText"/>
        <w:jc w:val="both"/>
      </w:pPr>
      <w:r>
        <w:t>This project evaluates customer retention through the combined lens of engagement behavior and product utilization. It focuses on whether active customers retain better than inactive customers, whether product depth strengthens loyalty, whether high-value customers can still be disengaged, and whether relationship strength scoring can separate sticky customers from high-risk customers.</w:t>
      </w:r>
    </w:p>
    <w:p w14:paraId="04686613" w14:textId="77777777" w:rsidR="00941CF4" w:rsidRDefault="00000000">
      <w:pPr>
        <w:pStyle w:val="BodyText"/>
        <w:jc w:val="both"/>
      </w:pPr>
      <w:r>
        <w:t>The study is designed as an applied analytics research paper. It combines EDA, KPI measurement, feature-engineered segmentation, dashboard visualization, and strategic recommendations. The goal is not merely to report churn rate, but to identify actionable micro-segments that banks can target through reactivation campaigns, product bundling, premium retention outreach, and tier-based relationship management.</w:t>
      </w:r>
    </w:p>
    <w:tbl>
      <w:tblPr>
        <w:tblW w:w="0" w:type="auto"/>
        <w:jc w:val="center"/>
        <w:tblLook w:val="04A0" w:firstRow="1" w:lastRow="0" w:firstColumn="1" w:lastColumn="0" w:noHBand="0" w:noVBand="1"/>
      </w:tblPr>
      <w:tblGrid>
        <w:gridCol w:w="10656"/>
      </w:tblGrid>
      <w:tr w:rsidR="00941CF4" w14:paraId="781C9DA6"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EAF2FB"/>
          </w:tcPr>
          <w:p w14:paraId="3420AB17" w14:textId="77777777" w:rsidR="00941CF4" w:rsidRDefault="00000000">
            <w:pPr>
              <w:spacing w:after="80"/>
            </w:pPr>
            <w:r>
              <w:rPr>
                <w:b/>
                <w:color w:val="001F3F"/>
                <w:sz w:val="21"/>
              </w:rPr>
              <w:t>Research positioning</w:t>
            </w:r>
          </w:p>
          <w:p w14:paraId="64505012" w14:textId="77777777" w:rsidR="00941CF4" w:rsidRDefault="00000000">
            <w:pPr>
              <w:spacing w:after="0"/>
            </w:pPr>
            <w:r>
              <w:rPr>
                <w:sz w:val="19"/>
              </w:rPr>
              <w:t>The paper positions customer churn as a behavioral relationship-strength issue. Financial value, such as balance or estimated salary, is treated as an important business value signal, but not as a substitute for engagement or loyalty.</w:t>
            </w:r>
          </w:p>
        </w:tc>
      </w:tr>
    </w:tbl>
    <w:p w14:paraId="7CD8E4B5" w14:textId="77777777" w:rsidR="00941CF4" w:rsidRDefault="00941CF4"/>
    <w:tbl>
      <w:tblPr>
        <w:tblW w:w="0" w:type="auto"/>
        <w:jc w:val="center"/>
        <w:tblLook w:val="04A0" w:firstRow="1" w:lastRow="0" w:firstColumn="1" w:lastColumn="0" w:noHBand="0" w:noVBand="1"/>
      </w:tblPr>
      <w:tblGrid>
        <w:gridCol w:w="2448"/>
        <w:gridCol w:w="3456"/>
        <w:gridCol w:w="4176"/>
      </w:tblGrid>
      <w:tr w:rsidR="00941CF4" w14:paraId="3DFB224F" w14:textId="77777777">
        <w:trPr>
          <w:tblHeade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27CAFA41" w14:textId="77777777" w:rsidR="00941CF4" w:rsidRDefault="00000000">
            <w:pPr>
              <w:spacing w:after="0"/>
            </w:pPr>
            <w:r>
              <w:rPr>
                <w:b/>
                <w:color w:val="FFFFFF"/>
                <w:sz w:val="17"/>
              </w:rPr>
              <w:t>Analytical Dimension</w:t>
            </w:r>
          </w:p>
        </w:tc>
        <w:tc>
          <w:tcPr>
            <w:tcW w:w="3456"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30EF44E3" w14:textId="77777777" w:rsidR="00941CF4" w:rsidRDefault="00000000">
            <w:pPr>
              <w:spacing w:after="0"/>
            </w:pPr>
            <w:r>
              <w:rPr>
                <w:b/>
                <w:color w:val="FFFFFF"/>
                <w:sz w:val="17"/>
              </w:rPr>
              <w:t>Retention Question</w:t>
            </w:r>
          </w:p>
        </w:tc>
        <w:tc>
          <w:tcPr>
            <w:tcW w:w="4176"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663297EC" w14:textId="77777777" w:rsidR="00941CF4" w:rsidRDefault="00000000">
            <w:pPr>
              <w:spacing w:after="0"/>
            </w:pPr>
            <w:r>
              <w:rPr>
                <w:b/>
                <w:color w:val="FFFFFF"/>
                <w:sz w:val="17"/>
              </w:rPr>
              <w:t>Dashboard Evidence Used</w:t>
            </w:r>
          </w:p>
        </w:tc>
      </w:tr>
      <w:tr w:rsidR="00941CF4" w14:paraId="12984934" w14:textId="77777777">
        <w:trPr>
          <w:jc w:val="center"/>
        </w:trPr>
        <w:tc>
          <w:tcPr>
            <w:tcW w:w="2448" w:type="dxa"/>
            <w:shd w:val="clear" w:color="auto" w:fill="FFFFFF"/>
          </w:tcPr>
          <w:p w14:paraId="666007EA" w14:textId="77777777" w:rsidR="00941CF4" w:rsidRDefault="00000000">
            <w:pPr>
              <w:spacing w:after="0"/>
            </w:pPr>
            <w:r>
              <w:rPr>
                <w:sz w:val="16"/>
              </w:rPr>
              <w:t>Engagement behavior</w:t>
            </w:r>
          </w:p>
        </w:tc>
        <w:tc>
          <w:tcPr>
            <w:tcW w:w="3456" w:type="dxa"/>
            <w:shd w:val="clear" w:color="auto" w:fill="FFFFFF"/>
          </w:tcPr>
          <w:p w14:paraId="0D1C8656" w14:textId="77777777" w:rsidR="00941CF4" w:rsidRDefault="00000000">
            <w:pPr>
              <w:spacing w:after="0"/>
            </w:pPr>
            <w:r>
              <w:rPr>
                <w:sz w:val="16"/>
              </w:rPr>
              <w:t>Do active customers retain better than inactive customers?</w:t>
            </w:r>
          </w:p>
        </w:tc>
        <w:tc>
          <w:tcPr>
            <w:tcW w:w="4176" w:type="dxa"/>
            <w:shd w:val="clear" w:color="auto" w:fill="FFFFFF"/>
          </w:tcPr>
          <w:p w14:paraId="1A5A3B0E" w14:textId="77777777" w:rsidR="00941CF4" w:rsidRDefault="00000000">
            <w:pPr>
              <w:spacing w:after="0"/>
            </w:pPr>
            <w:r>
              <w:rPr>
                <w:sz w:val="16"/>
              </w:rPr>
              <w:t>Engagement retention ratio, engagement outcome split, churn contribution donut</w:t>
            </w:r>
          </w:p>
        </w:tc>
      </w:tr>
      <w:tr w:rsidR="00941CF4" w14:paraId="7EEFDC5C" w14:textId="77777777">
        <w:trPr>
          <w:jc w:val="center"/>
        </w:trPr>
        <w:tc>
          <w:tcPr>
            <w:tcW w:w="2448" w:type="dxa"/>
            <w:shd w:val="clear" w:color="auto" w:fill="F5F7FA"/>
          </w:tcPr>
          <w:p w14:paraId="773CFD72" w14:textId="77777777" w:rsidR="00941CF4" w:rsidRDefault="00000000">
            <w:pPr>
              <w:spacing w:after="0"/>
            </w:pPr>
            <w:r>
              <w:rPr>
                <w:sz w:val="16"/>
              </w:rPr>
              <w:t>Product utilization</w:t>
            </w:r>
          </w:p>
        </w:tc>
        <w:tc>
          <w:tcPr>
            <w:tcW w:w="3456" w:type="dxa"/>
            <w:shd w:val="clear" w:color="auto" w:fill="F5F7FA"/>
          </w:tcPr>
          <w:p w14:paraId="79D3E909" w14:textId="77777777" w:rsidR="00941CF4" w:rsidRDefault="00000000">
            <w:pPr>
              <w:spacing w:after="0"/>
            </w:pPr>
            <w:r>
              <w:rPr>
                <w:sz w:val="16"/>
              </w:rPr>
              <w:t>Does product depth improve loyalty?</w:t>
            </w:r>
          </w:p>
        </w:tc>
        <w:tc>
          <w:tcPr>
            <w:tcW w:w="4176" w:type="dxa"/>
            <w:shd w:val="clear" w:color="auto" w:fill="F5F7FA"/>
          </w:tcPr>
          <w:p w14:paraId="519FEA64" w14:textId="77777777" w:rsidR="00941CF4" w:rsidRDefault="00000000">
            <w:pPr>
              <w:spacing w:after="0"/>
            </w:pPr>
            <w:r>
              <w:rPr>
                <w:sz w:val="16"/>
              </w:rPr>
              <w:t>Product count impact, single vs multi-product retention split, product depth risk matrix</w:t>
            </w:r>
          </w:p>
        </w:tc>
      </w:tr>
      <w:tr w:rsidR="00941CF4" w14:paraId="34B90740" w14:textId="77777777">
        <w:trPr>
          <w:jc w:val="center"/>
        </w:trPr>
        <w:tc>
          <w:tcPr>
            <w:tcW w:w="2448" w:type="dxa"/>
            <w:shd w:val="clear" w:color="auto" w:fill="FFFFFF"/>
          </w:tcPr>
          <w:p w14:paraId="52E5B40D" w14:textId="77777777" w:rsidR="00941CF4" w:rsidRDefault="00000000">
            <w:pPr>
              <w:spacing w:after="0"/>
            </w:pPr>
            <w:r>
              <w:rPr>
                <w:sz w:val="16"/>
              </w:rPr>
              <w:t>Premium customer risk</w:t>
            </w:r>
          </w:p>
        </w:tc>
        <w:tc>
          <w:tcPr>
            <w:tcW w:w="3456" w:type="dxa"/>
            <w:shd w:val="clear" w:color="auto" w:fill="FFFFFF"/>
          </w:tcPr>
          <w:p w14:paraId="51392FA9" w14:textId="77777777" w:rsidR="00941CF4" w:rsidRDefault="00000000">
            <w:pPr>
              <w:spacing w:after="0"/>
            </w:pPr>
            <w:r>
              <w:rPr>
                <w:sz w:val="16"/>
              </w:rPr>
              <w:t>Can high-value customers still be disengaged?</w:t>
            </w:r>
          </w:p>
        </w:tc>
        <w:tc>
          <w:tcPr>
            <w:tcW w:w="4176" w:type="dxa"/>
            <w:shd w:val="clear" w:color="auto" w:fill="FFFFFF"/>
          </w:tcPr>
          <w:p w14:paraId="19E6578A" w14:textId="77777777" w:rsidR="00941CF4" w:rsidRDefault="00000000">
            <w:pPr>
              <w:spacing w:after="0"/>
            </w:pPr>
            <w:r>
              <w:rPr>
                <w:sz w:val="16"/>
              </w:rPr>
              <w:t>High-value disengaged detector, segment mix, balance exposure</w:t>
            </w:r>
          </w:p>
        </w:tc>
      </w:tr>
      <w:tr w:rsidR="00941CF4" w14:paraId="47B4C49B" w14:textId="77777777">
        <w:trPr>
          <w:jc w:val="center"/>
        </w:trPr>
        <w:tc>
          <w:tcPr>
            <w:tcW w:w="2448" w:type="dxa"/>
            <w:shd w:val="clear" w:color="auto" w:fill="F5F7FA"/>
          </w:tcPr>
          <w:p w14:paraId="3957EBFB" w14:textId="77777777" w:rsidR="00941CF4" w:rsidRDefault="00000000">
            <w:pPr>
              <w:spacing w:after="0"/>
            </w:pPr>
            <w:r>
              <w:rPr>
                <w:sz w:val="16"/>
              </w:rPr>
              <w:t>Retention scoring</w:t>
            </w:r>
          </w:p>
        </w:tc>
        <w:tc>
          <w:tcPr>
            <w:tcW w:w="3456" w:type="dxa"/>
            <w:shd w:val="clear" w:color="auto" w:fill="F5F7FA"/>
          </w:tcPr>
          <w:p w14:paraId="7D04CBD4" w14:textId="77777777" w:rsidR="00941CF4" w:rsidRDefault="00000000">
            <w:pPr>
              <w:spacing w:after="0"/>
            </w:pPr>
            <w:r>
              <w:rPr>
                <w:sz w:val="16"/>
              </w:rPr>
              <w:t>Can a score-based framework prioritize intervention?</w:t>
            </w:r>
          </w:p>
        </w:tc>
        <w:tc>
          <w:tcPr>
            <w:tcW w:w="4176" w:type="dxa"/>
            <w:shd w:val="clear" w:color="auto" w:fill="F5F7FA"/>
          </w:tcPr>
          <w:p w14:paraId="3C0C8771" w14:textId="77777777" w:rsidR="00941CF4" w:rsidRDefault="00000000">
            <w:pPr>
              <w:spacing w:after="0"/>
            </w:pPr>
            <w:r>
              <w:rPr>
                <w:sz w:val="16"/>
              </w:rPr>
              <w:t>Retention strength distribution, tier box plot, relationship map, churn risk ranking</w:t>
            </w:r>
          </w:p>
        </w:tc>
      </w:tr>
    </w:tbl>
    <w:p w14:paraId="7CE73DE1" w14:textId="77777777" w:rsidR="00941CF4" w:rsidRDefault="00941CF4"/>
    <w:p w14:paraId="4E3DDD32" w14:textId="77777777" w:rsidR="00941CF4" w:rsidRDefault="00000000">
      <w:r>
        <w:br w:type="page"/>
      </w:r>
    </w:p>
    <w:p w14:paraId="365B95C4" w14:textId="77777777" w:rsidR="00941CF4" w:rsidRDefault="00000000">
      <w:pPr>
        <w:pStyle w:val="Heading1"/>
      </w:pPr>
      <w:r>
        <w:lastRenderedPageBreak/>
        <w:t>4. Background and Context</w:t>
      </w:r>
    </w:p>
    <w:p w14:paraId="728D486E" w14:textId="77777777" w:rsidR="00941CF4" w:rsidRDefault="00000000">
      <w:pPr>
        <w:pStyle w:val="BodyText"/>
        <w:jc w:val="both"/>
      </w:pPr>
      <w:r>
        <w:t>Banks increasingly recognize that customer retention depends on the depth and quality of the relationship. Customers with more active engagement, meaningful product usage, and stronger relationship indicators tend to be easier to retain than customers who hold accounts passively or interact minimally with the bank.</w:t>
      </w:r>
    </w:p>
    <w:p w14:paraId="3120A810" w14:textId="77777777" w:rsidR="00941CF4" w:rsidRDefault="00000000">
      <w:pPr>
        <w:pStyle w:val="BodyText"/>
        <w:jc w:val="both"/>
      </w:pPr>
      <w:r>
        <w:t>The project guidelines emphasize that high balance or salary does not automatically guarantee loyalty. A customer can appear financially strong but still churn because of limited product adoption, low engagement, weak relationship depth, or lack of perceived value from the bank. This is especially important for premium customers because losing a high-value customer can create both revenue and balance exposure.</w:t>
      </w:r>
    </w:p>
    <w:p w14:paraId="4CDC2A47" w14:textId="77777777" w:rsidR="00941CF4" w:rsidRDefault="00000000">
      <w:pPr>
        <w:pStyle w:val="BodyText"/>
        <w:jc w:val="both"/>
      </w:pPr>
      <w:r>
        <w:t>Product utilization is also not a simple linear success metric. A customer with one product may have a shallow relationship and higher churn risk, but a customer with too many products may also show friction if products are poorly matched to needs. The dashboard therefore evaluates product count, product depth, and retention tiers together.</w:t>
      </w:r>
    </w:p>
    <w:tbl>
      <w:tblPr>
        <w:tblW w:w="0" w:type="auto"/>
        <w:jc w:val="center"/>
        <w:tblLook w:val="04A0" w:firstRow="1" w:lastRow="0" w:firstColumn="1" w:lastColumn="0" w:noHBand="0" w:noVBand="1"/>
      </w:tblPr>
      <w:tblGrid>
        <w:gridCol w:w="2016"/>
        <w:gridCol w:w="3168"/>
        <w:gridCol w:w="4608"/>
      </w:tblGrid>
      <w:tr w:rsidR="00941CF4" w14:paraId="4B153664" w14:textId="77777777">
        <w:trPr>
          <w:tblHeade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354ED609" w14:textId="77777777" w:rsidR="00941CF4" w:rsidRDefault="00000000">
            <w:pPr>
              <w:spacing w:after="0"/>
            </w:pPr>
            <w:r>
              <w:rPr>
                <w:b/>
                <w:color w:val="FFFFFF"/>
                <w:sz w:val="17"/>
              </w:rPr>
              <w:t>Banking Signal</w:t>
            </w:r>
          </w:p>
        </w:tc>
        <w:tc>
          <w:tcPr>
            <w:tcW w:w="3168"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2C75F4DB" w14:textId="77777777" w:rsidR="00941CF4" w:rsidRDefault="00000000">
            <w:pPr>
              <w:spacing w:after="0"/>
            </w:pPr>
            <w:r>
              <w:rPr>
                <w:b/>
                <w:color w:val="FFFFFF"/>
                <w:sz w:val="17"/>
              </w:rPr>
              <w:t>Meaning</w:t>
            </w:r>
          </w:p>
        </w:tc>
        <w:tc>
          <w:tcPr>
            <w:tcW w:w="4608"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443F4A61" w14:textId="77777777" w:rsidR="00941CF4" w:rsidRDefault="00000000">
            <w:pPr>
              <w:spacing w:after="0"/>
            </w:pPr>
            <w:r>
              <w:rPr>
                <w:b/>
                <w:color w:val="FFFFFF"/>
                <w:sz w:val="17"/>
              </w:rPr>
              <w:t>Retention Relevance</w:t>
            </w:r>
          </w:p>
        </w:tc>
      </w:tr>
      <w:tr w:rsidR="00941CF4" w14:paraId="74D7DBB3" w14:textId="77777777">
        <w:trPr>
          <w:jc w:val="center"/>
        </w:trPr>
        <w:tc>
          <w:tcPr>
            <w:tcW w:w="2016" w:type="dxa"/>
            <w:shd w:val="clear" w:color="auto" w:fill="FFFFFF"/>
          </w:tcPr>
          <w:p w14:paraId="07D47B4A" w14:textId="77777777" w:rsidR="00941CF4" w:rsidRDefault="00000000">
            <w:pPr>
              <w:spacing w:after="0"/>
            </w:pPr>
            <w:r>
              <w:rPr>
                <w:sz w:val="16"/>
              </w:rPr>
              <w:t>IsActiveMember</w:t>
            </w:r>
          </w:p>
        </w:tc>
        <w:tc>
          <w:tcPr>
            <w:tcW w:w="3168" w:type="dxa"/>
            <w:shd w:val="clear" w:color="auto" w:fill="FFFFFF"/>
          </w:tcPr>
          <w:p w14:paraId="7D8A7B01" w14:textId="77777777" w:rsidR="00941CF4" w:rsidRDefault="00000000">
            <w:pPr>
              <w:spacing w:after="0"/>
            </w:pPr>
            <w:r>
              <w:rPr>
                <w:sz w:val="16"/>
              </w:rPr>
              <w:t>Whether the customer is active or inactive</w:t>
            </w:r>
          </w:p>
        </w:tc>
        <w:tc>
          <w:tcPr>
            <w:tcW w:w="4608" w:type="dxa"/>
            <w:shd w:val="clear" w:color="auto" w:fill="FFFFFF"/>
          </w:tcPr>
          <w:p w14:paraId="449DCD40" w14:textId="77777777" w:rsidR="00941CF4" w:rsidRDefault="00000000">
            <w:pPr>
              <w:spacing w:after="0"/>
            </w:pPr>
            <w:r>
              <w:rPr>
                <w:sz w:val="16"/>
              </w:rPr>
              <w:t>Active membership is a direct behavioral engagement signal.</w:t>
            </w:r>
          </w:p>
        </w:tc>
      </w:tr>
      <w:tr w:rsidR="00941CF4" w14:paraId="3E14F969" w14:textId="77777777">
        <w:trPr>
          <w:jc w:val="center"/>
        </w:trPr>
        <w:tc>
          <w:tcPr>
            <w:tcW w:w="2016" w:type="dxa"/>
            <w:shd w:val="clear" w:color="auto" w:fill="F5F7FA"/>
          </w:tcPr>
          <w:p w14:paraId="18145EDC" w14:textId="77777777" w:rsidR="00941CF4" w:rsidRDefault="00000000">
            <w:pPr>
              <w:spacing w:after="0"/>
            </w:pPr>
            <w:r>
              <w:rPr>
                <w:sz w:val="16"/>
              </w:rPr>
              <w:t>NumOfProducts</w:t>
            </w:r>
          </w:p>
        </w:tc>
        <w:tc>
          <w:tcPr>
            <w:tcW w:w="3168" w:type="dxa"/>
            <w:shd w:val="clear" w:color="auto" w:fill="F5F7FA"/>
          </w:tcPr>
          <w:p w14:paraId="6087E913" w14:textId="77777777" w:rsidR="00941CF4" w:rsidRDefault="00000000">
            <w:pPr>
              <w:spacing w:after="0"/>
            </w:pPr>
            <w:r>
              <w:rPr>
                <w:sz w:val="16"/>
              </w:rPr>
              <w:t>Number of bank products used</w:t>
            </w:r>
          </w:p>
        </w:tc>
        <w:tc>
          <w:tcPr>
            <w:tcW w:w="4608" w:type="dxa"/>
            <w:shd w:val="clear" w:color="auto" w:fill="F5F7FA"/>
          </w:tcPr>
          <w:p w14:paraId="59055EDC" w14:textId="77777777" w:rsidR="00941CF4" w:rsidRDefault="00000000">
            <w:pPr>
              <w:spacing w:after="0"/>
            </w:pPr>
            <w:r>
              <w:rPr>
                <w:sz w:val="16"/>
              </w:rPr>
              <w:t>Measures product depth and cross-sell relationship breadth.</w:t>
            </w:r>
          </w:p>
        </w:tc>
      </w:tr>
      <w:tr w:rsidR="00941CF4" w14:paraId="72D48C03" w14:textId="77777777">
        <w:trPr>
          <w:jc w:val="center"/>
        </w:trPr>
        <w:tc>
          <w:tcPr>
            <w:tcW w:w="2016" w:type="dxa"/>
            <w:shd w:val="clear" w:color="auto" w:fill="FFFFFF"/>
          </w:tcPr>
          <w:p w14:paraId="45B102AB" w14:textId="77777777" w:rsidR="00941CF4" w:rsidRDefault="00000000">
            <w:pPr>
              <w:spacing w:after="0"/>
            </w:pPr>
            <w:r>
              <w:rPr>
                <w:sz w:val="16"/>
              </w:rPr>
              <w:t>HasCrCard</w:t>
            </w:r>
          </w:p>
        </w:tc>
        <w:tc>
          <w:tcPr>
            <w:tcW w:w="3168" w:type="dxa"/>
            <w:shd w:val="clear" w:color="auto" w:fill="FFFFFF"/>
          </w:tcPr>
          <w:p w14:paraId="32C02593" w14:textId="77777777" w:rsidR="00941CF4" w:rsidRDefault="00000000">
            <w:pPr>
              <w:spacing w:after="0"/>
            </w:pPr>
            <w:r>
              <w:rPr>
                <w:sz w:val="16"/>
              </w:rPr>
              <w:t>Credit-card ownership indicator</w:t>
            </w:r>
          </w:p>
        </w:tc>
        <w:tc>
          <w:tcPr>
            <w:tcW w:w="4608" w:type="dxa"/>
            <w:shd w:val="clear" w:color="auto" w:fill="FFFFFF"/>
          </w:tcPr>
          <w:p w14:paraId="106E4EDF" w14:textId="77777777" w:rsidR="00941CF4" w:rsidRDefault="00000000">
            <w:pPr>
              <w:spacing w:after="0"/>
            </w:pPr>
            <w:r>
              <w:rPr>
                <w:sz w:val="16"/>
              </w:rPr>
              <w:t>Supports evaluation of card stickiness and product-linked retention.</w:t>
            </w:r>
          </w:p>
        </w:tc>
      </w:tr>
      <w:tr w:rsidR="00941CF4" w14:paraId="020DDDC4" w14:textId="77777777">
        <w:trPr>
          <w:jc w:val="center"/>
        </w:trPr>
        <w:tc>
          <w:tcPr>
            <w:tcW w:w="2016" w:type="dxa"/>
            <w:shd w:val="clear" w:color="auto" w:fill="F5F7FA"/>
          </w:tcPr>
          <w:p w14:paraId="5F0C4879" w14:textId="77777777" w:rsidR="00941CF4" w:rsidRDefault="00000000">
            <w:pPr>
              <w:spacing w:after="0"/>
            </w:pPr>
            <w:r>
              <w:rPr>
                <w:sz w:val="16"/>
              </w:rPr>
              <w:t>Balance</w:t>
            </w:r>
          </w:p>
        </w:tc>
        <w:tc>
          <w:tcPr>
            <w:tcW w:w="3168" w:type="dxa"/>
            <w:shd w:val="clear" w:color="auto" w:fill="F5F7FA"/>
          </w:tcPr>
          <w:p w14:paraId="75452DAF" w14:textId="77777777" w:rsidR="00941CF4" w:rsidRDefault="00000000">
            <w:pPr>
              <w:spacing w:after="0"/>
            </w:pPr>
            <w:r>
              <w:rPr>
                <w:sz w:val="16"/>
              </w:rPr>
              <w:t>Account balance</w:t>
            </w:r>
          </w:p>
        </w:tc>
        <w:tc>
          <w:tcPr>
            <w:tcW w:w="4608" w:type="dxa"/>
            <w:shd w:val="clear" w:color="auto" w:fill="F5F7FA"/>
          </w:tcPr>
          <w:p w14:paraId="79F689B5" w14:textId="77777777" w:rsidR="00941CF4" w:rsidRDefault="00000000">
            <w:pPr>
              <w:spacing w:after="0"/>
            </w:pPr>
            <w:r>
              <w:rPr>
                <w:sz w:val="16"/>
              </w:rPr>
              <w:t>Captures financial value but does not prove loyalty.</w:t>
            </w:r>
          </w:p>
        </w:tc>
      </w:tr>
      <w:tr w:rsidR="00941CF4" w14:paraId="0058D2CC" w14:textId="77777777">
        <w:trPr>
          <w:jc w:val="center"/>
        </w:trPr>
        <w:tc>
          <w:tcPr>
            <w:tcW w:w="2016" w:type="dxa"/>
            <w:shd w:val="clear" w:color="auto" w:fill="FFFFFF"/>
          </w:tcPr>
          <w:p w14:paraId="6901692A" w14:textId="77777777" w:rsidR="00941CF4" w:rsidRDefault="00000000">
            <w:pPr>
              <w:spacing w:after="0"/>
            </w:pPr>
            <w:r>
              <w:rPr>
                <w:sz w:val="16"/>
              </w:rPr>
              <w:t>EstimatedSalary</w:t>
            </w:r>
          </w:p>
        </w:tc>
        <w:tc>
          <w:tcPr>
            <w:tcW w:w="3168" w:type="dxa"/>
            <w:shd w:val="clear" w:color="auto" w:fill="FFFFFF"/>
          </w:tcPr>
          <w:p w14:paraId="762C5C9A" w14:textId="77777777" w:rsidR="00941CF4" w:rsidRDefault="00000000">
            <w:pPr>
              <w:spacing w:after="0"/>
            </w:pPr>
            <w:r>
              <w:rPr>
                <w:sz w:val="16"/>
              </w:rPr>
              <w:t>Estimated annual salary</w:t>
            </w:r>
          </w:p>
        </w:tc>
        <w:tc>
          <w:tcPr>
            <w:tcW w:w="4608" w:type="dxa"/>
            <w:shd w:val="clear" w:color="auto" w:fill="FFFFFF"/>
          </w:tcPr>
          <w:p w14:paraId="1EE989D1" w14:textId="77777777" w:rsidR="00941CF4" w:rsidRDefault="00000000">
            <w:pPr>
              <w:spacing w:after="0"/>
            </w:pPr>
            <w:r>
              <w:rPr>
                <w:sz w:val="16"/>
              </w:rPr>
              <w:t>Supports financial context and mismatch analysis.</w:t>
            </w:r>
          </w:p>
        </w:tc>
      </w:tr>
      <w:tr w:rsidR="00941CF4" w14:paraId="33271E49" w14:textId="77777777">
        <w:trPr>
          <w:jc w:val="center"/>
        </w:trPr>
        <w:tc>
          <w:tcPr>
            <w:tcW w:w="2016" w:type="dxa"/>
            <w:shd w:val="clear" w:color="auto" w:fill="F5F7FA"/>
          </w:tcPr>
          <w:p w14:paraId="6A9B949A" w14:textId="77777777" w:rsidR="00941CF4" w:rsidRDefault="00000000">
            <w:pPr>
              <w:spacing w:after="0"/>
            </w:pPr>
            <w:r>
              <w:rPr>
                <w:sz w:val="16"/>
              </w:rPr>
              <w:t>Exited</w:t>
            </w:r>
          </w:p>
        </w:tc>
        <w:tc>
          <w:tcPr>
            <w:tcW w:w="3168" w:type="dxa"/>
            <w:shd w:val="clear" w:color="auto" w:fill="F5F7FA"/>
          </w:tcPr>
          <w:p w14:paraId="6DA0D680" w14:textId="77777777" w:rsidR="00941CF4" w:rsidRDefault="00000000">
            <w:pPr>
              <w:spacing w:after="0"/>
            </w:pPr>
            <w:r>
              <w:rPr>
                <w:sz w:val="16"/>
              </w:rPr>
              <w:t>Churn target variable</w:t>
            </w:r>
          </w:p>
        </w:tc>
        <w:tc>
          <w:tcPr>
            <w:tcW w:w="4608" w:type="dxa"/>
            <w:shd w:val="clear" w:color="auto" w:fill="F5F7FA"/>
          </w:tcPr>
          <w:p w14:paraId="4E51CCB5" w14:textId="77777777" w:rsidR="00941CF4" w:rsidRDefault="00000000">
            <w:pPr>
              <w:spacing w:after="0"/>
            </w:pPr>
            <w:r>
              <w:rPr>
                <w:sz w:val="16"/>
              </w:rPr>
              <w:t>Indicates whether the customer left the bank.</w:t>
            </w:r>
          </w:p>
        </w:tc>
      </w:tr>
    </w:tbl>
    <w:p w14:paraId="7EC1AAE3" w14:textId="77777777" w:rsidR="00941CF4" w:rsidRDefault="00941CF4"/>
    <w:p w14:paraId="66C5B488" w14:textId="77777777" w:rsidR="00941CF4" w:rsidRDefault="00000000">
      <w:pPr>
        <w:jc w:val="center"/>
      </w:pPr>
      <w:r>
        <w:rPr>
          <w:noProof/>
        </w:rPr>
        <w:drawing>
          <wp:inline distT="0" distB="0" distL="0" distR="0" wp14:anchorId="7543C25B" wp14:editId="43840E0D">
            <wp:extent cx="6172200" cy="2883394"/>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3).png"/>
                    <pic:cNvPicPr/>
                  </pic:nvPicPr>
                  <pic:blipFill>
                    <a:blip r:embed="rId9"/>
                    <a:stretch>
                      <a:fillRect/>
                    </a:stretch>
                  </pic:blipFill>
                  <pic:spPr>
                    <a:xfrm>
                      <a:off x="0" y="0"/>
                      <a:ext cx="6172200" cy="2883394"/>
                    </a:xfrm>
                    <a:prstGeom prst="rect">
                      <a:avLst/>
                    </a:prstGeom>
                  </pic:spPr>
                </pic:pic>
              </a:graphicData>
            </a:graphic>
          </wp:inline>
        </w:drawing>
      </w:r>
    </w:p>
    <w:p w14:paraId="49ABBF2A" w14:textId="77777777" w:rsidR="00941CF4" w:rsidRDefault="00000000">
      <w:pPr>
        <w:spacing w:before="40" w:after="80"/>
        <w:jc w:val="center"/>
      </w:pPr>
      <w:r>
        <w:rPr>
          <w:i/>
          <w:color w:val="596579"/>
          <w:sz w:val="17"/>
        </w:rPr>
        <w:t>Figure 2. Engagement vs Churn Overview dashboard snapshot.</w:t>
      </w:r>
    </w:p>
    <w:tbl>
      <w:tblPr>
        <w:tblW w:w="0" w:type="auto"/>
        <w:jc w:val="center"/>
        <w:tblLook w:val="04A0" w:firstRow="1" w:lastRow="0" w:firstColumn="1" w:lastColumn="0" w:noHBand="0" w:noVBand="1"/>
      </w:tblPr>
      <w:tblGrid>
        <w:gridCol w:w="10656"/>
      </w:tblGrid>
      <w:tr w:rsidR="00941CF4" w14:paraId="0CDB0636"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F8FBFF"/>
          </w:tcPr>
          <w:p w14:paraId="5CD18E77" w14:textId="77777777" w:rsidR="00941CF4" w:rsidRDefault="00000000">
            <w:pPr>
              <w:spacing w:after="80"/>
            </w:pPr>
            <w:r>
              <w:rPr>
                <w:b/>
                <w:color w:val="001F3F"/>
                <w:sz w:val="21"/>
              </w:rPr>
              <w:t>Analyst interpretation</w:t>
            </w:r>
          </w:p>
          <w:p w14:paraId="6E534DC2" w14:textId="77777777" w:rsidR="00941CF4" w:rsidRDefault="00000000">
            <w:pPr>
              <w:spacing w:after="0"/>
            </w:pPr>
            <w:r>
              <w:rPr>
                <w:sz w:val="19"/>
              </w:rPr>
              <w:t>The engagement module defines the behavioral retention context: inactive members show higher churn exposure, while active members represent the stronger retention segment.</w:t>
            </w:r>
          </w:p>
        </w:tc>
      </w:tr>
    </w:tbl>
    <w:p w14:paraId="498A0D79" w14:textId="77777777" w:rsidR="00941CF4" w:rsidRDefault="00941CF4"/>
    <w:p w14:paraId="5033BC37" w14:textId="77777777" w:rsidR="00941CF4" w:rsidRDefault="00000000">
      <w:r>
        <w:br w:type="page"/>
      </w:r>
    </w:p>
    <w:p w14:paraId="6BC85AFA" w14:textId="77777777" w:rsidR="00941CF4" w:rsidRDefault="00000000">
      <w:pPr>
        <w:pStyle w:val="Heading1"/>
      </w:pPr>
      <w:r>
        <w:lastRenderedPageBreak/>
        <w:t>5. Problem Statement</w:t>
      </w:r>
    </w:p>
    <w:p w14:paraId="0057103A" w14:textId="77777777" w:rsidR="00941CF4" w:rsidRDefault="00000000">
      <w:pPr>
        <w:pStyle w:val="BodyText"/>
        <w:jc w:val="both"/>
      </w:pPr>
      <w:r>
        <w:t>Despite having customer engagement and product usage data, banks often lack clear quantitative insight into which behaviors are most strongly associated with retention. Retention actions can become generic when analytics does not distinguish between active customers, inactive customers, single-product users, high-value disengaged customers, and relationship-strength tiers.</w:t>
      </w:r>
    </w:p>
    <w:p w14:paraId="271627A9" w14:textId="77777777" w:rsidR="00941CF4" w:rsidRDefault="00000000">
      <w:pPr>
        <w:pStyle w:val="BodyText"/>
        <w:jc w:val="both"/>
      </w:pPr>
      <w:r>
        <w:t>A key risk is that financially valuable customers may be assumed to be loyal simply because they hold high balances or show strong salary indicators. This can hide silent churn risk. Without identifying high-value disengagement, the bank may fail to prioritize customers whose financial value is high but whose relationship signals are weak.</w:t>
      </w:r>
    </w:p>
    <w:p w14:paraId="17FC46C8" w14:textId="77777777" w:rsidR="00941CF4" w:rsidRDefault="00000000">
      <w:pPr>
        <w:pStyle w:val="BodyText"/>
        <w:jc w:val="both"/>
      </w:pPr>
      <w:r>
        <w:t>This research paper therefore answers a practical retention strategy question: how can engagement behavior, product utilization, high-value risk detection, and relationship strength scoring be used to create targeted, evidence-based retention actions?</w:t>
      </w:r>
    </w:p>
    <w:tbl>
      <w:tblPr>
        <w:tblW w:w="0" w:type="auto"/>
        <w:jc w:val="center"/>
        <w:tblLook w:val="04A0" w:firstRow="1" w:lastRow="0" w:firstColumn="1" w:lastColumn="0" w:noHBand="0" w:noVBand="1"/>
      </w:tblPr>
      <w:tblGrid>
        <w:gridCol w:w="4608"/>
        <w:gridCol w:w="5472"/>
      </w:tblGrid>
      <w:tr w:rsidR="00941CF4" w14:paraId="30D84089" w14:textId="77777777">
        <w:trPr>
          <w:tblHeader/>
          <w:jc w:val="center"/>
        </w:trPr>
        <w:tc>
          <w:tcPr>
            <w:tcW w:w="4608"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443413FD" w14:textId="77777777" w:rsidR="00941CF4" w:rsidRDefault="00000000">
            <w:pPr>
              <w:spacing w:after="0"/>
            </w:pPr>
            <w:r>
              <w:rPr>
                <w:b/>
                <w:color w:val="FFFFFF"/>
                <w:sz w:val="17"/>
              </w:rPr>
              <w:t>Research Question</w:t>
            </w:r>
          </w:p>
        </w:tc>
        <w:tc>
          <w:tcPr>
            <w:tcW w:w="5472"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1CEFA6A1" w14:textId="77777777" w:rsidR="00941CF4" w:rsidRDefault="00000000">
            <w:pPr>
              <w:spacing w:after="0"/>
            </w:pPr>
            <w:r>
              <w:rPr>
                <w:b/>
                <w:color w:val="FFFFFF"/>
                <w:sz w:val="17"/>
              </w:rPr>
              <w:t>Analytical Evidence</w:t>
            </w:r>
          </w:p>
        </w:tc>
      </w:tr>
      <w:tr w:rsidR="00941CF4" w14:paraId="7923B03A" w14:textId="77777777">
        <w:trPr>
          <w:jc w:val="center"/>
        </w:trPr>
        <w:tc>
          <w:tcPr>
            <w:tcW w:w="4608" w:type="dxa"/>
            <w:shd w:val="clear" w:color="auto" w:fill="FFFFFF"/>
          </w:tcPr>
          <w:p w14:paraId="73309DA2" w14:textId="77777777" w:rsidR="00941CF4" w:rsidRDefault="00000000">
            <w:pPr>
              <w:spacing w:after="0"/>
            </w:pPr>
            <w:r>
              <w:rPr>
                <w:sz w:val="16"/>
              </w:rPr>
              <w:t>Do active customers retain better than inactive customers?</w:t>
            </w:r>
          </w:p>
        </w:tc>
        <w:tc>
          <w:tcPr>
            <w:tcW w:w="5472" w:type="dxa"/>
            <w:shd w:val="clear" w:color="auto" w:fill="FFFFFF"/>
          </w:tcPr>
          <w:p w14:paraId="2B1C5633" w14:textId="77777777" w:rsidR="00941CF4" w:rsidRDefault="00000000">
            <w:pPr>
              <w:spacing w:after="0"/>
            </w:pPr>
            <w:r>
              <w:rPr>
                <w:sz w:val="16"/>
              </w:rPr>
              <w:t>Engagement Retention Ratio, retention gap, engagement outcome split</w:t>
            </w:r>
          </w:p>
        </w:tc>
      </w:tr>
      <w:tr w:rsidR="00941CF4" w14:paraId="32389897" w14:textId="77777777">
        <w:trPr>
          <w:jc w:val="center"/>
        </w:trPr>
        <w:tc>
          <w:tcPr>
            <w:tcW w:w="4608" w:type="dxa"/>
            <w:shd w:val="clear" w:color="auto" w:fill="F5F7FA"/>
          </w:tcPr>
          <w:p w14:paraId="692C88C5" w14:textId="77777777" w:rsidR="00941CF4" w:rsidRDefault="00000000">
            <w:pPr>
              <w:spacing w:after="0"/>
            </w:pPr>
            <w:r>
              <w:rPr>
                <w:sz w:val="16"/>
              </w:rPr>
              <w:t>Which engagement segment contributes most to churn?</w:t>
            </w:r>
          </w:p>
        </w:tc>
        <w:tc>
          <w:tcPr>
            <w:tcW w:w="5472" w:type="dxa"/>
            <w:shd w:val="clear" w:color="auto" w:fill="F5F7FA"/>
          </w:tcPr>
          <w:p w14:paraId="6C87D664" w14:textId="77777777" w:rsidR="00941CF4" w:rsidRDefault="00000000">
            <w:pPr>
              <w:spacing w:after="0"/>
            </w:pPr>
            <w:r>
              <w:rPr>
                <w:sz w:val="16"/>
              </w:rPr>
              <w:t>Churn Contribution Share by Engagement Segment</w:t>
            </w:r>
          </w:p>
        </w:tc>
      </w:tr>
      <w:tr w:rsidR="00941CF4" w14:paraId="479E082F" w14:textId="77777777">
        <w:trPr>
          <w:jc w:val="center"/>
        </w:trPr>
        <w:tc>
          <w:tcPr>
            <w:tcW w:w="4608" w:type="dxa"/>
            <w:shd w:val="clear" w:color="auto" w:fill="FFFFFF"/>
          </w:tcPr>
          <w:p w14:paraId="40429FD0" w14:textId="77777777" w:rsidR="00941CF4" w:rsidRDefault="00000000">
            <w:pPr>
              <w:spacing w:after="0"/>
            </w:pPr>
            <w:r>
              <w:rPr>
                <w:sz w:val="16"/>
              </w:rPr>
              <w:t>Does product depth improve retention?</w:t>
            </w:r>
          </w:p>
        </w:tc>
        <w:tc>
          <w:tcPr>
            <w:tcW w:w="5472" w:type="dxa"/>
            <w:shd w:val="clear" w:color="auto" w:fill="FFFFFF"/>
          </w:tcPr>
          <w:p w14:paraId="56F9C8ED" w14:textId="77777777" w:rsidR="00941CF4" w:rsidRDefault="00000000">
            <w:pPr>
              <w:spacing w:after="0"/>
            </w:pPr>
            <w:r>
              <w:rPr>
                <w:sz w:val="16"/>
              </w:rPr>
              <w:t>Product Count Impact and Single vs Multi-Product Retention Split</w:t>
            </w:r>
          </w:p>
        </w:tc>
      </w:tr>
      <w:tr w:rsidR="00941CF4" w14:paraId="38A83F5F" w14:textId="77777777">
        <w:trPr>
          <w:jc w:val="center"/>
        </w:trPr>
        <w:tc>
          <w:tcPr>
            <w:tcW w:w="4608" w:type="dxa"/>
            <w:shd w:val="clear" w:color="auto" w:fill="F5F7FA"/>
          </w:tcPr>
          <w:p w14:paraId="14ACD5FC" w14:textId="77777777" w:rsidR="00941CF4" w:rsidRDefault="00000000">
            <w:pPr>
              <w:spacing w:after="0"/>
            </w:pPr>
            <w:r>
              <w:rPr>
                <w:sz w:val="16"/>
              </w:rPr>
              <w:t>Which product-count groups show elevated churn risk?</w:t>
            </w:r>
          </w:p>
        </w:tc>
        <w:tc>
          <w:tcPr>
            <w:tcW w:w="5472" w:type="dxa"/>
            <w:shd w:val="clear" w:color="auto" w:fill="F5F7FA"/>
          </w:tcPr>
          <w:p w14:paraId="4599CF08" w14:textId="77777777" w:rsidR="00941CF4" w:rsidRDefault="00000000">
            <w:pPr>
              <w:spacing w:after="0"/>
            </w:pPr>
            <w:r>
              <w:rPr>
                <w:sz w:val="16"/>
              </w:rPr>
              <w:t>Product Depth x Retention Tier Risk Matrix</w:t>
            </w:r>
          </w:p>
        </w:tc>
      </w:tr>
      <w:tr w:rsidR="00941CF4" w14:paraId="51332151" w14:textId="77777777">
        <w:trPr>
          <w:jc w:val="center"/>
        </w:trPr>
        <w:tc>
          <w:tcPr>
            <w:tcW w:w="4608" w:type="dxa"/>
            <w:shd w:val="clear" w:color="auto" w:fill="FFFFFF"/>
          </w:tcPr>
          <w:p w14:paraId="2993F4B5" w14:textId="77777777" w:rsidR="00941CF4" w:rsidRDefault="00000000">
            <w:pPr>
              <w:spacing w:after="0"/>
            </w:pPr>
            <w:r>
              <w:rPr>
                <w:sz w:val="16"/>
              </w:rPr>
              <w:t>Are high-value customers vulnerable to disengagement?</w:t>
            </w:r>
          </w:p>
        </w:tc>
        <w:tc>
          <w:tcPr>
            <w:tcW w:w="5472" w:type="dxa"/>
            <w:shd w:val="clear" w:color="auto" w:fill="FFFFFF"/>
          </w:tcPr>
          <w:p w14:paraId="2C1F8B63" w14:textId="77777777" w:rsidR="00941CF4" w:rsidRDefault="00000000">
            <w:pPr>
              <w:spacing w:after="0"/>
            </w:pPr>
            <w:r>
              <w:rPr>
                <w:sz w:val="16"/>
              </w:rPr>
              <w:t>High-Value Disengaged Customer Detector and Balance Exposure</w:t>
            </w:r>
          </w:p>
        </w:tc>
      </w:tr>
      <w:tr w:rsidR="00941CF4" w14:paraId="52DFB120" w14:textId="77777777">
        <w:trPr>
          <w:jc w:val="center"/>
        </w:trPr>
        <w:tc>
          <w:tcPr>
            <w:tcW w:w="4608" w:type="dxa"/>
            <w:shd w:val="clear" w:color="auto" w:fill="F5F7FA"/>
          </w:tcPr>
          <w:p w14:paraId="3191FDCA" w14:textId="77777777" w:rsidR="00941CF4" w:rsidRDefault="00000000">
            <w:pPr>
              <w:spacing w:after="0"/>
            </w:pPr>
            <w:r>
              <w:rPr>
                <w:sz w:val="16"/>
              </w:rPr>
              <w:t>Can retention scoring prioritize intervention?</w:t>
            </w:r>
          </w:p>
        </w:tc>
        <w:tc>
          <w:tcPr>
            <w:tcW w:w="5472" w:type="dxa"/>
            <w:shd w:val="clear" w:color="auto" w:fill="F5F7FA"/>
          </w:tcPr>
          <w:p w14:paraId="48C1EE4C" w14:textId="77777777" w:rsidR="00941CF4" w:rsidRDefault="00000000">
            <w:pPr>
              <w:spacing w:after="0"/>
            </w:pPr>
            <w:r>
              <w:rPr>
                <w:sz w:val="16"/>
              </w:rPr>
              <w:t>Retention Tier Churn Risk Ranking and Relationship Strength Map</w:t>
            </w:r>
          </w:p>
        </w:tc>
      </w:tr>
    </w:tbl>
    <w:p w14:paraId="6A9AF875" w14:textId="77777777" w:rsidR="00941CF4" w:rsidRDefault="00941CF4"/>
    <w:p w14:paraId="563A868E" w14:textId="77777777" w:rsidR="00941CF4" w:rsidRDefault="00000000">
      <w:r>
        <w:br w:type="page"/>
      </w:r>
    </w:p>
    <w:p w14:paraId="1E48DE90" w14:textId="77777777" w:rsidR="00941CF4" w:rsidRDefault="00000000">
      <w:pPr>
        <w:pStyle w:val="Heading1"/>
      </w:pPr>
      <w:r>
        <w:lastRenderedPageBreak/>
        <w:t>6. Dataset Overview</w:t>
      </w:r>
    </w:p>
    <w:p w14:paraId="6C8F0025" w14:textId="77777777" w:rsidR="00941CF4" w:rsidRDefault="00000000">
      <w:pPr>
        <w:pStyle w:val="BodyText"/>
        <w:jc w:val="both"/>
      </w:pPr>
      <w:r>
        <w:t>The dataset contains customer-level banking churn records. The raw fields describe identity, demographic context, financial strength, product usage, activity status, and the churn target. The dashboard uses these raw fields together with engineered relationship and retention-strength features.</w:t>
      </w:r>
    </w:p>
    <w:tbl>
      <w:tblPr>
        <w:tblW w:w="0" w:type="auto"/>
        <w:jc w:val="center"/>
        <w:tblLook w:val="04A0" w:firstRow="1" w:lastRow="0" w:firstColumn="1" w:lastColumn="0" w:noHBand="0" w:noVBand="1"/>
      </w:tblPr>
      <w:tblGrid>
        <w:gridCol w:w="2232"/>
        <w:gridCol w:w="3312"/>
        <w:gridCol w:w="4608"/>
      </w:tblGrid>
      <w:tr w:rsidR="00941CF4" w14:paraId="17253E0F" w14:textId="77777777">
        <w:trPr>
          <w:tblHeader/>
          <w:jc w:val="center"/>
        </w:trPr>
        <w:tc>
          <w:tcPr>
            <w:tcW w:w="2232"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4505705F" w14:textId="77777777" w:rsidR="00941CF4" w:rsidRDefault="00000000">
            <w:pPr>
              <w:spacing w:after="0"/>
            </w:pPr>
            <w:r>
              <w:rPr>
                <w:b/>
                <w:color w:val="FFFFFF"/>
                <w:sz w:val="17"/>
              </w:rPr>
              <w:t>Field Group</w:t>
            </w:r>
          </w:p>
        </w:tc>
        <w:tc>
          <w:tcPr>
            <w:tcW w:w="3312"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7CB4B9C2" w14:textId="77777777" w:rsidR="00941CF4" w:rsidRDefault="00000000">
            <w:pPr>
              <w:spacing w:after="0"/>
            </w:pPr>
            <w:r>
              <w:rPr>
                <w:b/>
                <w:color w:val="FFFFFF"/>
                <w:sz w:val="17"/>
              </w:rPr>
              <w:t>Columns</w:t>
            </w:r>
          </w:p>
        </w:tc>
        <w:tc>
          <w:tcPr>
            <w:tcW w:w="4608"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3C475218" w14:textId="77777777" w:rsidR="00941CF4" w:rsidRDefault="00000000">
            <w:pPr>
              <w:spacing w:after="0"/>
            </w:pPr>
            <w:r>
              <w:rPr>
                <w:b/>
                <w:color w:val="FFFFFF"/>
                <w:sz w:val="17"/>
              </w:rPr>
              <w:t>Analytical Purpose</w:t>
            </w:r>
          </w:p>
        </w:tc>
      </w:tr>
      <w:tr w:rsidR="00941CF4" w14:paraId="47091BD3" w14:textId="77777777">
        <w:trPr>
          <w:jc w:val="center"/>
        </w:trPr>
        <w:tc>
          <w:tcPr>
            <w:tcW w:w="2232" w:type="dxa"/>
            <w:shd w:val="clear" w:color="auto" w:fill="FFFFFF"/>
          </w:tcPr>
          <w:p w14:paraId="0ACA890A" w14:textId="77777777" w:rsidR="00941CF4" w:rsidRDefault="00000000">
            <w:pPr>
              <w:spacing w:after="0"/>
            </w:pPr>
            <w:r>
              <w:rPr>
                <w:sz w:val="16"/>
              </w:rPr>
              <w:t>Customer identity</w:t>
            </w:r>
          </w:p>
        </w:tc>
        <w:tc>
          <w:tcPr>
            <w:tcW w:w="3312" w:type="dxa"/>
            <w:shd w:val="clear" w:color="auto" w:fill="FFFFFF"/>
          </w:tcPr>
          <w:p w14:paraId="16F7F1F8" w14:textId="77777777" w:rsidR="00941CF4" w:rsidRDefault="00000000">
            <w:pPr>
              <w:spacing w:after="0"/>
            </w:pPr>
            <w:r>
              <w:rPr>
                <w:sz w:val="16"/>
              </w:rPr>
              <w:t>CustomerId, Surname</w:t>
            </w:r>
          </w:p>
        </w:tc>
        <w:tc>
          <w:tcPr>
            <w:tcW w:w="4608" w:type="dxa"/>
            <w:shd w:val="clear" w:color="auto" w:fill="FFFFFF"/>
          </w:tcPr>
          <w:p w14:paraId="410A6673" w14:textId="77777777" w:rsidR="00941CF4" w:rsidRDefault="00000000">
            <w:pPr>
              <w:spacing w:after="0"/>
            </w:pPr>
            <w:r>
              <w:rPr>
                <w:sz w:val="16"/>
              </w:rPr>
              <w:t>Customer-level reference and row uniqueness.</w:t>
            </w:r>
          </w:p>
        </w:tc>
      </w:tr>
      <w:tr w:rsidR="00941CF4" w14:paraId="2D877651" w14:textId="77777777">
        <w:trPr>
          <w:jc w:val="center"/>
        </w:trPr>
        <w:tc>
          <w:tcPr>
            <w:tcW w:w="2232" w:type="dxa"/>
            <w:shd w:val="clear" w:color="auto" w:fill="F5F7FA"/>
          </w:tcPr>
          <w:p w14:paraId="437D4385" w14:textId="77777777" w:rsidR="00941CF4" w:rsidRDefault="00000000">
            <w:pPr>
              <w:spacing w:after="0"/>
            </w:pPr>
            <w:r>
              <w:rPr>
                <w:sz w:val="16"/>
              </w:rPr>
              <w:t>Demographic profile</w:t>
            </w:r>
          </w:p>
        </w:tc>
        <w:tc>
          <w:tcPr>
            <w:tcW w:w="3312" w:type="dxa"/>
            <w:shd w:val="clear" w:color="auto" w:fill="F5F7FA"/>
          </w:tcPr>
          <w:p w14:paraId="3794254D" w14:textId="77777777" w:rsidR="00941CF4" w:rsidRDefault="00000000">
            <w:pPr>
              <w:spacing w:after="0"/>
            </w:pPr>
            <w:r>
              <w:rPr>
                <w:sz w:val="16"/>
              </w:rPr>
              <w:t>Geography, Gender, Age, Tenure</w:t>
            </w:r>
          </w:p>
        </w:tc>
        <w:tc>
          <w:tcPr>
            <w:tcW w:w="4608" w:type="dxa"/>
            <w:shd w:val="clear" w:color="auto" w:fill="F5F7FA"/>
          </w:tcPr>
          <w:p w14:paraId="4967C899" w14:textId="77777777" w:rsidR="00941CF4" w:rsidRDefault="00000000">
            <w:pPr>
              <w:spacing w:after="0"/>
            </w:pPr>
            <w:r>
              <w:rPr>
                <w:sz w:val="16"/>
              </w:rPr>
              <w:t>Customer segmentation context and tenure-based interpretation.</w:t>
            </w:r>
          </w:p>
        </w:tc>
      </w:tr>
      <w:tr w:rsidR="00941CF4" w14:paraId="6F081FD1" w14:textId="77777777">
        <w:trPr>
          <w:jc w:val="center"/>
        </w:trPr>
        <w:tc>
          <w:tcPr>
            <w:tcW w:w="2232" w:type="dxa"/>
            <w:shd w:val="clear" w:color="auto" w:fill="FFFFFF"/>
          </w:tcPr>
          <w:p w14:paraId="40D2C802" w14:textId="77777777" w:rsidR="00941CF4" w:rsidRDefault="00000000">
            <w:pPr>
              <w:spacing w:after="0"/>
            </w:pPr>
            <w:r>
              <w:rPr>
                <w:sz w:val="16"/>
              </w:rPr>
              <w:t>Financial profile</w:t>
            </w:r>
          </w:p>
        </w:tc>
        <w:tc>
          <w:tcPr>
            <w:tcW w:w="3312" w:type="dxa"/>
            <w:shd w:val="clear" w:color="auto" w:fill="FFFFFF"/>
          </w:tcPr>
          <w:p w14:paraId="714FD29C" w14:textId="77777777" w:rsidR="00941CF4" w:rsidRDefault="00000000">
            <w:pPr>
              <w:spacing w:after="0"/>
            </w:pPr>
            <w:r>
              <w:rPr>
                <w:sz w:val="16"/>
              </w:rPr>
              <w:t>CreditScore, Balance, EstimatedSalary</w:t>
            </w:r>
          </w:p>
        </w:tc>
        <w:tc>
          <w:tcPr>
            <w:tcW w:w="4608" w:type="dxa"/>
            <w:shd w:val="clear" w:color="auto" w:fill="FFFFFF"/>
          </w:tcPr>
          <w:p w14:paraId="1E4F9B5E" w14:textId="77777777" w:rsidR="00941CF4" w:rsidRDefault="00000000">
            <w:pPr>
              <w:spacing w:after="0"/>
            </w:pPr>
            <w:r>
              <w:rPr>
                <w:sz w:val="16"/>
              </w:rPr>
              <w:t>Creditworthiness, financial value, and premium-risk context.</w:t>
            </w:r>
          </w:p>
        </w:tc>
      </w:tr>
      <w:tr w:rsidR="00941CF4" w14:paraId="44B66087" w14:textId="77777777">
        <w:trPr>
          <w:jc w:val="center"/>
        </w:trPr>
        <w:tc>
          <w:tcPr>
            <w:tcW w:w="2232" w:type="dxa"/>
            <w:shd w:val="clear" w:color="auto" w:fill="F5F7FA"/>
          </w:tcPr>
          <w:p w14:paraId="25B97762" w14:textId="77777777" w:rsidR="00941CF4" w:rsidRDefault="00000000">
            <w:pPr>
              <w:spacing w:after="0"/>
            </w:pPr>
            <w:r>
              <w:rPr>
                <w:sz w:val="16"/>
              </w:rPr>
              <w:t>Product usage</w:t>
            </w:r>
          </w:p>
        </w:tc>
        <w:tc>
          <w:tcPr>
            <w:tcW w:w="3312" w:type="dxa"/>
            <w:shd w:val="clear" w:color="auto" w:fill="F5F7FA"/>
          </w:tcPr>
          <w:p w14:paraId="5725B827" w14:textId="77777777" w:rsidR="00941CF4" w:rsidRDefault="00000000">
            <w:pPr>
              <w:spacing w:after="0"/>
            </w:pPr>
            <w:r>
              <w:rPr>
                <w:sz w:val="16"/>
              </w:rPr>
              <w:t>NumOfProducts, HasCrCard</w:t>
            </w:r>
          </w:p>
        </w:tc>
        <w:tc>
          <w:tcPr>
            <w:tcW w:w="4608" w:type="dxa"/>
            <w:shd w:val="clear" w:color="auto" w:fill="F5F7FA"/>
          </w:tcPr>
          <w:p w14:paraId="5D1689EE" w14:textId="77777777" w:rsidR="00941CF4" w:rsidRDefault="00000000">
            <w:pPr>
              <w:spacing w:after="0"/>
            </w:pPr>
            <w:r>
              <w:rPr>
                <w:sz w:val="16"/>
              </w:rPr>
              <w:t>Product depth, cross-sell, and credit-card stickiness analysis.</w:t>
            </w:r>
          </w:p>
        </w:tc>
      </w:tr>
      <w:tr w:rsidR="00941CF4" w14:paraId="1F88EDF4" w14:textId="77777777">
        <w:trPr>
          <w:jc w:val="center"/>
        </w:trPr>
        <w:tc>
          <w:tcPr>
            <w:tcW w:w="2232" w:type="dxa"/>
            <w:shd w:val="clear" w:color="auto" w:fill="FFFFFF"/>
          </w:tcPr>
          <w:p w14:paraId="23A1F88E" w14:textId="77777777" w:rsidR="00941CF4" w:rsidRDefault="00000000">
            <w:pPr>
              <w:spacing w:after="0"/>
            </w:pPr>
            <w:r>
              <w:rPr>
                <w:sz w:val="16"/>
              </w:rPr>
              <w:t>Engagement behavior</w:t>
            </w:r>
          </w:p>
        </w:tc>
        <w:tc>
          <w:tcPr>
            <w:tcW w:w="3312" w:type="dxa"/>
            <w:shd w:val="clear" w:color="auto" w:fill="FFFFFF"/>
          </w:tcPr>
          <w:p w14:paraId="17C92D70" w14:textId="77777777" w:rsidR="00941CF4" w:rsidRDefault="00000000">
            <w:pPr>
              <w:spacing w:after="0"/>
            </w:pPr>
            <w:r>
              <w:rPr>
                <w:sz w:val="16"/>
              </w:rPr>
              <w:t>IsActiveMember</w:t>
            </w:r>
          </w:p>
        </w:tc>
        <w:tc>
          <w:tcPr>
            <w:tcW w:w="4608" w:type="dxa"/>
            <w:shd w:val="clear" w:color="auto" w:fill="FFFFFF"/>
          </w:tcPr>
          <w:p w14:paraId="1BE0F0F7" w14:textId="77777777" w:rsidR="00941CF4" w:rsidRDefault="00000000">
            <w:pPr>
              <w:spacing w:after="0"/>
            </w:pPr>
            <w:r>
              <w:rPr>
                <w:sz w:val="16"/>
              </w:rPr>
              <w:t>Behavioral engagement signal used to compare active vs inactive retention.</w:t>
            </w:r>
          </w:p>
        </w:tc>
      </w:tr>
      <w:tr w:rsidR="00941CF4" w14:paraId="41CB1B54" w14:textId="77777777">
        <w:trPr>
          <w:jc w:val="center"/>
        </w:trPr>
        <w:tc>
          <w:tcPr>
            <w:tcW w:w="2232" w:type="dxa"/>
            <w:shd w:val="clear" w:color="auto" w:fill="F5F7FA"/>
          </w:tcPr>
          <w:p w14:paraId="631D6249" w14:textId="77777777" w:rsidR="00941CF4" w:rsidRDefault="00000000">
            <w:pPr>
              <w:spacing w:after="0"/>
            </w:pPr>
            <w:r>
              <w:rPr>
                <w:sz w:val="16"/>
              </w:rPr>
              <w:t>Target outcome</w:t>
            </w:r>
          </w:p>
        </w:tc>
        <w:tc>
          <w:tcPr>
            <w:tcW w:w="3312" w:type="dxa"/>
            <w:shd w:val="clear" w:color="auto" w:fill="F5F7FA"/>
          </w:tcPr>
          <w:p w14:paraId="795070A5" w14:textId="77777777" w:rsidR="00941CF4" w:rsidRDefault="00000000">
            <w:pPr>
              <w:spacing w:after="0"/>
            </w:pPr>
            <w:r>
              <w:rPr>
                <w:sz w:val="16"/>
              </w:rPr>
              <w:t>Exited</w:t>
            </w:r>
          </w:p>
        </w:tc>
        <w:tc>
          <w:tcPr>
            <w:tcW w:w="4608" w:type="dxa"/>
            <w:shd w:val="clear" w:color="auto" w:fill="F5F7FA"/>
          </w:tcPr>
          <w:p w14:paraId="1DFE59E3" w14:textId="77777777" w:rsidR="00941CF4" w:rsidRDefault="00000000">
            <w:pPr>
              <w:spacing w:after="0"/>
            </w:pPr>
            <w:r>
              <w:rPr>
                <w:sz w:val="16"/>
              </w:rPr>
              <w:t>Binary churn indicator where 1 means churned and 0 means retained.</w:t>
            </w:r>
          </w:p>
        </w:tc>
      </w:tr>
    </w:tbl>
    <w:p w14:paraId="27E43265" w14:textId="77777777" w:rsidR="00941CF4" w:rsidRDefault="00941CF4"/>
    <w:p w14:paraId="786E0E1A" w14:textId="77777777" w:rsidR="00941CF4" w:rsidRDefault="00000000">
      <w:pPr>
        <w:pStyle w:val="BodyText"/>
        <w:jc w:val="both"/>
      </w:pPr>
      <w:r>
        <w:t>The Streamlit dashboard uses a final feature-engineered master dataset rather than only the raw input table. This enables segment labels, retention scoring, risk tiers, product-depth segments, and high-value disengagement status to be consistently reused across modules.</w:t>
      </w:r>
    </w:p>
    <w:tbl>
      <w:tblPr>
        <w:tblW w:w="0" w:type="auto"/>
        <w:jc w:val="center"/>
        <w:tblLook w:val="04A0" w:firstRow="1" w:lastRow="0" w:firstColumn="1" w:lastColumn="0" w:noHBand="0" w:noVBand="1"/>
      </w:tblPr>
      <w:tblGrid>
        <w:gridCol w:w="3600"/>
        <w:gridCol w:w="6336"/>
      </w:tblGrid>
      <w:tr w:rsidR="00941CF4" w14:paraId="2D581A28" w14:textId="77777777">
        <w:trPr>
          <w:tblHeader/>
          <w:jc w:val="center"/>
        </w:trPr>
        <w:tc>
          <w:tcPr>
            <w:tcW w:w="3600"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311FEB3D" w14:textId="77777777" w:rsidR="00941CF4" w:rsidRDefault="00000000">
            <w:pPr>
              <w:spacing w:after="0"/>
            </w:pPr>
            <w:r>
              <w:rPr>
                <w:b/>
                <w:color w:val="FFFFFF"/>
                <w:sz w:val="17"/>
              </w:rPr>
              <w:t>Derived Field</w:t>
            </w:r>
          </w:p>
        </w:tc>
        <w:tc>
          <w:tcPr>
            <w:tcW w:w="6336"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30905D4D" w14:textId="77777777" w:rsidR="00941CF4" w:rsidRDefault="00000000">
            <w:pPr>
              <w:spacing w:after="0"/>
            </w:pPr>
            <w:r>
              <w:rPr>
                <w:b/>
                <w:color w:val="FFFFFF"/>
                <w:sz w:val="17"/>
              </w:rPr>
              <w:t>Research Meaning</w:t>
            </w:r>
          </w:p>
        </w:tc>
      </w:tr>
      <w:tr w:rsidR="00941CF4" w14:paraId="161E992D" w14:textId="77777777">
        <w:trPr>
          <w:jc w:val="center"/>
        </w:trPr>
        <w:tc>
          <w:tcPr>
            <w:tcW w:w="3600" w:type="dxa"/>
            <w:shd w:val="clear" w:color="auto" w:fill="FFFFFF"/>
          </w:tcPr>
          <w:p w14:paraId="27F03970" w14:textId="77777777" w:rsidR="00941CF4" w:rsidRDefault="00000000">
            <w:pPr>
              <w:spacing w:after="0"/>
            </w:pPr>
            <w:r>
              <w:rPr>
                <w:sz w:val="16"/>
              </w:rPr>
              <w:t>Churn_Status</w:t>
            </w:r>
          </w:p>
        </w:tc>
        <w:tc>
          <w:tcPr>
            <w:tcW w:w="6336" w:type="dxa"/>
            <w:shd w:val="clear" w:color="auto" w:fill="FFFFFF"/>
          </w:tcPr>
          <w:p w14:paraId="45D84D69" w14:textId="77777777" w:rsidR="00941CF4" w:rsidRDefault="00000000">
            <w:pPr>
              <w:spacing w:after="0"/>
            </w:pPr>
            <w:r>
              <w:rPr>
                <w:sz w:val="16"/>
              </w:rPr>
              <w:t>Human-readable retained/churned customer outcome.</w:t>
            </w:r>
          </w:p>
        </w:tc>
      </w:tr>
      <w:tr w:rsidR="00941CF4" w14:paraId="0EB9821A" w14:textId="77777777">
        <w:trPr>
          <w:jc w:val="center"/>
        </w:trPr>
        <w:tc>
          <w:tcPr>
            <w:tcW w:w="3600" w:type="dxa"/>
            <w:shd w:val="clear" w:color="auto" w:fill="F5F7FA"/>
          </w:tcPr>
          <w:p w14:paraId="2EE719A2" w14:textId="77777777" w:rsidR="00941CF4" w:rsidRDefault="00000000">
            <w:pPr>
              <w:spacing w:after="0"/>
            </w:pPr>
            <w:r>
              <w:rPr>
                <w:sz w:val="16"/>
              </w:rPr>
              <w:t>Engagement_Status</w:t>
            </w:r>
          </w:p>
        </w:tc>
        <w:tc>
          <w:tcPr>
            <w:tcW w:w="6336" w:type="dxa"/>
            <w:shd w:val="clear" w:color="auto" w:fill="F5F7FA"/>
          </w:tcPr>
          <w:p w14:paraId="72CF1DDC" w14:textId="77777777" w:rsidR="00941CF4" w:rsidRDefault="00000000">
            <w:pPr>
              <w:spacing w:after="0"/>
            </w:pPr>
            <w:r>
              <w:rPr>
                <w:sz w:val="16"/>
              </w:rPr>
              <w:t>Active Member or Inactive Member segmentation.</w:t>
            </w:r>
          </w:p>
        </w:tc>
      </w:tr>
      <w:tr w:rsidR="00941CF4" w14:paraId="24EDD403" w14:textId="77777777">
        <w:trPr>
          <w:jc w:val="center"/>
        </w:trPr>
        <w:tc>
          <w:tcPr>
            <w:tcW w:w="3600" w:type="dxa"/>
            <w:shd w:val="clear" w:color="auto" w:fill="FFFFFF"/>
          </w:tcPr>
          <w:p w14:paraId="7DC0D89D" w14:textId="77777777" w:rsidR="00941CF4" w:rsidRDefault="00000000">
            <w:pPr>
              <w:spacing w:after="0"/>
            </w:pPr>
            <w:r>
              <w:rPr>
                <w:sz w:val="16"/>
              </w:rPr>
              <w:t>Credit_Card_Status</w:t>
            </w:r>
          </w:p>
        </w:tc>
        <w:tc>
          <w:tcPr>
            <w:tcW w:w="6336" w:type="dxa"/>
            <w:shd w:val="clear" w:color="auto" w:fill="FFFFFF"/>
          </w:tcPr>
          <w:p w14:paraId="6A42EF93" w14:textId="77777777" w:rsidR="00941CF4" w:rsidRDefault="00000000">
            <w:pPr>
              <w:spacing w:after="0"/>
            </w:pPr>
            <w:r>
              <w:rPr>
                <w:sz w:val="16"/>
              </w:rPr>
              <w:t>Credit-card holder status for stickiness scoring.</w:t>
            </w:r>
          </w:p>
        </w:tc>
      </w:tr>
      <w:tr w:rsidR="00941CF4" w14:paraId="312106C9" w14:textId="77777777">
        <w:trPr>
          <w:jc w:val="center"/>
        </w:trPr>
        <w:tc>
          <w:tcPr>
            <w:tcW w:w="3600" w:type="dxa"/>
            <w:shd w:val="clear" w:color="auto" w:fill="F5F7FA"/>
          </w:tcPr>
          <w:p w14:paraId="52EB495C" w14:textId="77777777" w:rsidR="00941CF4" w:rsidRDefault="00000000">
            <w:pPr>
              <w:spacing w:after="0"/>
            </w:pPr>
            <w:r>
              <w:rPr>
                <w:sz w:val="16"/>
              </w:rPr>
              <w:t>Product_Depth_Segment</w:t>
            </w:r>
          </w:p>
        </w:tc>
        <w:tc>
          <w:tcPr>
            <w:tcW w:w="6336" w:type="dxa"/>
            <w:shd w:val="clear" w:color="auto" w:fill="F5F7FA"/>
          </w:tcPr>
          <w:p w14:paraId="276A3932" w14:textId="77777777" w:rsidR="00941CF4" w:rsidRDefault="00000000">
            <w:pPr>
              <w:spacing w:after="0"/>
            </w:pPr>
            <w:r>
              <w:rPr>
                <w:sz w:val="16"/>
              </w:rPr>
              <w:t>Single Product, Optimal Product Depth, or High Product Load.</w:t>
            </w:r>
          </w:p>
        </w:tc>
      </w:tr>
      <w:tr w:rsidR="00941CF4" w14:paraId="501043CA" w14:textId="77777777">
        <w:trPr>
          <w:jc w:val="center"/>
        </w:trPr>
        <w:tc>
          <w:tcPr>
            <w:tcW w:w="3600" w:type="dxa"/>
            <w:shd w:val="clear" w:color="auto" w:fill="FFFFFF"/>
          </w:tcPr>
          <w:p w14:paraId="5B0E1BC5" w14:textId="77777777" w:rsidR="00941CF4" w:rsidRDefault="00000000">
            <w:pPr>
              <w:spacing w:after="0"/>
            </w:pPr>
            <w:r>
              <w:rPr>
                <w:sz w:val="16"/>
              </w:rPr>
              <w:t>High_Value_Customer_Status</w:t>
            </w:r>
          </w:p>
        </w:tc>
        <w:tc>
          <w:tcPr>
            <w:tcW w:w="6336" w:type="dxa"/>
            <w:shd w:val="clear" w:color="auto" w:fill="FFFFFF"/>
          </w:tcPr>
          <w:p w14:paraId="474C2ABC" w14:textId="77777777" w:rsidR="00941CF4" w:rsidRDefault="00000000">
            <w:pPr>
              <w:spacing w:after="0"/>
            </w:pPr>
            <w:r>
              <w:rPr>
                <w:sz w:val="16"/>
              </w:rPr>
              <w:t>High-value customer identification based on value logic.</w:t>
            </w:r>
          </w:p>
        </w:tc>
      </w:tr>
      <w:tr w:rsidR="00941CF4" w14:paraId="7868D085" w14:textId="77777777">
        <w:trPr>
          <w:jc w:val="center"/>
        </w:trPr>
        <w:tc>
          <w:tcPr>
            <w:tcW w:w="3600" w:type="dxa"/>
            <w:shd w:val="clear" w:color="auto" w:fill="F5F7FA"/>
          </w:tcPr>
          <w:p w14:paraId="1B057FE4" w14:textId="77777777" w:rsidR="00941CF4" w:rsidRDefault="00000000">
            <w:pPr>
              <w:spacing w:after="0"/>
            </w:pPr>
            <w:r>
              <w:rPr>
                <w:sz w:val="16"/>
              </w:rPr>
              <w:t>High_Value_Disengaged_Status</w:t>
            </w:r>
          </w:p>
        </w:tc>
        <w:tc>
          <w:tcPr>
            <w:tcW w:w="6336" w:type="dxa"/>
            <w:shd w:val="clear" w:color="auto" w:fill="F5F7FA"/>
          </w:tcPr>
          <w:p w14:paraId="3D0809B2" w14:textId="77777777" w:rsidR="00941CF4" w:rsidRDefault="00000000">
            <w:pPr>
              <w:spacing w:after="0"/>
            </w:pPr>
            <w:r>
              <w:rPr>
                <w:sz w:val="16"/>
              </w:rPr>
              <w:t>Premium customers who are financially valuable but behaviorally disengaged.</w:t>
            </w:r>
          </w:p>
        </w:tc>
      </w:tr>
      <w:tr w:rsidR="00941CF4" w14:paraId="3384DA94" w14:textId="77777777">
        <w:trPr>
          <w:jc w:val="center"/>
        </w:trPr>
        <w:tc>
          <w:tcPr>
            <w:tcW w:w="3600" w:type="dxa"/>
            <w:shd w:val="clear" w:color="auto" w:fill="FFFFFF"/>
          </w:tcPr>
          <w:p w14:paraId="68147CDE" w14:textId="77777777" w:rsidR="00941CF4" w:rsidRDefault="00000000">
            <w:pPr>
              <w:spacing w:after="0"/>
            </w:pPr>
            <w:r>
              <w:rPr>
                <w:sz w:val="16"/>
              </w:rPr>
              <w:t>Salary_Balance_Mismatch_Status</w:t>
            </w:r>
          </w:p>
        </w:tc>
        <w:tc>
          <w:tcPr>
            <w:tcW w:w="6336" w:type="dxa"/>
            <w:shd w:val="clear" w:color="auto" w:fill="FFFFFF"/>
          </w:tcPr>
          <w:p w14:paraId="750748E8" w14:textId="77777777" w:rsidR="00941CF4" w:rsidRDefault="00000000">
            <w:pPr>
              <w:spacing w:after="0"/>
            </w:pPr>
            <w:r>
              <w:rPr>
                <w:sz w:val="16"/>
              </w:rPr>
              <w:t>Flag for salary-balance mismatch risk analysis.</w:t>
            </w:r>
          </w:p>
        </w:tc>
      </w:tr>
      <w:tr w:rsidR="00941CF4" w14:paraId="567BD98F" w14:textId="77777777">
        <w:trPr>
          <w:jc w:val="center"/>
        </w:trPr>
        <w:tc>
          <w:tcPr>
            <w:tcW w:w="3600" w:type="dxa"/>
            <w:shd w:val="clear" w:color="auto" w:fill="F5F7FA"/>
          </w:tcPr>
          <w:p w14:paraId="0AC221A2" w14:textId="77777777" w:rsidR="00941CF4" w:rsidRDefault="00000000">
            <w:pPr>
              <w:spacing w:after="0"/>
            </w:pPr>
            <w:r>
              <w:rPr>
                <w:sz w:val="16"/>
              </w:rPr>
              <w:t>Customer_Risk_Segment</w:t>
            </w:r>
          </w:p>
        </w:tc>
        <w:tc>
          <w:tcPr>
            <w:tcW w:w="6336" w:type="dxa"/>
            <w:shd w:val="clear" w:color="auto" w:fill="F5F7FA"/>
          </w:tcPr>
          <w:p w14:paraId="5490EA5D" w14:textId="77777777" w:rsidR="00941CF4" w:rsidRDefault="00000000">
            <w:pPr>
              <w:spacing w:after="0"/>
            </w:pPr>
            <w:r>
              <w:rPr>
                <w:sz w:val="16"/>
              </w:rPr>
              <w:t>Composite business risk segment for targeted action.</w:t>
            </w:r>
          </w:p>
        </w:tc>
      </w:tr>
      <w:tr w:rsidR="00941CF4" w14:paraId="77FF7B70" w14:textId="77777777">
        <w:trPr>
          <w:jc w:val="center"/>
        </w:trPr>
        <w:tc>
          <w:tcPr>
            <w:tcW w:w="3600" w:type="dxa"/>
            <w:shd w:val="clear" w:color="auto" w:fill="FFFFFF"/>
          </w:tcPr>
          <w:p w14:paraId="685632BD" w14:textId="77777777" w:rsidR="00941CF4" w:rsidRDefault="00000000">
            <w:pPr>
              <w:spacing w:after="0"/>
            </w:pPr>
            <w:r>
              <w:rPr>
                <w:sz w:val="16"/>
              </w:rPr>
              <w:t>Relationship_Strength_Index</w:t>
            </w:r>
          </w:p>
        </w:tc>
        <w:tc>
          <w:tcPr>
            <w:tcW w:w="6336" w:type="dxa"/>
            <w:shd w:val="clear" w:color="auto" w:fill="FFFFFF"/>
          </w:tcPr>
          <w:p w14:paraId="4DE57D29" w14:textId="77777777" w:rsidR="00941CF4" w:rsidRDefault="00000000">
            <w:pPr>
              <w:spacing w:after="0"/>
            </w:pPr>
            <w:r>
              <w:rPr>
                <w:sz w:val="16"/>
              </w:rPr>
              <w:t>Numerical relationship strength score.</w:t>
            </w:r>
          </w:p>
        </w:tc>
      </w:tr>
      <w:tr w:rsidR="00941CF4" w14:paraId="6A926778" w14:textId="77777777">
        <w:trPr>
          <w:jc w:val="center"/>
        </w:trPr>
        <w:tc>
          <w:tcPr>
            <w:tcW w:w="3600" w:type="dxa"/>
            <w:shd w:val="clear" w:color="auto" w:fill="F5F7FA"/>
          </w:tcPr>
          <w:p w14:paraId="1F2F66F5" w14:textId="77777777" w:rsidR="00941CF4" w:rsidRDefault="00000000">
            <w:pPr>
              <w:spacing w:after="0"/>
            </w:pPr>
            <w:r>
              <w:rPr>
                <w:sz w:val="16"/>
              </w:rPr>
              <w:t>Retention_Strength_Score / Tier</w:t>
            </w:r>
          </w:p>
        </w:tc>
        <w:tc>
          <w:tcPr>
            <w:tcW w:w="6336" w:type="dxa"/>
            <w:shd w:val="clear" w:color="auto" w:fill="F5F7FA"/>
          </w:tcPr>
          <w:p w14:paraId="788D94CD" w14:textId="77777777" w:rsidR="00941CF4" w:rsidRDefault="00000000">
            <w:pPr>
              <w:spacing w:after="0"/>
            </w:pPr>
            <w:r>
              <w:rPr>
                <w:sz w:val="16"/>
              </w:rPr>
              <w:t>Retention prioritization score and categorical tier.</w:t>
            </w:r>
          </w:p>
        </w:tc>
      </w:tr>
    </w:tbl>
    <w:p w14:paraId="0D984F1F" w14:textId="77777777" w:rsidR="00941CF4" w:rsidRDefault="00941CF4"/>
    <w:p w14:paraId="27201AA6" w14:textId="77777777" w:rsidR="00941CF4" w:rsidRDefault="00000000">
      <w:r>
        <w:br w:type="page"/>
      </w:r>
    </w:p>
    <w:p w14:paraId="15AB2999" w14:textId="77777777" w:rsidR="00941CF4" w:rsidRDefault="00000000">
      <w:pPr>
        <w:pStyle w:val="Heading1"/>
      </w:pPr>
      <w:r>
        <w:lastRenderedPageBreak/>
        <w:t>7. Methodology and Data Governance</w:t>
      </w:r>
    </w:p>
    <w:p w14:paraId="62679D82" w14:textId="77777777" w:rsidR="00941CF4" w:rsidRDefault="00000000">
      <w:pPr>
        <w:pStyle w:val="BodyText"/>
        <w:jc w:val="both"/>
      </w:pPr>
      <w:r>
        <w:t>The methodology follows a structured data analytics workflow: data ingestion, validation, feature engineering, KPI modeling, exploratory analysis, dashboard module design, interpretation governance, and recommendation development. The dashboard validates raw and derived columns before rendering analytical modules, which reduces the risk of misleading outputs.</w:t>
      </w:r>
    </w:p>
    <w:p w14:paraId="3C1276A5" w14:textId="77777777" w:rsidR="00941CF4" w:rsidRDefault="00000000">
      <w:pPr>
        <w:pStyle w:val="Heading2"/>
      </w:pPr>
      <w:r>
        <w:t>7.1 Data Ingestion and Validation</w:t>
      </w:r>
    </w:p>
    <w:p w14:paraId="2B5E596E" w14:textId="77777777" w:rsidR="00941CF4" w:rsidRDefault="00000000">
      <w:pPr>
        <w:pStyle w:val="BodyText"/>
        <w:jc w:val="both"/>
      </w:pPr>
      <w:r>
        <w:t>The final master dataset is loaded from a processed retention-strength dataset. The app validates required raw and derived columns before analysis. It also validates key binary variables such as HasCrCard, IsActiveMember, and Exited to ensure that the dashboard does not run on inconsistent input values.</w:t>
      </w:r>
    </w:p>
    <w:p w14:paraId="5D99A15C" w14:textId="77777777" w:rsidR="00941CF4" w:rsidRDefault="00000000">
      <w:pPr>
        <w:pStyle w:val="Heading2"/>
      </w:pPr>
      <w:r>
        <w:t>7.2 Feature Engineering</w:t>
      </w:r>
    </w:p>
    <w:p w14:paraId="69D01C70" w14:textId="77777777" w:rsidR="00941CF4" w:rsidRDefault="00000000">
      <w:pPr>
        <w:pStyle w:val="BodyText"/>
        <w:jc w:val="both"/>
      </w:pPr>
      <w:r>
        <w:t>Feature engineering converts raw customer records into behavior and relationship signals. Engagement status, credit-card status, product-depth segment, high-value status, high-value disengagement status, salary-balance mismatch, customer risk segment, relationship strength index, and retention strength tier are used to make the dashboard actionable rather than descriptive only.</w:t>
      </w:r>
    </w:p>
    <w:p w14:paraId="6FDFE29B" w14:textId="77777777" w:rsidR="00941CF4" w:rsidRDefault="00000000">
      <w:pPr>
        <w:pStyle w:val="Heading2"/>
      </w:pPr>
      <w:r>
        <w:t>7.3 KPI Modeling</w:t>
      </w:r>
    </w:p>
    <w:p w14:paraId="7B05400D" w14:textId="77777777" w:rsidR="00941CF4" w:rsidRDefault="00000000">
      <w:pPr>
        <w:pStyle w:val="BodyText"/>
        <w:jc w:val="both"/>
      </w:pPr>
      <w:r>
        <w:t>Five required KPIs are recalculated from the filtered dataset: Engagement Retention Ratio, Product Depth Index, High-Balance Disengagement Rate, Credit Card Stickiness Score, and Relationship Strength Index. These KPIs allow the bank to compare engagement quality, product relationship depth, premium disengagement risk, card-linked retention, and overall relationship strength.</w:t>
      </w:r>
    </w:p>
    <w:tbl>
      <w:tblPr>
        <w:tblW w:w="0" w:type="auto"/>
        <w:jc w:val="center"/>
        <w:tblLook w:val="04A0" w:firstRow="1" w:lastRow="0" w:firstColumn="1" w:lastColumn="0" w:noHBand="0" w:noVBand="1"/>
      </w:tblPr>
      <w:tblGrid>
        <w:gridCol w:w="2016"/>
        <w:gridCol w:w="2448"/>
        <w:gridCol w:w="2448"/>
        <w:gridCol w:w="3168"/>
      </w:tblGrid>
      <w:tr w:rsidR="00941CF4" w14:paraId="3AE60BC4" w14:textId="77777777">
        <w:trPr>
          <w:tblHeade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13773AB8" w14:textId="77777777" w:rsidR="00941CF4" w:rsidRDefault="00000000">
            <w:pPr>
              <w:spacing w:after="0"/>
            </w:pPr>
            <w:r>
              <w:rPr>
                <w:b/>
                <w:color w:val="FFFFFF"/>
                <w:sz w:val="17"/>
              </w:rPr>
              <w:t>Methodology Step</w:t>
            </w:r>
          </w:p>
        </w:tc>
        <w:tc>
          <w:tcPr>
            <w:tcW w:w="2448"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60147265" w14:textId="77777777" w:rsidR="00941CF4" w:rsidRDefault="00000000">
            <w:pPr>
              <w:spacing w:after="0"/>
            </w:pPr>
            <w:r>
              <w:rPr>
                <w:b/>
                <w:color w:val="FFFFFF"/>
                <w:sz w:val="17"/>
              </w:rPr>
              <w:t>Technique</w:t>
            </w:r>
          </w:p>
        </w:tc>
        <w:tc>
          <w:tcPr>
            <w:tcW w:w="2448"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0B756676" w14:textId="77777777" w:rsidR="00941CF4" w:rsidRDefault="00000000">
            <w:pPr>
              <w:spacing w:after="0"/>
            </w:pPr>
            <w:r>
              <w:rPr>
                <w:b/>
                <w:color w:val="FFFFFF"/>
                <w:sz w:val="17"/>
              </w:rPr>
              <w:t>Output</w:t>
            </w:r>
          </w:p>
        </w:tc>
        <w:tc>
          <w:tcPr>
            <w:tcW w:w="3168"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31E86135" w14:textId="77777777" w:rsidR="00941CF4" w:rsidRDefault="00000000">
            <w:pPr>
              <w:spacing w:after="0"/>
            </w:pPr>
            <w:r>
              <w:rPr>
                <w:b/>
                <w:color w:val="FFFFFF"/>
                <w:sz w:val="17"/>
              </w:rPr>
              <w:t>Research Value</w:t>
            </w:r>
          </w:p>
        </w:tc>
      </w:tr>
      <w:tr w:rsidR="00941CF4" w14:paraId="4625E1A4" w14:textId="77777777">
        <w:trPr>
          <w:jc w:val="center"/>
        </w:trPr>
        <w:tc>
          <w:tcPr>
            <w:tcW w:w="2016" w:type="dxa"/>
            <w:shd w:val="clear" w:color="auto" w:fill="FFFFFF"/>
          </w:tcPr>
          <w:p w14:paraId="265E2C0E" w14:textId="77777777" w:rsidR="00941CF4" w:rsidRDefault="00000000">
            <w:pPr>
              <w:spacing w:after="0"/>
            </w:pPr>
            <w:r>
              <w:rPr>
                <w:sz w:val="16"/>
              </w:rPr>
              <w:t>Data ingestion</w:t>
            </w:r>
          </w:p>
        </w:tc>
        <w:tc>
          <w:tcPr>
            <w:tcW w:w="2448" w:type="dxa"/>
            <w:shd w:val="clear" w:color="auto" w:fill="FFFFFF"/>
          </w:tcPr>
          <w:p w14:paraId="05CCE45D" w14:textId="77777777" w:rsidR="00941CF4" w:rsidRDefault="00000000">
            <w:pPr>
              <w:spacing w:after="0"/>
            </w:pPr>
            <w:r>
              <w:rPr>
                <w:sz w:val="16"/>
              </w:rPr>
              <w:t>Load processed master dataset</w:t>
            </w:r>
          </w:p>
        </w:tc>
        <w:tc>
          <w:tcPr>
            <w:tcW w:w="2448" w:type="dxa"/>
            <w:shd w:val="clear" w:color="auto" w:fill="FFFFFF"/>
          </w:tcPr>
          <w:p w14:paraId="20617E02" w14:textId="77777777" w:rsidR="00941CF4" w:rsidRDefault="00000000">
            <w:pPr>
              <w:spacing w:after="0"/>
            </w:pPr>
            <w:r>
              <w:rPr>
                <w:sz w:val="16"/>
              </w:rPr>
              <w:t>Validated customer-level dataset</w:t>
            </w:r>
          </w:p>
        </w:tc>
        <w:tc>
          <w:tcPr>
            <w:tcW w:w="3168" w:type="dxa"/>
            <w:shd w:val="clear" w:color="auto" w:fill="FFFFFF"/>
          </w:tcPr>
          <w:p w14:paraId="572BCB5F" w14:textId="77777777" w:rsidR="00941CF4" w:rsidRDefault="00000000">
            <w:pPr>
              <w:spacing w:after="0"/>
            </w:pPr>
            <w:r>
              <w:rPr>
                <w:sz w:val="16"/>
              </w:rPr>
              <w:t>Creates a stable analytical foundation.</w:t>
            </w:r>
          </w:p>
        </w:tc>
      </w:tr>
      <w:tr w:rsidR="00941CF4" w14:paraId="55BF6E0E" w14:textId="77777777">
        <w:trPr>
          <w:jc w:val="center"/>
        </w:trPr>
        <w:tc>
          <w:tcPr>
            <w:tcW w:w="2016" w:type="dxa"/>
            <w:shd w:val="clear" w:color="auto" w:fill="F5F7FA"/>
          </w:tcPr>
          <w:p w14:paraId="364E1A29" w14:textId="77777777" w:rsidR="00941CF4" w:rsidRDefault="00000000">
            <w:pPr>
              <w:spacing w:after="0"/>
            </w:pPr>
            <w:r>
              <w:rPr>
                <w:sz w:val="16"/>
              </w:rPr>
              <w:t>Data validation</w:t>
            </w:r>
          </w:p>
        </w:tc>
        <w:tc>
          <w:tcPr>
            <w:tcW w:w="2448" w:type="dxa"/>
            <w:shd w:val="clear" w:color="auto" w:fill="F5F7FA"/>
          </w:tcPr>
          <w:p w14:paraId="6D4E589B" w14:textId="77777777" w:rsidR="00941CF4" w:rsidRDefault="00000000">
            <w:pPr>
              <w:spacing w:after="0"/>
            </w:pPr>
            <w:r>
              <w:rPr>
                <w:sz w:val="16"/>
              </w:rPr>
              <w:t>Required-column and binary-variable checks</w:t>
            </w:r>
          </w:p>
        </w:tc>
        <w:tc>
          <w:tcPr>
            <w:tcW w:w="2448" w:type="dxa"/>
            <w:shd w:val="clear" w:color="auto" w:fill="F5F7FA"/>
          </w:tcPr>
          <w:p w14:paraId="71AA179C" w14:textId="77777777" w:rsidR="00941CF4" w:rsidRDefault="00000000">
            <w:pPr>
              <w:spacing w:after="0"/>
            </w:pPr>
            <w:r>
              <w:rPr>
                <w:sz w:val="16"/>
              </w:rPr>
              <w:t>Quality-controlled input layer</w:t>
            </w:r>
          </w:p>
        </w:tc>
        <w:tc>
          <w:tcPr>
            <w:tcW w:w="3168" w:type="dxa"/>
            <w:shd w:val="clear" w:color="auto" w:fill="F5F7FA"/>
          </w:tcPr>
          <w:p w14:paraId="2558ABB1" w14:textId="77777777" w:rsidR="00941CF4" w:rsidRDefault="00000000">
            <w:pPr>
              <w:spacing w:after="0"/>
            </w:pPr>
            <w:r>
              <w:rPr>
                <w:sz w:val="16"/>
              </w:rPr>
              <w:t>Prevents dashboard failure and inconsistent metrics.</w:t>
            </w:r>
          </w:p>
        </w:tc>
      </w:tr>
      <w:tr w:rsidR="00941CF4" w14:paraId="746782A9" w14:textId="77777777">
        <w:trPr>
          <w:jc w:val="center"/>
        </w:trPr>
        <w:tc>
          <w:tcPr>
            <w:tcW w:w="2016" w:type="dxa"/>
            <w:shd w:val="clear" w:color="auto" w:fill="FFFFFF"/>
          </w:tcPr>
          <w:p w14:paraId="2BEDF73D" w14:textId="77777777" w:rsidR="00941CF4" w:rsidRDefault="00000000">
            <w:pPr>
              <w:spacing w:after="0"/>
            </w:pPr>
            <w:r>
              <w:rPr>
                <w:sz w:val="16"/>
              </w:rPr>
              <w:t>Feature engineering</w:t>
            </w:r>
          </w:p>
        </w:tc>
        <w:tc>
          <w:tcPr>
            <w:tcW w:w="2448" w:type="dxa"/>
            <w:shd w:val="clear" w:color="auto" w:fill="FFFFFF"/>
          </w:tcPr>
          <w:p w14:paraId="6332A511" w14:textId="77777777" w:rsidR="00941CF4" w:rsidRDefault="00000000">
            <w:pPr>
              <w:spacing w:after="0"/>
            </w:pPr>
            <w:r>
              <w:rPr>
                <w:sz w:val="16"/>
              </w:rPr>
              <w:t>Create segment, risk, and scoring variables</w:t>
            </w:r>
          </w:p>
        </w:tc>
        <w:tc>
          <w:tcPr>
            <w:tcW w:w="2448" w:type="dxa"/>
            <w:shd w:val="clear" w:color="auto" w:fill="FFFFFF"/>
          </w:tcPr>
          <w:p w14:paraId="28F36913" w14:textId="77777777" w:rsidR="00941CF4" w:rsidRDefault="00000000">
            <w:pPr>
              <w:spacing w:after="0"/>
            </w:pPr>
            <w:r>
              <w:rPr>
                <w:sz w:val="16"/>
              </w:rPr>
              <w:t>Behavioral relationship dataset</w:t>
            </w:r>
          </w:p>
        </w:tc>
        <w:tc>
          <w:tcPr>
            <w:tcW w:w="3168" w:type="dxa"/>
            <w:shd w:val="clear" w:color="auto" w:fill="FFFFFF"/>
          </w:tcPr>
          <w:p w14:paraId="1D12C6F6" w14:textId="77777777" w:rsidR="00941CF4" w:rsidRDefault="00000000">
            <w:pPr>
              <w:spacing w:after="0"/>
            </w:pPr>
            <w:r>
              <w:rPr>
                <w:sz w:val="16"/>
              </w:rPr>
              <w:t>Supports customer-level retention strategy.</w:t>
            </w:r>
          </w:p>
        </w:tc>
      </w:tr>
      <w:tr w:rsidR="00941CF4" w14:paraId="20CEA768" w14:textId="77777777">
        <w:trPr>
          <w:jc w:val="center"/>
        </w:trPr>
        <w:tc>
          <w:tcPr>
            <w:tcW w:w="2016" w:type="dxa"/>
            <w:shd w:val="clear" w:color="auto" w:fill="F5F7FA"/>
          </w:tcPr>
          <w:p w14:paraId="420C8F8C" w14:textId="77777777" w:rsidR="00941CF4" w:rsidRDefault="00000000">
            <w:pPr>
              <w:spacing w:after="0"/>
            </w:pPr>
            <w:r>
              <w:rPr>
                <w:sz w:val="16"/>
              </w:rPr>
              <w:t>KPI modeling</w:t>
            </w:r>
          </w:p>
        </w:tc>
        <w:tc>
          <w:tcPr>
            <w:tcW w:w="2448" w:type="dxa"/>
            <w:shd w:val="clear" w:color="auto" w:fill="F5F7FA"/>
          </w:tcPr>
          <w:p w14:paraId="76EBB4F7" w14:textId="77777777" w:rsidR="00941CF4" w:rsidRDefault="00000000">
            <w:pPr>
              <w:spacing w:after="0"/>
            </w:pPr>
            <w:r>
              <w:rPr>
                <w:sz w:val="16"/>
              </w:rPr>
              <w:t>Calculate five required KPIs</w:t>
            </w:r>
          </w:p>
        </w:tc>
        <w:tc>
          <w:tcPr>
            <w:tcW w:w="2448" w:type="dxa"/>
            <w:shd w:val="clear" w:color="auto" w:fill="F5F7FA"/>
          </w:tcPr>
          <w:p w14:paraId="4B8A5008" w14:textId="77777777" w:rsidR="00941CF4" w:rsidRDefault="00000000">
            <w:pPr>
              <w:spacing w:after="0"/>
            </w:pPr>
            <w:r>
              <w:rPr>
                <w:sz w:val="16"/>
              </w:rPr>
              <w:t>Executive KPI snapshot</w:t>
            </w:r>
          </w:p>
        </w:tc>
        <w:tc>
          <w:tcPr>
            <w:tcW w:w="3168" w:type="dxa"/>
            <w:shd w:val="clear" w:color="auto" w:fill="F5F7FA"/>
          </w:tcPr>
          <w:p w14:paraId="142D16C1" w14:textId="77777777" w:rsidR="00941CF4" w:rsidRDefault="00000000">
            <w:pPr>
              <w:spacing w:after="0"/>
            </w:pPr>
            <w:r>
              <w:rPr>
                <w:sz w:val="16"/>
              </w:rPr>
              <w:t>Creates comparable retention strategy indicators.</w:t>
            </w:r>
          </w:p>
        </w:tc>
      </w:tr>
      <w:tr w:rsidR="00941CF4" w14:paraId="7854FA8A" w14:textId="77777777">
        <w:trPr>
          <w:jc w:val="center"/>
        </w:trPr>
        <w:tc>
          <w:tcPr>
            <w:tcW w:w="2016" w:type="dxa"/>
            <w:shd w:val="clear" w:color="auto" w:fill="FFFFFF"/>
          </w:tcPr>
          <w:p w14:paraId="32F90A96" w14:textId="77777777" w:rsidR="00941CF4" w:rsidRDefault="00000000">
            <w:pPr>
              <w:spacing w:after="0"/>
            </w:pPr>
            <w:r>
              <w:rPr>
                <w:sz w:val="16"/>
              </w:rPr>
              <w:t>EDA</w:t>
            </w:r>
          </w:p>
        </w:tc>
        <w:tc>
          <w:tcPr>
            <w:tcW w:w="2448" w:type="dxa"/>
            <w:shd w:val="clear" w:color="auto" w:fill="FFFFFF"/>
          </w:tcPr>
          <w:p w14:paraId="1717F31D" w14:textId="77777777" w:rsidR="00941CF4" w:rsidRDefault="00000000">
            <w:pPr>
              <w:spacing w:after="0"/>
            </w:pPr>
            <w:r>
              <w:rPr>
                <w:sz w:val="16"/>
              </w:rPr>
              <w:t>Segment charts, churn rates, matrices, distributions</w:t>
            </w:r>
          </w:p>
        </w:tc>
        <w:tc>
          <w:tcPr>
            <w:tcW w:w="2448" w:type="dxa"/>
            <w:shd w:val="clear" w:color="auto" w:fill="FFFFFF"/>
          </w:tcPr>
          <w:p w14:paraId="0CD6521D" w14:textId="77777777" w:rsidR="00941CF4" w:rsidRDefault="00000000">
            <w:pPr>
              <w:spacing w:after="0"/>
            </w:pPr>
            <w:r>
              <w:rPr>
                <w:sz w:val="16"/>
              </w:rPr>
              <w:t>Pattern discovery</w:t>
            </w:r>
          </w:p>
        </w:tc>
        <w:tc>
          <w:tcPr>
            <w:tcW w:w="3168" w:type="dxa"/>
            <w:shd w:val="clear" w:color="auto" w:fill="FFFFFF"/>
          </w:tcPr>
          <w:p w14:paraId="1518ED51" w14:textId="77777777" w:rsidR="00941CF4" w:rsidRDefault="00000000">
            <w:pPr>
              <w:spacing w:after="0"/>
            </w:pPr>
            <w:r>
              <w:rPr>
                <w:sz w:val="16"/>
              </w:rPr>
              <w:t>Identifies engagement, product, premium, and scoring signals.</w:t>
            </w:r>
          </w:p>
        </w:tc>
      </w:tr>
      <w:tr w:rsidR="00941CF4" w14:paraId="712D389D" w14:textId="77777777">
        <w:trPr>
          <w:jc w:val="center"/>
        </w:trPr>
        <w:tc>
          <w:tcPr>
            <w:tcW w:w="2016" w:type="dxa"/>
            <w:shd w:val="clear" w:color="auto" w:fill="F5F7FA"/>
          </w:tcPr>
          <w:p w14:paraId="6F1C7039" w14:textId="77777777" w:rsidR="00941CF4" w:rsidRDefault="00000000">
            <w:pPr>
              <w:spacing w:after="0"/>
            </w:pPr>
            <w:r>
              <w:rPr>
                <w:sz w:val="16"/>
              </w:rPr>
              <w:t>Dashboard implementation</w:t>
            </w:r>
          </w:p>
        </w:tc>
        <w:tc>
          <w:tcPr>
            <w:tcW w:w="2448" w:type="dxa"/>
            <w:shd w:val="clear" w:color="auto" w:fill="F5F7FA"/>
          </w:tcPr>
          <w:p w14:paraId="310A30B8" w14:textId="77777777" w:rsidR="00941CF4" w:rsidRDefault="00000000">
            <w:pPr>
              <w:spacing w:after="0"/>
            </w:pPr>
            <w:r>
              <w:rPr>
                <w:sz w:val="16"/>
              </w:rPr>
              <w:t>Streamlit filters and Plotly visuals</w:t>
            </w:r>
          </w:p>
        </w:tc>
        <w:tc>
          <w:tcPr>
            <w:tcW w:w="2448" w:type="dxa"/>
            <w:shd w:val="clear" w:color="auto" w:fill="F5F7FA"/>
          </w:tcPr>
          <w:p w14:paraId="6EFBDFFA" w14:textId="77777777" w:rsidR="00941CF4" w:rsidRDefault="00000000">
            <w:pPr>
              <w:spacing w:after="0"/>
            </w:pPr>
            <w:r>
              <w:rPr>
                <w:sz w:val="16"/>
              </w:rPr>
              <w:t>Interactive decision-support system</w:t>
            </w:r>
          </w:p>
        </w:tc>
        <w:tc>
          <w:tcPr>
            <w:tcW w:w="3168" w:type="dxa"/>
            <w:shd w:val="clear" w:color="auto" w:fill="F5F7FA"/>
          </w:tcPr>
          <w:p w14:paraId="4FCC718E" w14:textId="77777777" w:rsidR="00941CF4" w:rsidRDefault="00000000">
            <w:pPr>
              <w:spacing w:after="0"/>
            </w:pPr>
            <w:r>
              <w:rPr>
                <w:sz w:val="16"/>
              </w:rPr>
              <w:t>Supports targeted and filter-aware analysis.</w:t>
            </w:r>
          </w:p>
        </w:tc>
      </w:tr>
    </w:tbl>
    <w:p w14:paraId="6EE1CBAE" w14:textId="77777777" w:rsidR="00941CF4" w:rsidRDefault="00941CF4"/>
    <w:p w14:paraId="674FBABC" w14:textId="77777777" w:rsidR="00941CF4" w:rsidRDefault="00000000">
      <w:pPr>
        <w:jc w:val="center"/>
      </w:pPr>
      <w:r>
        <w:rPr>
          <w:noProof/>
        </w:rPr>
        <w:lastRenderedPageBreak/>
        <w:drawing>
          <wp:inline distT="0" distB="0" distL="0" distR="0" wp14:anchorId="3C1BDF44" wp14:editId="145105AD">
            <wp:extent cx="6172200" cy="3310393"/>
            <wp:effectExtent l="0" t="0" r="0" b="0"/>
            <wp:docPr id="3" name="Picture 3"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png"/>
                    <pic:cNvPicPr/>
                  </pic:nvPicPr>
                  <pic:blipFill>
                    <a:blip r:embed="rId8"/>
                    <a:stretch>
                      <a:fillRect/>
                    </a:stretch>
                  </pic:blipFill>
                  <pic:spPr>
                    <a:xfrm>
                      <a:off x="0" y="0"/>
                      <a:ext cx="6172200" cy="3310393"/>
                    </a:xfrm>
                    <a:prstGeom prst="rect">
                      <a:avLst/>
                    </a:prstGeom>
                  </pic:spPr>
                </pic:pic>
              </a:graphicData>
            </a:graphic>
          </wp:inline>
        </w:drawing>
      </w:r>
    </w:p>
    <w:p w14:paraId="78BBA71E" w14:textId="77777777" w:rsidR="00941CF4" w:rsidRDefault="00000000">
      <w:pPr>
        <w:spacing w:before="40" w:after="80"/>
        <w:jc w:val="center"/>
      </w:pPr>
      <w:r>
        <w:rPr>
          <w:i/>
          <w:color w:val="596579"/>
          <w:sz w:val="17"/>
        </w:rPr>
        <w:t>Figure 3. KPI formula reference and KPI calculation context.</w:t>
      </w:r>
    </w:p>
    <w:tbl>
      <w:tblPr>
        <w:tblW w:w="0" w:type="auto"/>
        <w:jc w:val="center"/>
        <w:tblLook w:val="04A0" w:firstRow="1" w:lastRow="0" w:firstColumn="1" w:lastColumn="0" w:noHBand="0" w:noVBand="1"/>
      </w:tblPr>
      <w:tblGrid>
        <w:gridCol w:w="10656"/>
      </w:tblGrid>
      <w:tr w:rsidR="00941CF4" w14:paraId="5D2FF494"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F8FBFF"/>
          </w:tcPr>
          <w:p w14:paraId="52072E85" w14:textId="77777777" w:rsidR="00941CF4" w:rsidRDefault="00000000">
            <w:pPr>
              <w:spacing w:after="80"/>
            </w:pPr>
            <w:r>
              <w:rPr>
                <w:b/>
                <w:color w:val="001F3F"/>
                <w:sz w:val="21"/>
              </w:rPr>
              <w:t>Analyst interpretation</w:t>
            </w:r>
          </w:p>
          <w:p w14:paraId="789091A2" w14:textId="77777777" w:rsidR="00941CF4" w:rsidRDefault="00000000">
            <w:pPr>
              <w:spacing w:after="0"/>
            </w:pPr>
            <w:r>
              <w:rPr>
                <w:sz w:val="19"/>
              </w:rPr>
              <w:t>The KPI formula reference supports governance by clarifying how each KPI is calculated and why each metric contributes to retention strategy.</w:t>
            </w:r>
          </w:p>
        </w:tc>
      </w:tr>
    </w:tbl>
    <w:p w14:paraId="13C6AE01" w14:textId="77777777" w:rsidR="00941CF4" w:rsidRDefault="00000000">
      <w:pPr>
        <w:pStyle w:val="Heading2"/>
        <w:spacing w:after="80"/>
      </w:pPr>
      <w:r>
        <w:t>7.4 KPI Calculation Governance Matrix</w:t>
      </w:r>
    </w:p>
    <w:p w14:paraId="480E26D8" w14:textId="77777777" w:rsidR="00941CF4" w:rsidRDefault="00000000">
      <w:pPr>
        <w:pStyle w:val="BodyText"/>
        <w:spacing w:after="80" w:line="252" w:lineRule="auto"/>
      </w:pPr>
      <w:r>
        <w:rPr>
          <w:rFonts w:ascii="Aptos" w:hAnsi="Aptos"/>
          <w:sz w:val="19"/>
        </w:rPr>
        <w:t>Because retention KPIs are recalculated from the filtered customer base, each KPI must be interpreted with the selected segment, denominator, and business decision in mind. The governance matrix below documents how the KPI should be read in a professional analytics review.</w:t>
      </w:r>
    </w:p>
    <w:tbl>
      <w:tblPr>
        <w:tblStyle w:val="TableGrid"/>
        <w:tblW w:w="0" w:type="auto"/>
        <w:jc w:val="center"/>
        <w:tblLook w:val="04A0" w:firstRow="1" w:lastRow="0" w:firstColumn="1" w:lastColumn="0" w:noHBand="0" w:noVBand="1"/>
      </w:tblPr>
      <w:tblGrid>
        <w:gridCol w:w="2664"/>
        <w:gridCol w:w="2664"/>
        <w:gridCol w:w="2664"/>
        <w:gridCol w:w="2664"/>
      </w:tblGrid>
      <w:tr w:rsidR="00941CF4" w14:paraId="13C6BF54" w14:textId="77777777">
        <w:trPr>
          <w:tblHeader/>
          <w:jc w:val="center"/>
        </w:trPr>
        <w:tc>
          <w:tcPr>
            <w:tcW w:w="2664" w:type="dxa"/>
            <w:shd w:val="clear" w:color="auto" w:fill="003A5D"/>
            <w:vAlign w:val="center"/>
          </w:tcPr>
          <w:p w14:paraId="61F4F513" w14:textId="77777777" w:rsidR="00941CF4" w:rsidRDefault="00000000">
            <w:r>
              <w:rPr>
                <w:rFonts w:ascii="Aptos" w:hAnsi="Aptos"/>
                <w:b/>
                <w:color w:val="FFFFFF"/>
                <w:sz w:val="16"/>
              </w:rPr>
              <w:t>KPI</w:t>
            </w:r>
          </w:p>
        </w:tc>
        <w:tc>
          <w:tcPr>
            <w:tcW w:w="2664" w:type="dxa"/>
            <w:shd w:val="clear" w:color="auto" w:fill="003A5D"/>
            <w:vAlign w:val="center"/>
          </w:tcPr>
          <w:p w14:paraId="0D6AB41F" w14:textId="77777777" w:rsidR="00941CF4" w:rsidRDefault="00000000">
            <w:r>
              <w:rPr>
                <w:rFonts w:ascii="Aptos" w:hAnsi="Aptos"/>
                <w:b/>
                <w:color w:val="FFFFFF"/>
                <w:sz w:val="16"/>
              </w:rPr>
              <w:t>Primary Denominator</w:t>
            </w:r>
          </w:p>
        </w:tc>
        <w:tc>
          <w:tcPr>
            <w:tcW w:w="2664" w:type="dxa"/>
            <w:shd w:val="clear" w:color="auto" w:fill="003A5D"/>
            <w:vAlign w:val="center"/>
          </w:tcPr>
          <w:p w14:paraId="518CB10C" w14:textId="77777777" w:rsidR="00941CF4" w:rsidRDefault="00000000">
            <w:r>
              <w:rPr>
                <w:rFonts w:ascii="Aptos" w:hAnsi="Aptos"/>
                <w:b/>
                <w:color w:val="FFFFFF"/>
                <w:sz w:val="16"/>
              </w:rPr>
              <w:t>Decision Question</w:t>
            </w:r>
          </w:p>
        </w:tc>
        <w:tc>
          <w:tcPr>
            <w:tcW w:w="2664" w:type="dxa"/>
            <w:shd w:val="clear" w:color="auto" w:fill="003A5D"/>
            <w:vAlign w:val="center"/>
          </w:tcPr>
          <w:p w14:paraId="1D710482" w14:textId="77777777" w:rsidR="00941CF4" w:rsidRDefault="00000000">
            <w:r>
              <w:rPr>
                <w:rFonts w:ascii="Aptos" w:hAnsi="Aptos"/>
                <w:b/>
                <w:color w:val="FFFFFF"/>
                <w:sz w:val="16"/>
              </w:rPr>
              <w:t>Governance Guardrail</w:t>
            </w:r>
          </w:p>
        </w:tc>
      </w:tr>
      <w:tr w:rsidR="00941CF4" w14:paraId="5EB25BA5" w14:textId="77777777">
        <w:trPr>
          <w:jc w:val="center"/>
        </w:trPr>
        <w:tc>
          <w:tcPr>
            <w:tcW w:w="2664" w:type="dxa"/>
            <w:shd w:val="clear" w:color="auto" w:fill="FFFFFF"/>
            <w:vAlign w:val="center"/>
          </w:tcPr>
          <w:p w14:paraId="4AA6B3A9" w14:textId="77777777" w:rsidR="00941CF4" w:rsidRDefault="00000000">
            <w:r>
              <w:rPr>
                <w:rFonts w:ascii="Aptos" w:hAnsi="Aptos"/>
                <w:sz w:val="16"/>
              </w:rPr>
              <w:t>Engagement Retention Ratio</w:t>
            </w:r>
          </w:p>
        </w:tc>
        <w:tc>
          <w:tcPr>
            <w:tcW w:w="2664" w:type="dxa"/>
            <w:shd w:val="clear" w:color="auto" w:fill="FFFFFF"/>
            <w:vAlign w:val="center"/>
          </w:tcPr>
          <w:p w14:paraId="7847326F" w14:textId="77777777" w:rsidR="00941CF4" w:rsidRDefault="00000000">
            <w:r>
              <w:rPr>
                <w:rFonts w:ascii="Aptos" w:hAnsi="Aptos"/>
                <w:sz w:val="16"/>
              </w:rPr>
              <w:t>Active and inactive member retention rates</w:t>
            </w:r>
          </w:p>
        </w:tc>
        <w:tc>
          <w:tcPr>
            <w:tcW w:w="2664" w:type="dxa"/>
            <w:shd w:val="clear" w:color="auto" w:fill="FFFFFF"/>
            <w:vAlign w:val="center"/>
          </w:tcPr>
          <w:p w14:paraId="5E66B692" w14:textId="77777777" w:rsidR="00941CF4" w:rsidRDefault="00000000">
            <w:r>
              <w:rPr>
                <w:rFonts w:ascii="Aptos" w:hAnsi="Aptos"/>
                <w:sz w:val="16"/>
              </w:rPr>
              <w:t>Are active members retaining better than inactive members?</w:t>
            </w:r>
          </w:p>
        </w:tc>
        <w:tc>
          <w:tcPr>
            <w:tcW w:w="2664" w:type="dxa"/>
            <w:shd w:val="clear" w:color="auto" w:fill="FFFFFF"/>
            <w:vAlign w:val="center"/>
          </w:tcPr>
          <w:p w14:paraId="2576EEC2" w14:textId="77777777" w:rsidR="00941CF4" w:rsidRDefault="00000000">
            <w:r>
              <w:rPr>
                <w:rFonts w:ascii="Aptos" w:hAnsi="Aptos"/>
                <w:sz w:val="16"/>
              </w:rPr>
              <w:t>Report N/A when both segments are not available in the selected filter state.</w:t>
            </w:r>
          </w:p>
        </w:tc>
      </w:tr>
      <w:tr w:rsidR="00941CF4" w14:paraId="41381331" w14:textId="77777777">
        <w:trPr>
          <w:jc w:val="center"/>
        </w:trPr>
        <w:tc>
          <w:tcPr>
            <w:tcW w:w="2664" w:type="dxa"/>
            <w:shd w:val="clear" w:color="auto" w:fill="F4F7FB"/>
            <w:vAlign w:val="center"/>
          </w:tcPr>
          <w:p w14:paraId="7B72BA9B" w14:textId="77777777" w:rsidR="00941CF4" w:rsidRDefault="00000000">
            <w:r>
              <w:rPr>
                <w:rFonts w:ascii="Aptos" w:hAnsi="Aptos"/>
                <w:sz w:val="16"/>
              </w:rPr>
              <w:t>Product Depth Index</w:t>
            </w:r>
          </w:p>
        </w:tc>
        <w:tc>
          <w:tcPr>
            <w:tcW w:w="2664" w:type="dxa"/>
            <w:shd w:val="clear" w:color="auto" w:fill="F4F7FB"/>
            <w:vAlign w:val="center"/>
          </w:tcPr>
          <w:p w14:paraId="7B6DBB33" w14:textId="77777777" w:rsidR="00941CF4" w:rsidRDefault="00000000">
            <w:r>
              <w:rPr>
                <w:rFonts w:ascii="Aptos" w:hAnsi="Aptos"/>
                <w:sz w:val="16"/>
              </w:rPr>
              <w:t>Retained customer product count vs overall product count</w:t>
            </w:r>
          </w:p>
        </w:tc>
        <w:tc>
          <w:tcPr>
            <w:tcW w:w="2664" w:type="dxa"/>
            <w:shd w:val="clear" w:color="auto" w:fill="F4F7FB"/>
            <w:vAlign w:val="center"/>
          </w:tcPr>
          <w:p w14:paraId="3BB38D23" w14:textId="77777777" w:rsidR="00941CF4" w:rsidRDefault="00000000">
            <w:r>
              <w:rPr>
                <w:rFonts w:ascii="Aptos" w:hAnsi="Aptos"/>
                <w:sz w:val="16"/>
              </w:rPr>
              <w:t>Do retained customers show stronger product depth?</w:t>
            </w:r>
          </w:p>
        </w:tc>
        <w:tc>
          <w:tcPr>
            <w:tcW w:w="2664" w:type="dxa"/>
            <w:shd w:val="clear" w:color="auto" w:fill="F4F7FB"/>
            <w:vAlign w:val="center"/>
          </w:tcPr>
          <w:p w14:paraId="723A4A0F" w14:textId="77777777" w:rsidR="00941CF4" w:rsidRDefault="00000000">
            <w:r>
              <w:rPr>
                <w:rFonts w:ascii="Aptos" w:hAnsi="Aptos"/>
                <w:sz w:val="16"/>
              </w:rPr>
              <w:t>Interpret with product-count distribution to avoid over-valuing small groups.</w:t>
            </w:r>
          </w:p>
        </w:tc>
      </w:tr>
      <w:tr w:rsidR="00941CF4" w14:paraId="35B4FE68" w14:textId="77777777">
        <w:trPr>
          <w:jc w:val="center"/>
        </w:trPr>
        <w:tc>
          <w:tcPr>
            <w:tcW w:w="2664" w:type="dxa"/>
            <w:shd w:val="clear" w:color="auto" w:fill="FFFFFF"/>
            <w:vAlign w:val="center"/>
          </w:tcPr>
          <w:p w14:paraId="1F450E74" w14:textId="77777777" w:rsidR="00941CF4" w:rsidRDefault="00000000">
            <w:r>
              <w:rPr>
                <w:rFonts w:ascii="Aptos" w:hAnsi="Aptos"/>
                <w:sz w:val="16"/>
              </w:rPr>
              <w:t>High-Balance Disengagement Rate</w:t>
            </w:r>
          </w:p>
        </w:tc>
        <w:tc>
          <w:tcPr>
            <w:tcW w:w="2664" w:type="dxa"/>
            <w:shd w:val="clear" w:color="auto" w:fill="FFFFFF"/>
            <w:vAlign w:val="center"/>
          </w:tcPr>
          <w:p w14:paraId="37482ED7" w14:textId="77777777" w:rsidR="00941CF4" w:rsidRDefault="00000000">
            <w:r>
              <w:rPr>
                <w:rFonts w:ascii="Aptos" w:hAnsi="Aptos"/>
                <w:sz w:val="16"/>
              </w:rPr>
              <w:t>High-value customer base</w:t>
            </w:r>
          </w:p>
        </w:tc>
        <w:tc>
          <w:tcPr>
            <w:tcW w:w="2664" w:type="dxa"/>
            <w:shd w:val="clear" w:color="auto" w:fill="FFFFFF"/>
            <w:vAlign w:val="center"/>
          </w:tcPr>
          <w:p w14:paraId="6739B882" w14:textId="77777777" w:rsidR="00941CF4" w:rsidRDefault="00000000">
            <w:r>
              <w:rPr>
                <w:rFonts w:ascii="Aptos" w:hAnsi="Aptos"/>
                <w:sz w:val="16"/>
              </w:rPr>
              <w:t>How much premium value is behaviorally disengaged?</w:t>
            </w:r>
          </w:p>
        </w:tc>
        <w:tc>
          <w:tcPr>
            <w:tcW w:w="2664" w:type="dxa"/>
            <w:shd w:val="clear" w:color="auto" w:fill="FFFFFF"/>
            <w:vAlign w:val="center"/>
          </w:tcPr>
          <w:p w14:paraId="2C683B3B" w14:textId="77777777" w:rsidR="00941CF4" w:rsidRDefault="00000000">
            <w:r>
              <w:rPr>
                <w:rFonts w:ascii="Aptos" w:hAnsi="Aptos"/>
                <w:sz w:val="16"/>
              </w:rPr>
              <w:t>Use as a premium outreach trigger, not as an automatic churn label.</w:t>
            </w:r>
          </w:p>
        </w:tc>
      </w:tr>
      <w:tr w:rsidR="00941CF4" w14:paraId="690D65EF" w14:textId="77777777">
        <w:trPr>
          <w:jc w:val="center"/>
        </w:trPr>
        <w:tc>
          <w:tcPr>
            <w:tcW w:w="2664" w:type="dxa"/>
            <w:shd w:val="clear" w:color="auto" w:fill="F4F7FB"/>
            <w:vAlign w:val="center"/>
          </w:tcPr>
          <w:p w14:paraId="7B90A98E" w14:textId="77777777" w:rsidR="00941CF4" w:rsidRDefault="00000000">
            <w:r>
              <w:rPr>
                <w:rFonts w:ascii="Aptos" w:hAnsi="Aptos"/>
                <w:sz w:val="16"/>
              </w:rPr>
              <w:t>Credit Card Stickiness Score</w:t>
            </w:r>
          </w:p>
        </w:tc>
        <w:tc>
          <w:tcPr>
            <w:tcW w:w="2664" w:type="dxa"/>
            <w:shd w:val="clear" w:color="auto" w:fill="F4F7FB"/>
            <w:vAlign w:val="center"/>
          </w:tcPr>
          <w:p w14:paraId="77C59B40" w14:textId="77777777" w:rsidR="00941CF4" w:rsidRDefault="00000000">
            <w:r>
              <w:rPr>
                <w:rFonts w:ascii="Aptos" w:hAnsi="Aptos"/>
                <w:sz w:val="16"/>
              </w:rPr>
              <w:t>Customers with credit card ownership</w:t>
            </w:r>
          </w:p>
        </w:tc>
        <w:tc>
          <w:tcPr>
            <w:tcW w:w="2664" w:type="dxa"/>
            <w:shd w:val="clear" w:color="auto" w:fill="F4F7FB"/>
            <w:vAlign w:val="center"/>
          </w:tcPr>
          <w:p w14:paraId="72E1F164" w14:textId="77777777" w:rsidR="00941CF4" w:rsidRDefault="00000000">
            <w:r>
              <w:rPr>
                <w:rFonts w:ascii="Aptos" w:hAnsi="Aptos"/>
                <w:sz w:val="16"/>
              </w:rPr>
              <w:t>Are card holders showing a stronger retained profile?</w:t>
            </w:r>
          </w:p>
        </w:tc>
        <w:tc>
          <w:tcPr>
            <w:tcW w:w="2664" w:type="dxa"/>
            <w:shd w:val="clear" w:color="auto" w:fill="F4F7FB"/>
            <w:vAlign w:val="center"/>
          </w:tcPr>
          <w:p w14:paraId="60F66F01" w14:textId="77777777" w:rsidR="00941CF4" w:rsidRDefault="00000000">
            <w:r>
              <w:rPr>
                <w:rFonts w:ascii="Aptos" w:hAnsi="Aptos"/>
                <w:sz w:val="16"/>
              </w:rPr>
              <w:t>Compare with product depth and engagement before designing card-only campaigns.</w:t>
            </w:r>
          </w:p>
        </w:tc>
      </w:tr>
      <w:tr w:rsidR="00941CF4" w14:paraId="5D07427F" w14:textId="77777777">
        <w:trPr>
          <w:jc w:val="center"/>
        </w:trPr>
        <w:tc>
          <w:tcPr>
            <w:tcW w:w="2664" w:type="dxa"/>
            <w:shd w:val="clear" w:color="auto" w:fill="FFFFFF"/>
            <w:vAlign w:val="center"/>
          </w:tcPr>
          <w:p w14:paraId="420C633B" w14:textId="77777777" w:rsidR="00941CF4" w:rsidRDefault="00000000">
            <w:r>
              <w:rPr>
                <w:rFonts w:ascii="Aptos" w:hAnsi="Aptos"/>
                <w:sz w:val="16"/>
              </w:rPr>
              <w:t>Relationship Strength Index</w:t>
            </w:r>
          </w:p>
        </w:tc>
        <w:tc>
          <w:tcPr>
            <w:tcW w:w="2664" w:type="dxa"/>
            <w:shd w:val="clear" w:color="auto" w:fill="FFFFFF"/>
            <w:vAlign w:val="center"/>
          </w:tcPr>
          <w:p w14:paraId="7047AD5D" w14:textId="77777777" w:rsidR="00941CF4" w:rsidRDefault="00000000">
            <w:r>
              <w:rPr>
                <w:rFonts w:ascii="Aptos" w:hAnsi="Aptos"/>
                <w:sz w:val="16"/>
              </w:rPr>
              <w:t>Filtered customer base</w:t>
            </w:r>
          </w:p>
        </w:tc>
        <w:tc>
          <w:tcPr>
            <w:tcW w:w="2664" w:type="dxa"/>
            <w:shd w:val="clear" w:color="auto" w:fill="FFFFFF"/>
            <w:vAlign w:val="center"/>
          </w:tcPr>
          <w:p w14:paraId="08D2CE50" w14:textId="77777777" w:rsidR="00941CF4" w:rsidRDefault="00000000">
            <w:r>
              <w:rPr>
                <w:rFonts w:ascii="Aptos" w:hAnsi="Aptos"/>
                <w:sz w:val="16"/>
              </w:rPr>
              <w:t>How strong is the overall relationship quality?</w:t>
            </w:r>
          </w:p>
        </w:tc>
        <w:tc>
          <w:tcPr>
            <w:tcW w:w="2664" w:type="dxa"/>
            <w:shd w:val="clear" w:color="auto" w:fill="FFFFFF"/>
            <w:vAlign w:val="center"/>
          </w:tcPr>
          <w:p w14:paraId="1A417A8D" w14:textId="77777777" w:rsidR="00941CF4" w:rsidRDefault="00000000">
            <w:r>
              <w:rPr>
                <w:rFonts w:ascii="Aptos" w:hAnsi="Aptos"/>
                <w:sz w:val="16"/>
              </w:rPr>
              <w:t>Use with retention tier ranking for campaign prioritization.</w:t>
            </w:r>
          </w:p>
        </w:tc>
      </w:tr>
      <w:tr w:rsidR="00941CF4" w14:paraId="4EAE1052" w14:textId="77777777">
        <w:trPr>
          <w:tblHeader/>
          <w:jc w:val="center"/>
        </w:trPr>
        <w:tc>
          <w:tcPr>
            <w:tcW w:w="10656" w:type="dxa"/>
            <w:gridSpan w:val="4"/>
            <w:shd w:val="clear" w:color="auto" w:fill="EAF4FF"/>
          </w:tcPr>
          <w:p w14:paraId="7A8EE2B7" w14:textId="77777777" w:rsidR="00941CF4" w:rsidRDefault="00000000">
            <w:r>
              <w:rPr>
                <w:rFonts w:ascii="Aptos" w:hAnsi="Aptos"/>
                <w:b/>
                <w:sz w:val="19"/>
              </w:rPr>
              <w:t>Calculation reliability note</w:t>
            </w:r>
          </w:p>
          <w:p w14:paraId="569C8BDA" w14:textId="77777777" w:rsidR="00941CF4" w:rsidRDefault="00000000">
            <w:r>
              <w:rPr>
                <w:rFonts w:ascii="Aptos" w:hAnsi="Aptos"/>
                <w:sz w:val="17"/>
              </w:rPr>
              <w:t>KPI values should always be reported with the active filter state. A high or low value may change when the analyst filters by engagement status, product count, balance threshold, or salary threshold.</w:t>
            </w:r>
          </w:p>
        </w:tc>
      </w:tr>
    </w:tbl>
    <w:p w14:paraId="06B509BC" w14:textId="77777777" w:rsidR="00941CF4" w:rsidRDefault="00941CF4"/>
    <w:p w14:paraId="6A433302" w14:textId="77777777" w:rsidR="00941CF4" w:rsidRDefault="00000000">
      <w:r>
        <w:br w:type="page"/>
      </w:r>
    </w:p>
    <w:p w14:paraId="2F08B908" w14:textId="77777777" w:rsidR="00941CF4" w:rsidRDefault="00000000">
      <w:pPr>
        <w:pStyle w:val="Heading1"/>
      </w:pPr>
      <w:r>
        <w:lastRenderedPageBreak/>
        <w:t>8. Data Limitations and Scope</w:t>
      </w:r>
    </w:p>
    <w:p w14:paraId="7CAF318F" w14:textId="77777777" w:rsidR="00941CF4" w:rsidRDefault="00000000">
      <w:pPr>
        <w:pStyle w:val="BodyText"/>
        <w:jc w:val="both"/>
      </w:pPr>
      <w:r>
        <w:t>This research paper is an applied descriptive and diagnostic analytics study. It identifies retention patterns and actionable segments, but it does not prove causal relationships. For example, active membership is associated with stronger retention, but causal proof would require experiments, longitudinal tracking, or causal modeling.</w:t>
      </w:r>
    </w:p>
    <w:tbl>
      <w:tblPr>
        <w:tblW w:w="0" w:type="auto"/>
        <w:jc w:val="center"/>
        <w:tblLook w:val="04A0" w:firstRow="1" w:lastRow="0" w:firstColumn="1" w:lastColumn="0" w:noHBand="0" w:noVBand="1"/>
      </w:tblPr>
      <w:tblGrid>
        <w:gridCol w:w="2304"/>
        <w:gridCol w:w="3600"/>
        <w:gridCol w:w="4176"/>
      </w:tblGrid>
      <w:tr w:rsidR="00941CF4" w14:paraId="3313F0B6" w14:textId="77777777">
        <w:trPr>
          <w:tblHeader/>
          <w:jc w:val="center"/>
        </w:trPr>
        <w:tc>
          <w:tcPr>
            <w:tcW w:w="2304"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680D29FE" w14:textId="77777777" w:rsidR="00941CF4" w:rsidRDefault="00000000">
            <w:pPr>
              <w:spacing w:after="0"/>
            </w:pPr>
            <w:r>
              <w:rPr>
                <w:b/>
                <w:color w:val="FFFFFF"/>
                <w:sz w:val="17"/>
              </w:rPr>
              <w:t>Limitation</w:t>
            </w:r>
          </w:p>
        </w:tc>
        <w:tc>
          <w:tcPr>
            <w:tcW w:w="3600"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5C10D69B" w14:textId="77777777" w:rsidR="00941CF4" w:rsidRDefault="00000000">
            <w:pPr>
              <w:spacing w:after="0"/>
            </w:pPr>
            <w:r>
              <w:rPr>
                <w:b/>
                <w:color w:val="FFFFFF"/>
                <w:sz w:val="17"/>
              </w:rPr>
              <w:t>Impact on Interpretation</w:t>
            </w:r>
          </w:p>
        </w:tc>
        <w:tc>
          <w:tcPr>
            <w:tcW w:w="4176"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0D05D047" w14:textId="77777777" w:rsidR="00941CF4" w:rsidRDefault="00000000">
            <w:pPr>
              <w:spacing w:after="0"/>
            </w:pPr>
            <w:r>
              <w:rPr>
                <w:b/>
                <w:color w:val="FFFFFF"/>
                <w:sz w:val="17"/>
              </w:rPr>
              <w:t>Future Improvement</w:t>
            </w:r>
          </w:p>
        </w:tc>
      </w:tr>
      <w:tr w:rsidR="00941CF4" w14:paraId="1BEAE187" w14:textId="77777777">
        <w:trPr>
          <w:jc w:val="center"/>
        </w:trPr>
        <w:tc>
          <w:tcPr>
            <w:tcW w:w="2304" w:type="dxa"/>
            <w:shd w:val="clear" w:color="auto" w:fill="FFFFFF"/>
          </w:tcPr>
          <w:p w14:paraId="1F064372" w14:textId="77777777" w:rsidR="00941CF4" w:rsidRDefault="00000000">
            <w:pPr>
              <w:spacing w:after="0"/>
            </w:pPr>
            <w:r>
              <w:rPr>
                <w:sz w:val="16"/>
              </w:rPr>
              <w:t>Observational dataset</w:t>
            </w:r>
          </w:p>
        </w:tc>
        <w:tc>
          <w:tcPr>
            <w:tcW w:w="3600" w:type="dxa"/>
            <w:shd w:val="clear" w:color="auto" w:fill="FFFFFF"/>
          </w:tcPr>
          <w:p w14:paraId="4E563146" w14:textId="77777777" w:rsidR="00941CF4" w:rsidRDefault="00000000">
            <w:pPr>
              <w:spacing w:after="0"/>
            </w:pPr>
            <w:r>
              <w:rPr>
                <w:sz w:val="16"/>
              </w:rPr>
              <w:t>Associations should not be interpreted as causation.</w:t>
            </w:r>
          </w:p>
        </w:tc>
        <w:tc>
          <w:tcPr>
            <w:tcW w:w="4176" w:type="dxa"/>
            <w:shd w:val="clear" w:color="auto" w:fill="FFFFFF"/>
          </w:tcPr>
          <w:p w14:paraId="5BAD217F" w14:textId="77777777" w:rsidR="00941CF4" w:rsidRDefault="00000000">
            <w:pPr>
              <w:spacing w:after="0"/>
            </w:pPr>
            <w:r>
              <w:rPr>
                <w:sz w:val="16"/>
              </w:rPr>
              <w:t>Add experiments, causal modeling, or longitudinal retention tracking.</w:t>
            </w:r>
          </w:p>
        </w:tc>
      </w:tr>
      <w:tr w:rsidR="00941CF4" w14:paraId="18678959" w14:textId="77777777">
        <w:trPr>
          <w:jc w:val="center"/>
        </w:trPr>
        <w:tc>
          <w:tcPr>
            <w:tcW w:w="2304" w:type="dxa"/>
            <w:shd w:val="clear" w:color="auto" w:fill="F5F7FA"/>
          </w:tcPr>
          <w:p w14:paraId="1CDAAA19" w14:textId="77777777" w:rsidR="00941CF4" w:rsidRDefault="00000000">
            <w:pPr>
              <w:spacing w:after="0"/>
            </w:pPr>
            <w:r>
              <w:rPr>
                <w:sz w:val="16"/>
              </w:rPr>
              <w:t>No transaction history</w:t>
            </w:r>
          </w:p>
        </w:tc>
        <w:tc>
          <w:tcPr>
            <w:tcW w:w="3600" w:type="dxa"/>
            <w:shd w:val="clear" w:color="auto" w:fill="F5F7FA"/>
          </w:tcPr>
          <w:p w14:paraId="0BBC4173" w14:textId="77777777" w:rsidR="00941CF4" w:rsidRDefault="00000000">
            <w:pPr>
              <w:spacing w:after="0"/>
            </w:pPr>
            <w:r>
              <w:rPr>
                <w:sz w:val="16"/>
              </w:rPr>
              <w:t>Engagement is represented mainly by active membership status.</w:t>
            </w:r>
          </w:p>
        </w:tc>
        <w:tc>
          <w:tcPr>
            <w:tcW w:w="4176" w:type="dxa"/>
            <w:shd w:val="clear" w:color="auto" w:fill="F5F7FA"/>
          </w:tcPr>
          <w:p w14:paraId="50278D60" w14:textId="77777777" w:rsidR="00941CF4" w:rsidRDefault="00000000">
            <w:pPr>
              <w:spacing w:after="0"/>
            </w:pPr>
            <w:r>
              <w:rPr>
                <w:sz w:val="16"/>
              </w:rPr>
              <w:t>Add login activity, transaction frequency, app usage, complaints, and support interactions.</w:t>
            </w:r>
          </w:p>
        </w:tc>
      </w:tr>
      <w:tr w:rsidR="00941CF4" w14:paraId="302474C7" w14:textId="77777777">
        <w:trPr>
          <w:jc w:val="center"/>
        </w:trPr>
        <w:tc>
          <w:tcPr>
            <w:tcW w:w="2304" w:type="dxa"/>
            <w:shd w:val="clear" w:color="auto" w:fill="FFFFFF"/>
          </w:tcPr>
          <w:p w14:paraId="570CDD45" w14:textId="77777777" w:rsidR="00941CF4" w:rsidRDefault="00000000">
            <w:pPr>
              <w:spacing w:after="0"/>
            </w:pPr>
            <w:r>
              <w:rPr>
                <w:sz w:val="16"/>
              </w:rPr>
              <w:t>No detailed product mix</w:t>
            </w:r>
          </w:p>
        </w:tc>
        <w:tc>
          <w:tcPr>
            <w:tcW w:w="3600" w:type="dxa"/>
            <w:shd w:val="clear" w:color="auto" w:fill="FFFFFF"/>
          </w:tcPr>
          <w:p w14:paraId="239173EA" w14:textId="77777777" w:rsidR="00941CF4" w:rsidRDefault="00000000">
            <w:pPr>
              <w:spacing w:after="0"/>
            </w:pPr>
            <w:r>
              <w:rPr>
                <w:sz w:val="16"/>
              </w:rPr>
              <w:t>NumOfProducts shows count, not exact product categories.</w:t>
            </w:r>
          </w:p>
        </w:tc>
        <w:tc>
          <w:tcPr>
            <w:tcW w:w="4176" w:type="dxa"/>
            <w:shd w:val="clear" w:color="auto" w:fill="FFFFFF"/>
          </w:tcPr>
          <w:p w14:paraId="1E18954D" w14:textId="77777777" w:rsidR="00941CF4" w:rsidRDefault="00000000">
            <w:pPr>
              <w:spacing w:after="0"/>
            </w:pPr>
            <w:r>
              <w:rPr>
                <w:sz w:val="16"/>
              </w:rPr>
              <w:t>Add exact products, product age, usage frequency, and profitability.</w:t>
            </w:r>
          </w:p>
        </w:tc>
      </w:tr>
      <w:tr w:rsidR="00941CF4" w14:paraId="17206F0D" w14:textId="77777777">
        <w:trPr>
          <w:jc w:val="center"/>
        </w:trPr>
        <w:tc>
          <w:tcPr>
            <w:tcW w:w="2304" w:type="dxa"/>
            <w:shd w:val="clear" w:color="auto" w:fill="F5F7FA"/>
          </w:tcPr>
          <w:p w14:paraId="01A0CCEA" w14:textId="77777777" w:rsidR="00941CF4" w:rsidRDefault="00000000">
            <w:pPr>
              <w:spacing w:after="0"/>
            </w:pPr>
            <w:r>
              <w:rPr>
                <w:sz w:val="16"/>
              </w:rPr>
              <w:t>No campaign history</w:t>
            </w:r>
          </w:p>
        </w:tc>
        <w:tc>
          <w:tcPr>
            <w:tcW w:w="3600" w:type="dxa"/>
            <w:shd w:val="clear" w:color="auto" w:fill="F5F7FA"/>
          </w:tcPr>
          <w:p w14:paraId="10E1DF96" w14:textId="77777777" w:rsidR="00941CF4" w:rsidRDefault="00000000">
            <w:pPr>
              <w:spacing w:after="0"/>
            </w:pPr>
            <w:r>
              <w:rPr>
                <w:sz w:val="16"/>
              </w:rPr>
              <w:t>Cannot measure response to retention interventions.</w:t>
            </w:r>
          </w:p>
        </w:tc>
        <w:tc>
          <w:tcPr>
            <w:tcW w:w="4176" w:type="dxa"/>
            <w:shd w:val="clear" w:color="auto" w:fill="F5F7FA"/>
          </w:tcPr>
          <w:p w14:paraId="444B4846" w14:textId="77777777" w:rsidR="00941CF4" w:rsidRDefault="00000000">
            <w:pPr>
              <w:spacing w:after="0"/>
            </w:pPr>
            <w:r>
              <w:rPr>
                <w:sz w:val="16"/>
              </w:rPr>
              <w:t>Add campaign exposure, offers, and response outcomes.</w:t>
            </w:r>
          </w:p>
        </w:tc>
      </w:tr>
      <w:tr w:rsidR="00941CF4" w14:paraId="3ED0FDBE" w14:textId="77777777">
        <w:trPr>
          <w:jc w:val="center"/>
        </w:trPr>
        <w:tc>
          <w:tcPr>
            <w:tcW w:w="2304" w:type="dxa"/>
            <w:shd w:val="clear" w:color="auto" w:fill="FFFFFF"/>
          </w:tcPr>
          <w:p w14:paraId="5250F7C6" w14:textId="77777777" w:rsidR="00941CF4" w:rsidRDefault="00000000">
            <w:pPr>
              <w:spacing w:after="0"/>
            </w:pPr>
            <w:r>
              <w:rPr>
                <w:sz w:val="16"/>
              </w:rPr>
              <w:t>Snapshot-style data</w:t>
            </w:r>
          </w:p>
        </w:tc>
        <w:tc>
          <w:tcPr>
            <w:tcW w:w="3600" w:type="dxa"/>
            <w:shd w:val="clear" w:color="auto" w:fill="FFFFFF"/>
          </w:tcPr>
          <w:p w14:paraId="073E4DA9" w14:textId="77777777" w:rsidR="00941CF4" w:rsidRDefault="00000000">
            <w:pPr>
              <w:spacing w:after="0"/>
            </w:pPr>
            <w:r>
              <w:rPr>
                <w:sz w:val="16"/>
              </w:rPr>
              <w:t>Cannot observe customer journey over time.</w:t>
            </w:r>
          </w:p>
        </w:tc>
        <w:tc>
          <w:tcPr>
            <w:tcW w:w="4176" w:type="dxa"/>
            <w:shd w:val="clear" w:color="auto" w:fill="FFFFFF"/>
          </w:tcPr>
          <w:p w14:paraId="7C3600FE" w14:textId="77777777" w:rsidR="00941CF4" w:rsidRDefault="00000000">
            <w:pPr>
              <w:spacing w:after="0"/>
            </w:pPr>
            <w:r>
              <w:rPr>
                <w:sz w:val="16"/>
              </w:rPr>
              <w:t>Add monthly customer snapshots and event-based history.</w:t>
            </w:r>
          </w:p>
        </w:tc>
      </w:tr>
      <w:tr w:rsidR="00941CF4" w14:paraId="4D1DD654" w14:textId="77777777">
        <w:trPr>
          <w:jc w:val="center"/>
        </w:trPr>
        <w:tc>
          <w:tcPr>
            <w:tcW w:w="2304" w:type="dxa"/>
            <w:shd w:val="clear" w:color="auto" w:fill="F5F7FA"/>
          </w:tcPr>
          <w:p w14:paraId="72A34A65" w14:textId="77777777" w:rsidR="00941CF4" w:rsidRDefault="00000000">
            <w:pPr>
              <w:spacing w:after="0"/>
            </w:pPr>
            <w:r>
              <w:rPr>
                <w:sz w:val="16"/>
              </w:rPr>
              <w:t>Small-segment sensitivity</w:t>
            </w:r>
          </w:p>
        </w:tc>
        <w:tc>
          <w:tcPr>
            <w:tcW w:w="3600" w:type="dxa"/>
            <w:shd w:val="clear" w:color="auto" w:fill="F5F7FA"/>
          </w:tcPr>
          <w:p w14:paraId="7D6A05DD" w14:textId="77777777" w:rsidR="00941CF4" w:rsidRDefault="00000000">
            <w:pPr>
              <w:spacing w:after="0"/>
            </w:pPr>
            <w:r>
              <w:rPr>
                <w:sz w:val="16"/>
              </w:rPr>
              <w:t>Groups like 4-product customers can show extreme rates.</w:t>
            </w:r>
          </w:p>
        </w:tc>
        <w:tc>
          <w:tcPr>
            <w:tcW w:w="4176" w:type="dxa"/>
            <w:shd w:val="clear" w:color="auto" w:fill="F5F7FA"/>
          </w:tcPr>
          <w:p w14:paraId="676FF52E" w14:textId="77777777" w:rsidR="00941CF4" w:rsidRDefault="00000000">
            <w:pPr>
              <w:spacing w:after="0"/>
            </w:pPr>
            <w:r>
              <w:rPr>
                <w:sz w:val="16"/>
              </w:rPr>
              <w:t>Display segment sizes and confidence intervals for small groups.</w:t>
            </w:r>
          </w:p>
        </w:tc>
      </w:tr>
    </w:tbl>
    <w:p w14:paraId="0CB42E95" w14:textId="77777777" w:rsidR="00941CF4" w:rsidRDefault="00941CF4"/>
    <w:tbl>
      <w:tblPr>
        <w:tblW w:w="0" w:type="auto"/>
        <w:jc w:val="center"/>
        <w:tblLook w:val="04A0" w:firstRow="1" w:lastRow="0" w:firstColumn="1" w:lastColumn="0" w:noHBand="0" w:noVBand="1"/>
      </w:tblPr>
      <w:tblGrid>
        <w:gridCol w:w="10656"/>
      </w:tblGrid>
      <w:tr w:rsidR="00941CF4" w14:paraId="5CCF2BFC"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EAF2FB"/>
          </w:tcPr>
          <w:p w14:paraId="776BCA57" w14:textId="77777777" w:rsidR="00941CF4" w:rsidRDefault="00000000">
            <w:pPr>
              <w:spacing w:after="80"/>
            </w:pPr>
            <w:r>
              <w:rPr>
                <w:b/>
                <w:color w:val="001F3F"/>
                <w:sz w:val="21"/>
              </w:rPr>
              <w:t>Responsible-use note</w:t>
            </w:r>
          </w:p>
          <w:p w14:paraId="7D3E5EFE" w14:textId="77777777" w:rsidR="00941CF4" w:rsidRDefault="00000000">
            <w:pPr>
              <w:spacing w:after="0"/>
            </w:pPr>
            <w:r>
              <w:rPr>
                <w:sz w:val="19"/>
              </w:rPr>
              <w:t>The dashboard should be used as a decision-support layer, not as an automated customer judgment system. Risk segments should guide review, prioritization, outreach, and experimentation, while final retention actions should consider customer context and business rules.</w:t>
            </w:r>
          </w:p>
        </w:tc>
      </w:tr>
    </w:tbl>
    <w:p w14:paraId="12D74A2D" w14:textId="77777777" w:rsidR="00941CF4" w:rsidRDefault="00941CF4"/>
    <w:p w14:paraId="68455BD7" w14:textId="77777777" w:rsidR="00941CF4" w:rsidRDefault="00000000">
      <w:r>
        <w:br w:type="page"/>
      </w:r>
    </w:p>
    <w:p w14:paraId="47E1297C" w14:textId="77777777" w:rsidR="00941CF4" w:rsidRDefault="00000000">
      <w:pPr>
        <w:pStyle w:val="Heading1"/>
      </w:pPr>
      <w:r>
        <w:lastRenderedPageBreak/>
        <w:t>9. Key Performance Indicators</w:t>
      </w:r>
    </w:p>
    <w:p w14:paraId="240166D8" w14:textId="77777777" w:rsidR="00941CF4" w:rsidRDefault="00000000">
      <w:pPr>
        <w:pStyle w:val="BodyText"/>
        <w:jc w:val="both"/>
      </w:pPr>
      <w:r>
        <w:t>The KPI framework translates the project guidelines into measurable, dashboard-ready retention signals. Together, these metrics cover engagement quality, product depth, premium-customer risk, credit-card retention, and relationship strength.</w:t>
      </w:r>
    </w:p>
    <w:tbl>
      <w:tblPr>
        <w:tblW w:w="0" w:type="auto"/>
        <w:jc w:val="center"/>
        <w:tblLook w:val="04A0" w:firstRow="1" w:lastRow="0" w:firstColumn="1" w:lastColumn="0" w:noHBand="0" w:noVBand="1"/>
      </w:tblPr>
      <w:tblGrid>
        <w:gridCol w:w="2376"/>
        <w:gridCol w:w="1440"/>
        <w:gridCol w:w="3384"/>
        <w:gridCol w:w="3096"/>
      </w:tblGrid>
      <w:tr w:rsidR="00941CF4" w14:paraId="608B717C" w14:textId="77777777">
        <w:trPr>
          <w:tblHeader/>
          <w:jc w:val="center"/>
        </w:trPr>
        <w:tc>
          <w:tcPr>
            <w:tcW w:w="2376"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64D33C6A" w14:textId="77777777" w:rsidR="00941CF4" w:rsidRDefault="00000000">
            <w:pPr>
              <w:spacing w:after="0"/>
            </w:pPr>
            <w:r>
              <w:rPr>
                <w:b/>
                <w:color w:val="FFFFFF"/>
                <w:sz w:val="17"/>
              </w:rPr>
              <w:t>KPI</w:t>
            </w:r>
          </w:p>
        </w:tc>
        <w:tc>
          <w:tcPr>
            <w:tcW w:w="1440"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16C1A772" w14:textId="77777777" w:rsidR="00941CF4" w:rsidRDefault="00000000">
            <w:pPr>
              <w:spacing w:after="0"/>
            </w:pPr>
            <w:r>
              <w:rPr>
                <w:b/>
                <w:color w:val="FFFFFF"/>
                <w:sz w:val="17"/>
              </w:rPr>
              <w:t>Value</w:t>
            </w:r>
          </w:p>
        </w:tc>
        <w:tc>
          <w:tcPr>
            <w:tcW w:w="3384"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1E417A56" w14:textId="77777777" w:rsidR="00941CF4" w:rsidRDefault="00000000">
            <w:pPr>
              <w:spacing w:after="0"/>
            </w:pPr>
            <w:r>
              <w:rPr>
                <w:b/>
                <w:color w:val="FFFFFF"/>
                <w:sz w:val="17"/>
              </w:rPr>
              <w:t>Formula / Logic</w:t>
            </w:r>
          </w:p>
        </w:tc>
        <w:tc>
          <w:tcPr>
            <w:tcW w:w="3096"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50FEF861" w14:textId="77777777" w:rsidR="00941CF4" w:rsidRDefault="00000000">
            <w:pPr>
              <w:spacing w:after="0"/>
            </w:pPr>
            <w:r>
              <w:rPr>
                <w:b/>
                <w:color w:val="FFFFFF"/>
                <w:sz w:val="17"/>
              </w:rPr>
              <w:t>Business Interpretation</w:t>
            </w:r>
          </w:p>
        </w:tc>
      </w:tr>
      <w:tr w:rsidR="00941CF4" w14:paraId="35562292" w14:textId="77777777">
        <w:trPr>
          <w:jc w:val="center"/>
        </w:trPr>
        <w:tc>
          <w:tcPr>
            <w:tcW w:w="2376" w:type="dxa"/>
            <w:shd w:val="clear" w:color="auto" w:fill="FFFFFF"/>
          </w:tcPr>
          <w:p w14:paraId="608D907D" w14:textId="77777777" w:rsidR="00941CF4" w:rsidRDefault="00000000">
            <w:pPr>
              <w:spacing w:after="0"/>
            </w:pPr>
            <w:r>
              <w:rPr>
                <w:sz w:val="16"/>
              </w:rPr>
              <w:t>Engagement Retention Ratio</w:t>
            </w:r>
          </w:p>
        </w:tc>
        <w:tc>
          <w:tcPr>
            <w:tcW w:w="1440" w:type="dxa"/>
            <w:shd w:val="clear" w:color="auto" w:fill="FFFFFF"/>
          </w:tcPr>
          <w:p w14:paraId="31ED0193" w14:textId="77777777" w:rsidR="00941CF4" w:rsidRDefault="00000000">
            <w:pPr>
              <w:spacing w:after="0"/>
            </w:pPr>
            <w:r>
              <w:rPr>
                <w:sz w:val="16"/>
              </w:rPr>
              <w:t>1.17</w:t>
            </w:r>
          </w:p>
        </w:tc>
        <w:tc>
          <w:tcPr>
            <w:tcW w:w="3384" w:type="dxa"/>
            <w:shd w:val="clear" w:color="auto" w:fill="FFFFFF"/>
          </w:tcPr>
          <w:p w14:paraId="6C622909" w14:textId="77777777" w:rsidR="00941CF4" w:rsidRDefault="00000000">
            <w:pPr>
              <w:spacing w:after="0"/>
            </w:pPr>
            <w:r>
              <w:rPr>
                <w:sz w:val="16"/>
              </w:rPr>
              <w:t>Active Member retention rate divided by Inactive Member retention rate.</w:t>
            </w:r>
          </w:p>
        </w:tc>
        <w:tc>
          <w:tcPr>
            <w:tcW w:w="3096" w:type="dxa"/>
            <w:shd w:val="clear" w:color="auto" w:fill="FFFFFF"/>
          </w:tcPr>
          <w:p w14:paraId="0CCD26CC" w14:textId="77777777" w:rsidR="00941CF4" w:rsidRDefault="00000000">
            <w:pPr>
              <w:spacing w:after="0"/>
            </w:pPr>
            <w:r>
              <w:rPr>
                <w:sz w:val="16"/>
              </w:rPr>
              <w:t>Active customers retain better than inactive customers.</w:t>
            </w:r>
          </w:p>
        </w:tc>
      </w:tr>
      <w:tr w:rsidR="00941CF4" w14:paraId="6A468428" w14:textId="77777777">
        <w:trPr>
          <w:jc w:val="center"/>
        </w:trPr>
        <w:tc>
          <w:tcPr>
            <w:tcW w:w="2376" w:type="dxa"/>
            <w:shd w:val="clear" w:color="auto" w:fill="F5F7FA"/>
          </w:tcPr>
          <w:p w14:paraId="4479194D" w14:textId="77777777" w:rsidR="00941CF4" w:rsidRDefault="00000000">
            <w:pPr>
              <w:spacing w:after="0"/>
            </w:pPr>
            <w:r>
              <w:rPr>
                <w:sz w:val="16"/>
              </w:rPr>
              <w:t>Product Depth Index</w:t>
            </w:r>
          </w:p>
        </w:tc>
        <w:tc>
          <w:tcPr>
            <w:tcW w:w="1440" w:type="dxa"/>
            <w:shd w:val="clear" w:color="auto" w:fill="F5F7FA"/>
          </w:tcPr>
          <w:p w14:paraId="74CC65C7" w14:textId="77777777" w:rsidR="00941CF4" w:rsidRDefault="00000000">
            <w:pPr>
              <w:spacing w:after="0"/>
            </w:pPr>
            <w:r>
              <w:rPr>
                <w:sz w:val="16"/>
              </w:rPr>
              <w:t>100.92</w:t>
            </w:r>
          </w:p>
        </w:tc>
        <w:tc>
          <w:tcPr>
            <w:tcW w:w="3384" w:type="dxa"/>
            <w:shd w:val="clear" w:color="auto" w:fill="F5F7FA"/>
          </w:tcPr>
          <w:p w14:paraId="60697615" w14:textId="77777777" w:rsidR="00941CF4" w:rsidRDefault="00000000">
            <w:pPr>
              <w:spacing w:after="0"/>
            </w:pPr>
            <w:r>
              <w:rPr>
                <w:sz w:val="16"/>
              </w:rPr>
              <w:t>Retained average product count divided by overall average product count x 100.</w:t>
            </w:r>
          </w:p>
        </w:tc>
        <w:tc>
          <w:tcPr>
            <w:tcW w:w="3096" w:type="dxa"/>
            <w:shd w:val="clear" w:color="auto" w:fill="F5F7FA"/>
          </w:tcPr>
          <w:p w14:paraId="48E3E7F5" w14:textId="77777777" w:rsidR="00941CF4" w:rsidRDefault="00000000">
            <w:pPr>
              <w:spacing w:after="0"/>
            </w:pPr>
            <w:r>
              <w:rPr>
                <w:sz w:val="16"/>
              </w:rPr>
              <w:t>Retained customers show slightly stronger product-depth quality.</w:t>
            </w:r>
          </w:p>
        </w:tc>
      </w:tr>
      <w:tr w:rsidR="00941CF4" w14:paraId="6CB63E96" w14:textId="77777777">
        <w:trPr>
          <w:jc w:val="center"/>
        </w:trPr>
        <w:tc>
          <w:tcPr>
            <w:tcW w:w="2376" w:type="dxa"/>
            <w:shd w:val="clear" w:color="auto" w:fill="FFFFFF"/>
          </w:tcPr>
          <w:p w14:paraId="2E48F0C9" w14:textId="77777777" w:rsidR="00941CF4" w:rsidRDefault="00000000">
            <w:pPr>
              <w:spacing w:after="0"/>
            </w:pPr>
            <w:r>
              <w:rPr>
                <w:sz w:val="16"/>
              </w:rPr>
              <w:t>High-Balance Disengagement Rate</w:t>
            </w:r>
          </w:p>
        </w:tc>
        <w:tc>
          <w:tcPr>
            <w:tcW w:w="1440" w:type="dxa"/>
            <w:shd w:val="clear" w:color="auto" w:fill="FFFFFF"/>
          </w:tcPr>
          <w:p w14:paraId="3F4A2B55" w14:textId="77777777" w:rsidR="00941CF4" w:rsidRDefault="00000000">
            <w:pPr>
              <w:spacing w:after="0"/>
            </w:pPr>
            <w:r>
              <w:rPr>
                <w:sz w:val="16"/>
              </w:rPr>
              <w:t>49.51%</w:t>
            </w:r>
          </w:p>
        </w:tc>
        <w:tc>
          <w:tcPr>
            <w:tcW w:w="3384" w:type="dxa"/>
            <w:shd w:val="clear" w:color="auto" w:fill="FFFFFF"/>
          </w:tcPr>
          <w:p w14:paraId="1B6D2D54" w14:textId="77777777" w:rsidR="00941CF4" w:rsidRDefault="00000000">
            <w:pPr>
              <w:spacing w:after="0"/>
            </w:pPr>
            <w:r>
              <w:rPr>
                <w:sz w:val="16"/>
              </w:rPr>
              <w:t>High-value disengaged customers divided by high-value customers x 100.</w:t>
            </w:r>
          </w:p>
        </w:tc>
        <w:tc>
          <w:tcPr>
            <w:tcW w:w="3096" w:type="dxa"/>
            <w:shd w:val="clear" w:color="auto" w:fill="FFFFFF"/>
          </w:tcPr>
          <w:p w14:paraId="4670B400" w14:textId="77777777" w:rsidR="00941CF4" w:rsidRDefault="00000000">
            <w:pPr>
              <w:spacing w:after="0"/>
            </w:pPr>
            <w:r>
              <w:rPr>
                <w:sz w:val="16"/>
              </w:rPr>
              <w:t>Nearly half of high-value customers are disengaged.</w:t>
            </w:r>
          </w:p>
        </w:tc>
      </w:tr>
      <w:tr w:rsidR="00941CF4" w14:paraId="4A9DB61D" w14:textId="77777777">
        <w:trPr>
          <w:jc w:val="center"/>
        </w:trPr>
        <w:tc>
          <w:tcPr>
            <w:tcW w:w="2376" w:type="dxa"/>
            <w:shd w:val="clear" w:color="auto" w:fill="F5F7FA"/>
          </w:tcPr>
          <w:p w14:paraId="268BF17C" w14:textId="77777777" w:rsidR="00941CF4" w:rsidRDefault="00000000">
            <w:pPr>
              <w:spacing w:after="0"/>
            </w:pPr>
            <w:r>
              <w:rPr>
                <w:sz w:val="16"/>
              </w:rPr>
              <w:t>Credit Card Stickiness Score</w:t>
            </w:r>
          </w:p>
        </w:tc>
        <w:tc>
          <w:tcPr>
            <w:tcW w:w="1440" w:type="dxa"/>
            <w:shd w:val="clear" w:color="auto" w:fill="F5F7FA"/>
          </w:tcPr>
          <w:p w14:paraId="61BBF896" w14:textId="77777777" w:rsidR="00941CF4" w:rsidRDefault="00000000">
            <w:pPr>
              <w:spacing w:after="0"/>
            </w:pPr>
            <w:r>
              <w:rPr>
                <w:sz w:val="16"/>
              </w:rPr>
              <w:t>79.82%</w:t>
            </w:r>
          </w:p>
        </w:tc>
        <w:tc>
          <w:tcPr>
            <w:tcW w:w="3384" w:type="dxa"/>
            <w:shd w:val="clear" w:color="auto" w:fill="F5F7FA"/>
          </w:tcPr>
          <w:p w14:paraId="033C8AD5" w14:textId="77777777" w:rsidR="00941CF4" w:rsidRDefault="00000000">
            <w:pPr>
              <w:spacing w:after="0"/>
            </w:pPr>
            <w:r>
              <w:rPr>
                <w:sz w:val="16"/>
              </w:rPr>
              <w:t>Retention rate among customers with a credit card.</w:t>
            </w:r>
          </w:p>
        </w:tc>
        <w:tc>
          <w:tcPr>
            <w:tcW w:w="3096" w:type="dxa"/>
            <w:shd w:val="clear" w:color="auto" w:fill="F5F7FA"/>
          </w:tcPr>
          <w:p w14:paraId="44A6B5EA" w14:textId="77777777" w:rsidR="00941CF4" w:rsidRDefault="00000000">
            <w:pPr>
              <w:spacing w:after="0"/>
            </w:pPr>
            <w:r>
              <w:rPr>
                <w:sz w:val="16"/>
              </w:rPr>
              <w:t>Credit-card ownership is associated with stronger retention.</w:t>
            </w:r>
          </w:p>
        </w:tc>
      </w:tr>
      <w:tr w:rsidR="00941CF4" w14:paraId="53A17D5D" w14:textId="77777777">
        <w:trPr>
          <w:jc w:val="center"/>
        </w:trPr>
        <w:tc>
          <w:tcPr>
            <w:tcW w:w="2376" w:type="dxa"/>
            <w:shd w:val="clear" w:color="auto" w:fill="FFFFFF"/>
          </w:tcPr>
          <w:p w14:paraId="1F605ACB" w14:textId="77777777" w:rsidR="00941CF4" w:rsidRDefault="00000000">
            <w:pPr>
              <w:spacing w:after="0"/>
            </w:pPr>
            <w:r>
              <w:rPr>
                <w:sz w:val="16"/>
              </w:rPr>
              <w:t>Relationship Strength Index</w:t>
            </w:r>
          </w:p>
        </w:tc>
        <w:tc>
          <w:tcPr>
            <w:tcW w:w="1440" w:type="dxa"/>
            <w:shd w:val="clear" w:color="auto" w:fill="FFFFFF"/>
          </w:tcPr>
          <w:p w14:paraId="4E87D292" w14:textId="77777777" w:rsidR="00941CF4" w:rsidRDefault="00000000">
            <w:pPr>
              <w:spacing w:after="0"/>
            </w:pPr>
            <w:r>
              <w:rPr>
                <w:sz w:val="16"/>
              </w:rPr>
              <w:t>64.44</w:t>
            </w:r>
          </w:p>
        </w:tc>
        <w:tc>
          <w:tcPr>
            <w:tcW w:w="3384" w:type="dxa"/>
            <w:shd w:val="clear" w:color="auto" w:fill="FFFFFF"/>
          </w:tcPr>
          <w:p w14:paraId="4BA6070D" w14:textId="77777777" w:rsidR="00941CF4" w:rsidRDefault="00000000">
            <w:pPr>
              <w:spacing w:after="0"/>
            </w:pPr>
            <w:r>
              <w:rPr>
                <w:sz w:val="16"/>
              </w:rPr>
              <w:t>Average relationship strength index across the filtered base.</w:t>
            </w:r>
          </w:p>
        </w:tc>
        <w:tc>
          <w:tcPr>
            <w:tcW w:w="3096" w:type="dxa"/>
            <w:shd w:val="clear" w:color="auto" w:fill="FFFFFF"/>
          </w:tcPr>
          <w:p w14:paraId="3B6959A9" w14:textId="77777777" w:rsidR="00941CF4" w:rsidRDefault="00000000">
            <w:pPr>
              <w:spacing w:after="0"/>
            </w:pPr>
            <w:r>
              <w:rPr>
                <w:sz w:val="16"/>
              </w:rPr>
              <w:t>Overall relationship strength is moderate-to-strong.</w:t>
            </w:r>
          </w:p>
        </w:tc>
      </w:tr>
    </w:tbl>
    <w:p w14:paraId="755331DF" w14:textId="77777777" w:rsidR="00941CF4" w:rsidRDefault="00941CF4"/>
    <w:tbl>
      <w:tblPr>
        <w:tblW w:w="0" w:type="auto"/>
        <w:jc w:val="center"/>
        <w:tblLook w:val="04A0" w:firstRow="1" w:lastRow="0" w:firstColumn="1" w:lastColumn="0" w:noHBand="0" w:noVBand="1"/>
      </w:tblPr>
      <w:tblGrid>
        <w:gridCol w:w="10656"/>
      </w:tblGrid>
      <w:tr w:rsidR="00941CF4" w14:paraId="393F16B3"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EAF2FB"/>
          </w:tcPr>
          <w:p w14:paraId="13AD3718" w14:textId="77777777" w:rsidR="00941CF4" w:rsidRDefault="00000000">
            <w:pPr>
              <w:spacing w:after="80"/>
            </w:pPr>
            <w:r>
              <w:rPr>
                <w:b/>
                <w:color w:val="001F3F"/>
                <w:sz w:val="21"/>
              </w:rPr>
              <w:t>KPI governance trigger</w:t>
            </w:r>
          </w:p>
          <w:p w14:paraId="77274997" w14:textId="77777777" w:rsidR="00941CF4" w:rsidRDefault="00000000">
            <w:pPr>
              <w:spacing w:after="0"/>
            </w:pPr>
            <w:r>
              <w:rPr>
                <w:sz w:val="19"/>
              </w:rPr>
              <w:t>The most urgent risk KPI is High-Balance Disengagement Rate because it combines financial value with behavioral weakness. This metric should trigger premium-customer review when it remains high across filters or business segments.</w:t>
            </w:r>
          </w:p>
        </w:tc>
      </w:tr>
    </w:tbl>
    <w:p w14:paraId="445699C8" w14:textId="77777777" w:rsidR="00941CF4" w:rsidRDefault="00000000">
      <w:pPr>
        <w:pStyle w:val="Heading2"/>
        <w:spacing w:after="80"/>
      </w:pPr>
      <w:r>
        <w:t>9.1 KPI Action Trigger Matrix</w:t>
      </w:r>
    </w:p>
    <w:p w14:paraId="495675CE" w14:textId="77777777" w:rsidR="00941CF4" w:rsidRDefault="00000000">
      <w:pPr>
        <w:pStyle w:val="BodyText"/>
        <w:spacing w:after="80" w:line="252" w:lineRule="auto"/>
      </w:pPr>
      <w:r>
        <w:rPr>
          <w:rFonts w:ascii="Aptos" w:hAnsi="Aptos"/>
          <w:sz w:val="19"/>
        </w:rPr>
        <w:t>The KPI framework is designed for decision action rather than passive reporting. The trigger matrix below links each KPI to a practical monitoring signal and recommended business response.</w:t>
      </w:r>
    </w:p>
    <w:tbl>
      <w:tblPr>
        <w:tblStyle w:val="TableGrid"/>
        <w:tblW w:w="0" w:type="auto"/>
        <w:jc w:val="center"/>
        <w:tblLook w:val="04A0" w:firstRow="1" w:lastRow="0" w:firstColumn="1" w:lastColumn="0" w:noHBand="0" w:noVBand="1"/>
      </w:tblPr>
      <w:tblGrid>
        <w:gridCol w:w="2664"/>
        <w:gridCol w:w="2664"/>
        <w:gridCol w:w="2664"/>
        <w:gridCol w:w="2664"/>
      </w:tblGrid>
      <w:tr w:rsidR="00941CF4" w14:paraId="51F8F4DC" w14:textId="77777777">
        <w:trPr>
          <w:tblHeader/>
          <w:jc w:val="center"/>
        </w:trPr>
        <w:tc>
          <w:tcPr>
            <w:tcW w:w="2664" w:type="dxa"/>
            <w:shd w:val="clear" w:color="auto" w:fill="003A5D"/>
            <w:vAlign w:val="center"/>
          </w:tcPr>
          <w:p w14:paraId="14F24C1C" w14:textId="77777777" w:rsidR="00941CF4" w:rsidRDefault="00000000">
            <w:r>
              <w:rPr>
                <w:rFonts w:ascii="Aptos" w:hAnsi="Aptos"/>
                <w:b/>
                <w:color w:val="FFFFFF"/>
                <w:sz w:val="16"/>
              </w:rPr>
              <w:t>KPI</w:t>
            </w:r>
          </w:p>
        </w:tc>
        <w:tc>
          <w:tcPr>
            <w:tcW w:w="2664" w:type="dxa"/>
            <w:shd w:val="clear" w:color="auto" w:fill="003A5D"/>
            <w:vAlign w:val="center"/>
          </w:tcPr>
          <w:p w14:paraId="2E5E93B5" w14:textId="77777777" w:rsidR="00941CF4" w:rsidRDefault="00000000">
            <w:r>
              <w:rPr>
                <w:rFonts w:ascii="Aptos" w:hAnsi="Aptos"/>
                <w:b/>
                <w:color w:val="FFFFFF"/>
                <w:sz w:val="16"/>
              </w:rPr>
              <w:t>Current Reading</w:t>
            </w:r>
          </w:p>
        </w:tc>
        <w:tc>
          <w:tcPr>
            <w:tcW w:w="2664" w:type="dxa"/>
            <w:shd w:val="clear" w:color="auto" w:fill="003A5D"/>
            <w:vAlign w:val="center"/>
          </w:tcPr>
          <w:p w14:paraId="7D554FCE" w14:textId="77777777" w:rsidR="00941CF4" w:rsidRDefault="00000000">
            <w:r>
              <w:rPr>
                <w:rFonts w:ascii="Aptos" w:hAnsi="Aptos"/>
                <w:b/>
                <w:color w:val="FFFFFF"/>
                <w:sz w:val="16"/>
              </w:rPr>
              <w:t>Watch Trigger</w:t>
            </w:r>
          </w:p>
        </w:tc>
        <w:tc>
          <w:tcPr>
            <w:tcW w:w="2664" w:type="dxa"/>
            <w:shd w:val="clear" w:color="auto" w:fill="003A5D"/>
            <w:vAlign w:val="center"/>
          </w:tcPr>
          <w:p w14:paraId="4CE395DC" w14:textId="77777777" w:rsidR="00941CF4" w:rsidRDefault="00000000">
            <w:r>
              <w:rPr>
                <w:rFonts w:ascii="Aptos" w:hAnsi="Aptos"/>
                <w:b/>
                <w:color w:val="FFFFFF"/>
                <w:sz w:val="16"/>
              </w:rPr>
              <w:t>Recommended Action</w:t>
            </w:r>
          </w:p>
        </w:tc>
      </w:tr>
      <w:tr w:rsidR="00941CF4" w14:paraId="01D538EB" w14:textId="77777777">
        <w:trPr>
          <w:jc w:val="center"/>
        </w:trPr>
        <w:tc>
          <w:tcPr>
            <w:tcW w:w="2664" w:type="dxa"/>
            <w:shd w:val="clear" w:color="auto" w:fill="FFFFFF"/>
            <w:vAlign w:val="center"/>
          </w:tcPr>
          <w:p w14:paraId="56D670E4" w14:textId="77777777" w:rsidR="00941CF4" w:rsidRDefault="00000000">
            <w:r>
              <w:rPr>
                <w:rFonts w:ascii="Aptos" w:hAnsi="Aptos"/>
                <w:sz w:val="16"/>
              </w:rPr>
              <w:t>Engagement Retention Ratio</w:t>
            </w:r>
          </w:p>
        </w:tc>
        <w:tc>
          <w:tcPr>
            <w:tcW w:w="2664" w:type="dxa"/>
            <w:shd w:val="clear" w:color="auto" w:fill="FFFFFF"/>
            <w:vAlign w:val="center"/>
          </w:tcPr>
          <w:p w14:paraId="7BB5B3EA" w14:textId="77777777" w:rsidR="00941CF4" w:rsidRDefault="00000000">
            <w:r>
              <w:rPr>
                <w:rFonts w:ascii="Aptos" w:hAnsi="Aptos"/>
                <w:sz w:val="16"/>
              </w:rPr>
              <w:t>1.17</w:t>
            </w:r>
          </w:p>
        </w:tc>
        <w:tc>
          <w:tcPr>
            <w:tcW w:w="2664" w:type="dxa"/>
            <w:shd w:val="clear" w:color="auto" w:fill="FFFFFF"/>
            <w:vAlign w:val="center"/>
          </w:tcPr>
          <w:p w14:paraId="04C41717" w14:textId="77777777" w:rsidR="00941CF4" w:rsidRDefault="00000000">
            <w:r>
              <w:rPr>
                <w:rFonts w:ascii="Aptos" w:hAnsi="Aptos"/>
                <w:sz w:val="16"/>
              </w:rPr>
              <w:t>Ratio declines toward 1.00 or inactive churn contribution increases.</w:t>
            </w:r>
          </w:p>
        </w:tc>
        <w:tc>
          <w:tcPr>
            <w:tcW w:w="2664" w:type="dxa"/>
            <w:shd w:val="clear" w:color="auto" w:fill="FFFFFF"/>
            <w:vAlign w:val="center"/>
          </w:tcPr>
          <w:p w14:paraId="71B6833A" w14:textId="77777777" w:rsidR="00941CF4" w:rsidRDefault="00000000">
            <w:r>
              <w:rPr>
                <w:rFonts w:ascii="Aptos" w:hAnsi="Aptos"/>
                <w:sz w:val="16"/>
              </w:rPr>
              <w:t>Strengthen inactive-member journeys and reactivation offers.</w:t>
            </w:r>
          </w:p>
        </w:tc>
      </w:tr>
      <w:tr w:rsidR="00941CF4" w14:paraId="568CC70D" w14:textId="77777777">
        <w:trPr>
          <w:jc w:val="center"/>
        </w:trPr>
        <w:tc>
          <w:tcPr>
            <w:tcW w:w="2664" w:type="dxa"/>
            <w:shd w:val="clear" w:color="auto" w:fill="F4F7FB"/>
            <w:vAlign w:val="center"/>
          </w:tcPr>
          <w:p w14:paraId="6BF531C3" w14:textId="77777777" w:rsidR="00941CF4" w:rsidRDefault="00000000">
            <w:r>
              <w:rPr>
                <w:rFonts w:ascii="Aptos" w:hAnsi="Aptos"/>
                <w:sz w:val="16"/>
              </w:rPr>
              <w:t>Product Depth Index</w:t>
            </w:r>
          </w:p>
        </w:tc>
        <w:tc>
          <w:tcPr>
            <w:tcW w:w="2664" w:type="dxa"/>
            <w:shd w:val="clear" w:color="auto" w:fill="F4F7FB"/>
            <w:vAlign w:val="center"/>
          </w:tcPr>
          <w:p w14:paraId="3882EDFE" w14:textId="77777777" w:rsidR="00941CF4" w:rsidRDefault="00000000">
            <w:r>
              <w:rPr>
                <w:rFonts w:ascii="Aptos" w:hAnsi="Aptos"/>
                <w:sz w:val="16"/>
              </w:rPr>
              <w:t>100.92</w:t>
            </w:r>
          </w:p>
        </w:tc>
        <w:tc>
          <w:tcPr>
            <w:tcW w:w="2664" w:type="dxa"/>
            <w:shd w:val="clear" w:color="auto" w:fill="F4F7FB"/>
            <w:vAlign w:val="center"/>
          </w:tcPr>
          <w:p w14:paraId="11F10643" w14:textId="77777777" w:rsidR="00941CF4" w:rsidRDefault="00000000">
            <w:r>
              <w:rPr>
                <w:rFonts w:ascii="Aptos" w:hAnsi="Aptos"/>
                <w:sz w:val="16"/>
              </w:rPr>
              <w:t>Product depth rises without retention improvement or high product-load churn increases.</w:t>
            </w:r>
          </w:p>
        </w:tc>
        <w:tc>
          <w:tcPr>
            <w:tcW w:w="2664" w:type="dxa"/>
            <w:shd w:val="clear" w:color="auto" w:fill="F4F7FB"/>
            <w:vAlign w:val="center"/>
          </w:tcPr>
          <w:p w14:paraId="6689FBC6" w14:textId="77777777" w:rsidR="00941CF4" w:rsidRDefault="00000000">
            <w:r>
              <w:rPr>
                <w:rFonts w:ascii="Aptos" w:hAnsi="Aptos"/>
                <w:sz w:val="16"/>
              </w:rPr>
              <w:t>Review product suitability and rebalance cross-sell targeting.</w:t>
            </w:r>
          </w:p>
        </w:tc>
      </w:tr>
      <w:tr w:rsidR="00941CF4" w14:paraId="25070A52" w14:textId="77777777">
        <w:trPr>
          <w:jc w:val="center"/>
        </w:trPr>
        <w:tc>
          <w:tcPr>
            <w:tcW w:w="2664" w:type="dxa"/>
            <w:shd w:val="clear" w:color="auto" w:fill="FFFFFF"/>
            <w:vAlign w:val="center"/>
          </w:tcPr>
          <w:p w14:paraId="71BD1BAE" w14:textId="77777777" w:rsidR="00941CF4" w:rsidRDefault="00000000">
            <w:r>
              <w:rPr>
                <w:rFonts w:ascii="Aptos" w:hAnsi="Aptos"/>
                <w:sz w:val="16"/>
              </w:rPr>
              <w:t>High-Balance Disengagement Rate</w:t>
            </w:r>
          </w:p>
        </w:tc>
        <w:tc>
          <w:tcPr>
            <w:tcW w:w="2664" w:type="dxa"/>
            <w:shd w:val="clear" w:color="auto" w:fill="FFFFFF"/>
            <w:vAlign w:val="center"/>
          </w:tcPr>
          <w:p w14:paraId="7EDBD9DE" w14:textId="77777777" w:rsidR="00941CF4" w:rsidRDefault="00000000">
            <w:r>
              <w:rPr>
                <w:rFonts w:ascii="Aptos" w:hAnsi="Aptos"/>
                <w:sz w:val="16"/>
              </w:rPr>
              <w:t>49.51%</w:t>
            </w:r>
          </w:p>
        </w:tc>
        <w:tc>
          <w:tcPr>
            <w:tcW w:w="2664" w:type="dxa"/>
            <w:shd w:val="clear" w:color="auto" w:fill="FFFFFF"/>
            <w:vAlign w:val="center"/>
          </w:tcPr>
          <w:p w14:paraId="53421CFF" w14:textId="77777777" w:rsidR="00941CF4" w:rsidRDefault="00000000">
            <w:r>
              <w:rPr>
                <w:rFonts w:ascii="Aptos" w:hAnsi="Aptos"/>
                <w:sz w:val="16"/>
              </w:rPr>
              <w:t>Premium disengagement stays near or above half of the high-value base.</w:t>
            </w:r>
          </w:p>
        </w:tc>
        <w:tc>
          <w:tcPr>
            <w:tcW w:w="2664" w:type="dxa"/>
            <w:shd w:val="clear" w:color="auto" w:fill="FFFFFF"/>
            <w:vAlign w:val="center"/>
          </w:tcPr>
          <w:p w14:paraId="2A5F4C83" w14:textId="77777777" w:rsidR="00941CF4" w:rsidRDefault="00000000">
            <w:r>
              <w:rPr>
                <w:rFonts w:ascii="Aptos" w:hAnsi="Aptos"/>
                <w:sz w:val="16"/>
              </w:rPr>
              <w:t>Launch high-value relationship recovery and service-quality outreach.</w:t>
            </w:r>
          </w:p>
        </w:tc>
      </w:tr>
      <w:tr w:rsidR="00941CF4" w14:paraId="36FDB137" w14:textId="77777777">
        <w:trPr>
          <w:jc w:val="center"/>
        </w:trPr>
        <w:tc>
          <w:tcPr>
            <w:tcW w:w="2664" w:type="dxa"/>
            <w:shd w:val="clear" w:color="auto" w:fill="F4F7FB"/>
            <w:vAlign w:val="center"/>
          </w:tcPr>
          <w:p w14:paraId="1A239F44" w14:textId="77777777" w:rsidR="00941CF4" w:rsidRDefault="00000000">
            <w:r>
              <w:rPr>
                <w:rFonts w:ascii="Aptos" w:hAnsi="Aptos"/>
                <w:sz w:val="16"/>
              </w:rPr>
              <w:t>Credit Card Stickiness Score</w:t>
            </w:r>
          </w:p>
        </w:tc>
        <w:tc>
          <w:tcPr>
            <w:tcW w:w="2664" w:type="dxa"/>
            <w:shd w:val="clear" w:color="auto" w:fill="F4F7FB"/>
            <w:vAlign w:val="center"/>
          </w:tcPr>
          <w:p w14:paraId="63A1C560" w14:textId="77777777" w:rsidR="00941CF4" w:rsidRDefault="00000000">
            <w:r>
              <w:rPr>
                <w:rFonts w:ascii="Aptos" w:hAnsi="Aptos"/>
                <w:sz w:val="16"/>
              </w:rPr>
              <w:t>79.82%</w:t>
            </w:r>
          </w:p>
        </w:tc>
        <w:tc>
          <w:tcPr>
            <w:tcW w:w="2664" w:type="dxa"/>
            <w:shd w:val="clear" w:color="auto" w:fill="F4F7FB"/>
            <w:vAlign w:val="center"/>
          </w:tcPr>
          <w:p w14:paraId="501DCD44" w14:textId="77777777" w:rsidR="00941CF4" w:rsidRDefault="00000000">
            <w:r>
              <w:rPr>
                <w:rFonts w:ascii="Aptos" w:hAnsi="Aptos"/>
                <w:sz w:val="16"/>
              </w:rPr>
              <w:t>Card-owner retention declines below overall retained baseline.</w:t>
            </w:r>
          </w:p>
        </w:tc>
        <w:tc>
          <w:tcPr>
            <w:tcW w:w="2664" w:type="dxa"/>
            <w:shd w:val="clear" w:color="auto" w:fill="F4F7FB"/>
            <w:vAlign w:val="center"/>
          </w:tcPr>
          <w:p w14:paraId="225877EE" w14:textId="77777777" w:rsidR="00941CF4" w:rsidRDefault="00000000">
            <w:r>
              <w:rPr>
                <w:rFonts w:ascii="Aptos" w:hAnsi="Aptos"/>
                <w:sz w:val="16"/>
              </w:rPr>
              <w:t>Review card benefits, usage engagement, and bundled loyalty campaigns.</w:t>
            </w:r>
          </w:p>
        </w:tc>
      </w:tr>
      <w:tr w:rsidR="00941CF4" w14:paraId="06FF78E3" w14:textId="77777777">
        <w:trPr>
          <w:jc w:val="center"/>
        </w:trPr>
        <w:tc>
          <w:tcPr>
            <w:tcW w:w="2664" w:type="dxa"/>
            <w:shd w:val="clear" w:color="auto" w:fill="FFFFFF"/>
            <w:vAlign w:val="center"/>
          </w:tcPr>
          <w:p w14:paraId="3D8456F5" w14:textId="77777777" w:rsidR="00941CF4" w:rsidRDefault="00000000">
            <w:r>
              <w:rPr>
                <w:rFonts w:ascii="Aptos" w:hAnsi="Aptos"/>
                <w:sz w:val="16"/>
              </w:rPr>
              <w:t>Relationship Strength Index</w:t>
            </w:r>
          </w:p>
        </w:tc>
        <w:tc>
          <w:tcPr>
            <w:tcW w:w="2664" w:type="dxa"/>
            <w:shd w:val="clear" w:color="auto" w:fill="FFFFFF"/>
            <w:vAlign w:val="center"/>
          </w:tcPr>
          <w:p w14:paraId="1908D5E4" w14:textId="77777777" w:rsidR="00941CF4" w:rsidRDefault="00000000">
            <w:r>
              <w:rPr>
                <w:rFonts w:ascii="Aptos" w:hAnsi="Aptos"/>
                <w:sz w:val="16"/>
              </w:rPr>
              <w:t>64.44</w:t>
            </w:r>
          </w:p>
        </w:tc>
        <w:tc>
          <w:tcPr>
            <w:tcW w:w="2664" w:type="dxa"/>
            <w:shd w:val="clear" w:color="auto" w:fill="FFFFFF"/>
            <w:vAlign w:val="center"/>
          </w:tcPr>
          <w:p w14:paraId="030239FD" w14:textId="77777777" w:rsidR="00941CF4" w:rsidRDefault="00000000">
            <w:r>
              <w:rPr>
                <w:rFonts w:ascii="Aptos" w:hAnsi="Aptos"/>
                <w:sz w:val="16"/>
              </w:rPr>
              <w:t>Index declines in strategic segments or critical-risk tier grows.</w:t>
            </w:r>
          </w:p>
        </w:tc>
        <w:tc>
          <w:tcPr>
            <w:tcW w:w="2664" w:type="dxa"/>
            <w:shd w:val="clear" w:color="auto" w:fill="FFFFFF"/>
            <w:vAlign w:val="center"/>
          </w:tcPr>
          <w:p w14:paraId="07774E32" w14:textId="77777777" w:rsidR="00941CF4" w:rsidRDefault="00000000">
            <w:r>
              <w:rPr>
                <w:rFonts w:ascii="Aptos" w:hAnsi="Aptos"/>
                <w:sz w:val="16"/>
              </w:rPr>
              <w:t>Use retention scoring to prioritize customer success and relationship deepening.</w:t>
            </w:r>
          </w:p>
        </w:tc>
      </w:tr>
      <w:tr w:rsidR="00941CF4" w14:paraId="3E3D7911" w14:textId="77777777">
        <w:trPr>
          <w:tblHeader/>
          <w:jc w:val="center"/>
        </w:trPr>
        <w:tc>
          <w:tcPr>
            <w:tcW w:w="10656" w:type="dxa"/>
            <w:gridSpan w:val="4"/>
            <w:shd w:val="clear" w:color="auto" w:fill="EAF4FF"/>
          </w:tcPr>
          <w:p w14:paraId="11CD40B9" w14:textId="77777777" w:rsidR="00941CF4" w:rsidRDefault="00000000">
            <w:r>
              <w:rPr>
                <w:rFonts w:ascii="Aptos" w:hAnsi="Aptos"/>
                <w:b/>
                <w:sz w:val="19"/>
              </w:rPr>
              <w:t>KPI decision-use note</w:t>
            </w:r>
          </w:p>
          <w:p w14:paraId="0A38C07F" w14:textId="77777777" w:rsidR="00941CF4" w:rsidRDefault="00000000">
            <w:r>
              <w:rPr>
                <w:rFonts w:ascii="Aptos" w:hAnsi="Aptos"/>
                <w:sz w:val="17"/>
              </w:rPr>
              <w:t>The five KPIs should be read together. Engagement explains behavioral activity, product depth explains relationship breadth, high-balance disengagement explains financial exposure, credit-card stickiness explains product-linked loyalty, and relationship strength summarizes overall customer relationship quality.</w:t>
            </w:r>
          </w:p>
        </w:tc>
      </w:tr>
    </w:tbl>
    <w:p w14:paraId="575A4C1A" w14:textId="77777777" w:rsidR="00941CF4" w:rsidRDefault="00941CF4"/>
    <w:p w14:paraId="3E2673DC" w14:textId="77777777" w:rsidR="00941CF4" w:rsidRDefault="00000000">
      <w:r>
        <w:br w:type="page"/>
      </w:r>
    </w:p>
    <w:p w14:paraId="6437A6C5" w14:textId="77777777" w:rsidR="00941CF4" w:rsidRDefault="00000000">
      <w:pPr>
        <w:pStyle w:val="Heading1"/>
      </w:pPr>
      <w:r>
        <w:lastRenderedPageBreak/>
        <w:t>10. Exploratory Data Analysis</w:t>
      </w:r>
    </w:p>
    <w:p w14:paraId="4605CA54" w14:textId="77777777" w:rsidR="00941CF4" w:rsidRDefault="00000000">
      <w:pPr>
        <w:pStyle w:val="BodyText"/>
        <w:jc w:val="both"/>
      </w:pPr>
      <w:r>
        <w:t>The exploratory analysis examines four major behavioral retention dimensions: engagement, product utilization, high-value disengagement, and retention strength. The EDA is designed to discover where churn risk concentrates and which segments require the first strategic response.</w:t>
      </w:r>
    </w:p>
    <w:p w14:paraId="672FCE88" w14:textId="77777777" w:rsidR="00941CF4" w:rsidRDefault="00000000">
      <w:pPr>
        <w:pStyle w:val="Heading2"/>
      </w:pPr>
      <w:r>
        <w:t>10.1 Engagement EDA</w:t>
      </w:r>
    </w:p>
    <w:p w14:paraId="30132554" w14:textId="77777777" w:rsidR="00941CF4" w:rsidRDefault="00000000">
      <w:pPr>
        <w:pStyle w:val="BodyText"/>
        <w:jc w:val="both"/>
      </w:pPr>
      <w:r>
        <w:t>The engagement module identifies 10,000 customers, 7,963 retained customers, and 2,037 churned customers. The overall retention rate is 79.63%, but the retention gap and inactive churn lift both show a 12.58 percentage-point difference, confirming that engagement status is a major retention signal.</w:t>
      </w:r>
    </w:p>
    <w:p w14:paraId="698BCCE6" w14:textId="77777777" w:rsidR="00941CF4" w:rsidRDefault="00000000">
      <w:pPr>
        <w:jc w:val="center"/>
      </w:pPr>
      <w:r>
        <w:rPr>
          <w:noProof/>
        </w:rPr>
        <w:drawing>
          <wp:inline distT="0" distB="0" distL="0" distR="0" wp14:anchorId="03538CC0" wp14:editId="374B5F7E">
            <wp:extent cx="6172200" cy="2883394"/>
            <wp:effectExtent l="0" t="0" r="0" b="0"/>
            <wp:docPr id="4" name="Picture 4"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3).png"/>
                    <pic:cNvPicPr/>
                  </pic:nvPicPr>
                  <pic:blipFill>
                    <a:blip r:embed="rId9"/>
                    <a:stretch>
                      <a:fillRect/>
                    </a:stretch>
                  </pic:blipFill>
                  <pic:spPr>
                    <a:xfrm>
                      <a:off x="0" y="0"/>
                      <a:ext cx="6172200" cy="2883394"/>
                    </a:xfrm>
                    <a:prstGeom prst="rect">
                      <a:avLst/>
                    </a:prstGeom>
                  </pic:spPr>
                </pic:pic>
              </a:graphicData>
            </a:graphic>
          </wp:inline>
        </w:drawing>
      </w:r>
    </w:p>
    <w:p w14:paraId="3340750A" w14:textId="77777777" w:rsidR="00941CF4" w:rsidRDefault="00000000">
      <w:pPr>
        <w:spacing w:before="40" w:after="80"/>
        <w:jc w:val="center"/>
      </w:pPr>
      <w:r>
        <w:rPr>
          <w:i/>
          <w:color w:val="596579"/>
          <w:sz w:val="17"/>
        </w:rPr>
        <w:t>Figure 4. Current Engagement Retention Snapshot and Engagement Decision Signals.</w:t>
      </w:r>
    </w:p>
    <w:tbl>
      <w:tblPr>
        <w:tblW w:w="0" w:type="auto"/>
        <w:jc w:val="center"/>
        <w:tblLook w:val="04A0" w:firstRow="1" w:lastRow="0" w:firstColumn="1" w:lastColumn="0" w:noHBand="0" w:noVBand="1"/>
      </w:tblPr>
      <w:tblGrid>
        <w:gridCol w:w="10656"/>
      </w:tblGrid>
      <w:tr w:rsidR="00941CF4" w14:paraId="628D3B41"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F8FBFF"/>
          </w:tcPr>
          <w:p w14:paraId="4AD6C02C" w14:textId="77777777" w:rsidR="00941CF4" w:rsidRDefault="00000000">
            <w:pPr>
              <w:spacing w:after="80"/>
            </w:pPr>
            <w:r>
              <w:rPr>
                <w:b/>
                <w:color w:val="001F3F"/>
                <w:sz w:val="21"/>
              </w:rPr>
              <w:t>Analyst interpretation</w:t>
            </w:r>
          </w:p>
          <w:p w14:paraId="2B973306" w14:textId="77777777" w:rsidR="00941CF4" w:rsidRDefault="00000000">
            <w:pPr>
              <w:spacing w:after="0"/>
            </w:pPr>
            <w:r>
              <w:rPr>
                <w:sz w:val="19"/>
              </w:rPr>
              <w:t>This figure establishes the engagement baseline and identifies Inactive Member as the highest churn segment while Active Member is the best retention segment.</w:t>
            </w:r>
          </w:p>
        </w:tc>
      </w:tr>
    </w:tbl>
    <w:p w14:paraId="5F2710CA" w14:textId="77777777" w:rsidR="00941CF4" w:rsidRDefault="00941CF4"/>
    <w:p w14:paraId="78BC0FF6" w14:textId="77777777" w:rsidR="00941CF4" w:rsidRDefault="00000000">
      <w:pPr>
        <w:pStyle w:val="Heading2"/>
      </w:pPr>
      <w:r>
        <w:t>10.2 Product Utilization EDA</w:t>
      </w:r>
    </w:p>
    <w:p w14:paraId="61BD56DD" w14:textId="77777777" w:rsidR="00941CF4" w:rsidRDefault="00000000">
      <w:pPr>
        <w:pStyle w:val="BodyText"/>
        <w:jc w:val="both"/>
      </w:pPr>
      <w:r>
        <w:t>Product utilization EDA evaluates whether customers with deeper product relationships are more likely to retain. The dashboard shows an average product count of 1.53, a single-product churn rate of 27.71%, and a multi-product retention rate of 87.23%.</w:t>
      </w:r>
    </w:p>
    <w:p w14:paraId="37BA37EC" w14:textId="77777777" w:rsidR="00941CF4" w:rsidRDefault="00000000">
      <w:pPr>
        <w:jc w:val="center"/>
      </w:pPr>
      <w:r>
        <w:rPr>
          <w:noProof/>
        </w:rPr>
        <w:lastRenderedPageBreak/>
        <w:drawing>
          <wp:inline distT="0" distB="0" distL="0" distR="0" wp14:anchorId="619B3206" wp14:editId="19DB0B70">
            <wp:extent cx="6172200" cy="2823364"/>
            <wp:effectExtent l="0" t="0" r="0" b="0"/>
            <wp:docPr id="5" name="Picture 5"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3).png"/>
                    <pic:cNvPicPr/>
                  </pic:nvPicPr>
                  <pic:blipFill>
                    <a:blip r:embed="rId10"/>
                    <a:stretch>
                      <a:fillRect/>
                    </a:stretch>
                  </pic:blipFill>
                  <pic:spPr>
                    <a:xfrm>
                      <a:off x="0" y="0"/>
                      <a:ext cx="6172200" cy="2823364"/>
                    </a:xfrm>
                    <a:prstGeom prst="rect">
                      <a:avLst/>
                    </a:prstGeom>
                  </pic:spPr>
                </pic:pic>
              </a:graphicData>
            </a:graphic>
          </wp:inline>
        </w:drawing>
      </w:r>
    </w:p>
    <w:p w14:paraId="7E003831" w14:textId="77777777" w:rsidR="00941CF4" w:rsidRDefault="00000000">
      <w:pPr>
        <w:spacing w:before="40" w:after="80"/>
        <w:jc w:val="center"/>
      </w:pPr>
      <w:r>
        <w:rPr>
          <w:i/>
          <w:color w:val="596579"/>
          <w:sz w:val="17"/>
        </w:rPr>
        <w:t>Figure 5. Product Utilization Impact Analysis snapshot.</w:t>
      </w:r>
    </w:p>
    <w:tbl>
      <w:tblPr>
        <w:tblW w:w="0" w:type="auto"/>
        <w:jc w:val="center"/>
        <w:tblLook w:val="04A0" w:firstRow="1" w:lastRow="0" w:firstColumn="1" w:lastColumn="0" w:noHBand="0" w:noVBand="1"/>
      </w:tblPr>
      <w:tblGrid>
        <w:gridCol w:w="10656"/>
      </w:tblGrid>
      <w:tr w:rsidR="00941CF4" w14:paraId="7E386F8C"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F8FBFF"/>
          </w:tcPr>
          <w:p w14:paraId="6978995F" w14:textId="77777777" w:rsidR="00941CF4" w:rsidRDefault="00000000">
            <w:pPr>
              <w:spacing w:after="80"/>
            </w:pPr>
            <w:r>
              <w:rPr>
                <w:b/>
                <w:color w:val="001F3F"/>
                <w:sz w:val="21"/>
              </w:rPr>
              <w:t>Analyst interpretation</w:t>
            </w:r>
          </w:p>
          <w:p w14:paraId="52A0CF2A" w14:textId="77777777" w:rsidR="00941CF4" w:rsidRDefault="00000000">
            <w:pPr>
              <w:spacing w:after="0"/>
            </w:pPr>
            <w:r>
              <w:rPr>
                <w:sz w:val="19"/>
              </w:rPr>
              <w:t>The product utilization snapshot indicates that 2 products is the strongest product count and that multi-product customers retain at a materially higher rate than single-product customers.</w:t>
            </w:r>
          </w:p>
        </w:tc>
      </w:tr>
    </w:tbl>
    <w:p w14:paraId="561C4046" w14:textId="77777777" w:rsidR="00941CF4" w:rsidRDefault="00941CF4"/>
    <w:p w14:paraId="14DAA55C" w14:textId="77777777" w:rsidR="00941CF4" w:rsidRDefault="00000000">
      <w:pPr>
        <w:pStyle w:val="Heading2"/>
      </w:pPr>
      <w:r>
        <w:t>10.3 High-Value Customer EDA</w:t>
      </w:r>
    </w:p>
    <w:p w14:paraId="23066B6D" w14:textId="77777777" w:rsidR="00941CF4" w:rsidRDefault="00000000">
      <w:pPr>
        <w:pStyle w:val="BodyText"/>
        <w:jc w:val="both"/>
      </w:pPr>
      <w:r>
        <w:t>The high-value detector identifies 4,351 high-value customers and 2,154 high-value disengaged customers. This means nearly half of high-value customers are exposed to disengagement risk, with 232,942,972 balance at risk.</w:t>
      </w:r>
    </w:p>
    <w:p w14:paraId="4854067E" w14:textId="77777777" w:rsidR="00941CF4" w:rsidRDefault="00000000">
      <w:pPr>
        <w:jc w:val="center"/>
      </w:pPr>
      <w:r>
        <w:rPr>
          <w:noProof/>
        </w:rPr>
        <w:drawing>
          <wp:inline distT="0" distB="0" distL="0" distR="0" wp14:anchorId="035299D0" wp14:editId="12E3770A">
            <wp:extent cx="6172200" cy="3113080"/>
            <wp:effectExtent l="0" t="0" r="0" b="0"/>
            <wp:docPr id="6" name="Picture 6"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2).png"/>
                    <pic:cNvPicPr/>
                  </pic:nvPicPr>
                  <pic:blipFill>
                    <a:blip r:embed="rId11"/>
                    <a:stretch>
                      <a:fillRect/>
                    </a:stretch>
                  </pic:blipFill>
                  <pic:spPr>
                    <a:xfrm>
                      <a:off x="0" y="0"/>
                      <a:ext cx="6172200" cy="3113080"/>
                    </a:xfrm>
                    <a:prstGeom prst="rect">
                      <a:avLst/>
                    </a:prstGeom>
                  </pic:spPr>
                </pic:pic>
              </a:graphicData>
            </a:graphic>
          </wp:inline>
        </w:drawing>
      </w:r>
    </w:p>
    <w:p w14:paraId="5A89FE11" w14:textId="77777777" w:rsidR="00941CF4" w:rsidRDefault="00000000">
      <w:pPr>
        <w:spacing w:before="40" w:after="80"/>
        <w:jc w:val="center"/>
      </w:pPr>
      <w:r>
        <w:rPr>
          <w:i/>
          <w:color w:val="596579"/>
          <w:sz w:val="17"/>
        </w:rPr>
        <w:t>Figure 6. High-Value Disengaged Customer Detector snapshot.</w:t>
      </w:r>
    </w:p>
    <w:tbl>
      <w:tblPr>
        <w:tblW w:w="0" w:type="auto"/>
        <w:jc w:val="center"/>
        <w:tblLook w:val="04A0" w:firstRow="1" w:lastRow="0" w:firstColumn="1" w:lastColumn="0" w:noHBand="0" w:noVBand="1"/>
      </w:tblPr>
      <w:tblGrid>
        <w:gridCol w:w="10656"/>
      </w:tblGrid>
      <w:tr w:rsidR="00941CF4" w14:paraId="4629FB2C"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F8FBFF"/>
          </w:tcPr>
          <w:p w14:paraId="7AE4BA66" w14:textId="77777777" w:rsidR="00941CF4" w:rsidRDefault="00000000">
            <w:pPr>
              <w:spacing w:after="80"/>
            </w:pPr>
            <w:r>
              <w:rPr>
                <w:b/>
                <w:color w:val="001F3F"/>
                <w:sz w:val="21"/>
              </w:rPr>
              <w:t>Analyst interpretation</w:t>
            </w:r>
          </w:p>
          <w:p w14:paraId="33CFCE4C" w14:textId="77777777" w:rsidR="00941CF4" w:rsidRDefault="00000000">
            <w:pPr>
              <w:spacing w:after="0"/>
            </w:pPr>
            <w:r>
              <w:rPr>
                <w:sz w:val="19"/>
              </w:rPr>
              <w:t>This figure shows the premium silent-churn problem: high financial value does not automatically mean high loyalty or strong relationship depth.</w:t>
            </w:r>
          </w:p>
        </w:tc>
      </w:tr>
    </w:tbl>
    <w:p w14:paraId="53959E5A" w14:textId="77777777" w:rsidR="00941CF4" w:rsidRDefault="00941CF4"/>
    <w:p w14:paraId="2DE8B498" w14:textId="77777777" w:rsidR="00941CF4" w:rsidRDefault="00000000">
      <w:pPr>
        <w:pStyle w:val="Heading2"/>
      </w:pPr>
      <w:r>
        <w:lastRenderedPageBreak/>
        <w:t>10.4 Retention Strength EDA</w:t>
      </w:r>
    </w:p>
    <w:p w14:paraId="5364F326" w14:textId="77777777" w:rsidR="00941CF4" w:rsidRDefault="00000000">
      <w:pPr>
        <w:pStyle w:val="BodyText"/>
        <w:jc w:val="both"/>
      </w:pPr>
      <w:r>
        <w:t>Retention strength EDA evaluates whether a score-based framework can create meaningful risk separation. The dashboard shows an average retention strength score of 57.63 and an average relationship strength of 64.44. Very Strong Retention is the strongest tier, while Critical Retention Risk is the highest-risk tier.</w:t>
      </w:r>
    </w:p>
    <w:p w14:paraId="62D0E107" w14:textId="77777777" w:rsidR="00941CF4" w:rsidRDefault="00000000">
      <w:pPr>
        <w:jc w:val="center"/>
      </w:pPr>
      <w:r>
        <w:rPr>
          <w:noProof/>
        </w:rPr>
        <w:drawing>
          <wp:inline distT="0" distB="0" distL="0" distR="0" wp14:anchorId="3B5A7022" wp14:editId="178CAD5C">
            <wp:extent cx="6172200" cy="1852491"/>
            <wp:effectExtent l="0" t="0" r="0" b="0"/>
            <wp:docPr id="7" name="Picture 7"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2).png"/>
                    <pic:cNvPicPr/>
                  </pic:nvPicPr>
                  <pic:blipFill>
                    <a:blip r:embed="rId12"/>
                    <a:stretch>
                      <a:fillRect/>
                    </a:stretch>
                  </pic:blipFill>
                  <pic:spPr>
                    <a:xfrm>
                      <a:off x="0" y="0"/>
                      <a:ext cx="6172200" cy="1852491"/>
                    </a:xfrm>
                    <a:prstGeom prst="rect">
                      <a:avLst/>
                    </a:prstGeom>
                  </pic:spPr>
                </pic:pic>
              </a:graphicData>
            </a:graphic>
          </wp:inline>
        </w:drawing>
      </w:r>
    </w:p>
    <w:p w14:paraId="0255BCC9" w14:textId="77777777" w:rsidR="00941CF4" w:rsidRDefault="00000000">
      <w:pPr>
        <w:spacing w:before="40" w:after="80"/>
        <w:jc w:val="center"/>
      </w:pPr>
      <w:r>
        <w:rPr>
          <w:i/>
          <w:color w:val="596579"/>
          <w:sz w:val="17"/>
        </w:rPr>
        <w:t>Figure 7. Retention Strength Scoring Panels snapshot.</w:t>
      </w:r>
    </w:p>
    <w:tbl>
      <w:tblPr>
        <w:tblW w:w="0" w:type="auto"/>
        <w:jc w:val="center"/>
        <w:tblLook w:val="04A0" w:firstRow="1" w:lastRow="0" w:firstColumn="1" w:lastColumn="0" w:noHBand="0" w:noVBand="1"/>
      </w:tblPr>
      <w:tblGrid>
        <w:gridCol w:w="10656"/>
      </w:tblGrid>
      <w:tr w:rsidR="00941CF4" w14:paraId="69524841"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F8FBFF"/>
          </w:tcPr>
          <w:p w14:paraId="2E382C6F" w14:textId="77777777" w:rsidR="00941CF4" w:rsidRDefault="00000000">
            <w:pPr>
              <w:spacing w:after="80"/>
            </w:pPr>
            <w:r>
              <w:rPr>
                <w:b/>
                <w:color w:val="001F3F"/>
                <w:sz w:val="21"/>
              </w:rPr>
              <w:t>Analyst interpretation</w:t>
            </w:r>
          </w:p>
          <w:p w14:paraId="3C0D67C2" w14:textId="77777777" w:rsidR="00941CF4" w:rsidRDefault="00000000">
            <w:pPr>
              <w:spacing w:after="0"/>
            </w:pPr>
            <w:r>
              <w:rPr>
                <w:sz w:val="19"/>
              </w:rPr>
              <w:t>The retention strength module converts behavioral and relationship indicators into an actionable prioritization layer for campaign planning.</w:t>
            </w:r>
          </w:p>
        </w:tc>
      </w:tr>
    </w:tbl>
    <w:p w14:paraId="14AACA18" w14:textId="77777777" w:rsidR="00941CF4" w:rsidRDefault="00941CF4"/>
    <w:tbl>
      <w:tblPr>
        <w:tblW w:w="0" w:type="auto"/>
        <w:jc w:val="center"/>
        <w:tblLook w:val="04A0" w:firstRow="1" w:lastRow="0" w:firstColumn="1" w:lastColumn="0" w:noHBand="0" w:noVBand="1"/>
      </w:tblPr>
      <w:tblGrid>
        <w:gridCol w:w="10656"/>
      </w:tblGrid>
      <w:tr w:rsidR="00941CF4" w14:paraId="340615BC"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EAF2FB"/>
          </w:tcPr>
          <w:p w14:paraId="7717C472" w14:textId="77777777" w:rsidR="00941CF4" w:rsidRDefault="00000000">
            <w:pPr>
              <w:spacing w:after="80"/>
            </w:pPr>
            <w:r>
              <w:rPr>
                <w:b/>
                <w:color w:val="001F3F"/>
                <w:sz w:val="21"/>
              </w:rPr>
              <w:t>EDA decision-use note</w:t>
            </w:r>
          </w:p>
          <w:p w14:paraId="65D83F6D" w14:textId="77777777" w:rsidR="00941CF4" w:rsidRDefault="00000000">
            <w:pPr>
              <w:spacing w:after="0"/>
            </w:pPr>
            <w:r>
              <w:rPr>
                <w:sz w:val="19"/>
              </w:rPr>
              <w:t>EDA should be read as a sequencing layer: engagement identifies who is behaviorally at risk, product analysis identifies relationship depth, high-value analysis identifies financial exposure, and retention scoring ranks intervention priority.</w:t>
            </w:r>
          </w:p>
        </w:tc>
      </w:tr>
    </w:tbl>
    <w:p w14:paraId="687C9EAB" w14:textId="77777777" w:rsidR="00941CF4" w:rsidRDefault="00000000">
      <w:pPr>
        <w:pStyle w:val="Heading2"/>
        <w:spacing w:after="80"/>
      </w:pPr>
      <w:r>
        <w:t>10.5 EDA Synthesis Bridge</w:t>
      </w:r>
    </w:p>
    <w:p w14:paraId="0FDFEA01" w14:textId="77777777" w:rsidR="00941CF4" w:rsidRDefault="00000000">
      <w:pPr>
        <w:pStyle w:val="BodyText"/>
        <w:spacing w:after="80" w:line="252" w:lineRule="auto"/>
      </w:pPr>
      <w:r>
        <w:rPr>
          <w:rFonts w:ascii="Aptos" w:hAnsi="Aptos"/>
          <w:sz w:val="19"/>
        </w:rPr>
        <w:t>The EDA stage connects individual charts into a research storyline. The sequence below explains how exploratory evidence transitions into the results section.</w:t>
      </w:r>
    </w:p>
    <w:tbl>
      <w:tblPr>
        <w:tblStyle w:val="TableGrid"/>
        <w:tblW w:w="0" w:type="auto"/>
        <w:jc w:val="center"/>
        <w:tblLook w:val="04A0" w:firstRow="1" w:lastRow="0" w:firstColumn="1" w:lastColumn="0" w:noHBand="0" w:noVBand="1"/>
      </w:tblPr>
      <w:tblGrid>
        <w:gridCol w:w="2664"/>
        <w:gridCol w:w="2664"/>
        <w:gridCol w:w="2664"/>
        <w:gridCol w:w="2664"/>
      </w:tblGrid>
      <w:tr w:rsidR="00941CF4" w14:paraId="0CD1F937" w14:textId="77777777">
        <w:trPr>
          <w:tblHeader/>
          <w:jc w:val="center"/>
        </w:trPr>
        <w:tc>
          <w:tcPr>
            <w:tcW w:w="2664" w:type="dxa"/>
            <w:shd w:val="clear" w:color="auto" w:fill="003A5D"/>
            <w:vAlign w:val="center"/>
          </w:tcPr>
          <w:p w14:paraId="1C20E0B6" w14:textId="77777777" w:rsidR="00941CF4" w:rsidRDefault="00000000">
            <w:r>
              <w:rPr>
                <w:rFonts w:ascii="Aptos" w:hAnsi="Aptos"/>
                <w:b/>
                <w:color w:val="FFFFFF"/>
                <w:sz w:val="16"/>
              </w:rPr>
              <w:t>EDA Layer</w:t>
            </w:r>
          </w:p>
        </w:tc>
        <w:tc>
          <w:tcPr>
            <w:tcW w:w="2664" w:type="dxa"/>
            <w:shd w:val="clear" w:color="auto" w:fill="003A5D"/>
            <w:vAlign w:val="center"/>
          </w:tcPr>
          <w:p w14:paraId="3459705F" w14:textId="77777777" w:rsidR="00941CF4" w:rsidRDefault="00000000">
            <w:r>
              <w:rPr>
                <w:rFonts w:ascii="Aptos" w:hAnsi="Aptos"/>
                <w:b/>
                <w:color w:val="FFFFFF"/>
                <w:sz w:val="16"/>
              </w:rPr>
              <w:t>Main Evidence</w:t>
            </w:r>
          </w:p>
        </w:tc>
        <w:tc>
          <w:tcPr>
            <w:tcW w:w="2664" w:type="dxa"/>
            <w:shd w:val="clear" w:color="auto" w:fill="003A5D"/>
            <w:vAlign w:val="center"/>
          </w:tcPr>
          <w:p w14:paraId="6638C693" w14:textId="77777777" w:rsidR="00941CF4" w:rsidRDefault="00000000">
            <w:r>
              <w:rPr>
                <w:rFonts w:ascii="Aptos" w:hAnsi="Aptos"/>
                <w:b/>
                <w:color w:val="FFFFFF"/>
                <w:sz w:val="16"/>
              </w:rPr>
              <w:t>Interpretation Role</w:t>
            </w:r>
          </w:p>
        </w:tc>
        <w:tc>
          <w:tcPr>
            <w:tcW w:w="2664" w:type="dxa"/>
            <w:shd w:val="clear" w:color="auto" w:fill="003A5D"/>
            <w:vAlign w:val="center"/>
          </w:tcPr>
          <w:p w14:paraId="2B26DBFB" w14:textId="77777777" w:rsidR="00941CF4" w:rsidRDefault="00000000">
            <w:r>
              <w:rPr>
                <w:rFonts w:ascii="Aptos" w:hAnsi="Aptos"/>
                <w:b/>
                <w:color w:val="FFFFFF"/>
                <w:sz w:val="16"/>
              </w:rPr>
              <w:t>Result Section Connection</w:t>
            </w:r>
          </w:p>
        </w:tc>
      </w:tr>
      <w:tr w:rsidR="00941CF4" w14:paraId="168A1358" w14:textId="77777777">
        <w:trPr>
          <w:jc w:val="center"/>
        </w:trPr>
        <w:tc>
          <w:tcPr>
            <w:tcW w:w="2664" w:type="dxa"/>
            <w:shd w:val="clear" w:color="auto" w:fill="FFFFFF"/>
            <w:vAlign w:val="center"/>
          </w:tcPr>
          <w:p w14:paraId="6E525BF7" w14:textId="77777777" w:rsidR="00941CF4" w:rsidRDefault="00000000">
            <w:r>
              <w:rPr>
                <w:rFonts w:ascii="Aptos" w:hAnsi="Aptos"/>
                <w:sz w:val="16"/>
              </w:rPr>
              <w:t>Engagement behavior</w:t>
            </w:r>
          </w:p>
        </w:tc>
        <w:tc>
          <w:tcPr>
            <w:tcW w:w="2664" w:type="dxa"/>
            <w:shd w:val="clear" w:color="auto" w:fill="FFFFFF"/>
            <w:vAlign w:val="center"/>
          </w:tcPr>
          <w:p w14:paraId="689EFA47" w14:textId="77777777" w:rsidR="00941CF4" w:rsidRDefault="00000000">
            <w:r>
              <w:rPr>
                <w:rFonts w:ascii="Aptos" w:hAnsi="Aptos"/>
                <w:sz w:val="16"/>
              </w:rPr>
              <w:t>10,000 customers, 79.63% retention, inactive churn lift 12.58 pp</w:t>
            </w:r>
          </w:p>
        </w:tc>
        <w:tc>
          <w:tcPr>
            <w:tcW w:w="2664" w:type="dxa"/>
            <w:shd w:val="clear" w:color="auto" w:fill="FFFFFF"/>
            <w:vAlign w:val="center"/>
          </w:tcPr>
          <w:p w14:paraId="35F47732" w14:textId="77777777" w:rsidR="00941CF4" w:rsidRDefault="00000000">
            <w:r>
              <w:rPr>
                <w:rFonts w:ascii="Aptos" w:hAnsi="Aptos"/>
                <w:sz w:val="16"/>
              </w:rPr>
              <w:t>Identifies the first retention-risk dimension.</w:t>
            </w:r>
          </w:p>
        </w:tc>
        <w:tc>
          <w:tcPr>
            <w:tcW w:w="2664" w:type="dxa"/>
            <w:shd w:val="clear" w:color="auto" w:fill="FFFFFF"/>
            <w:vAlign w:val="center"/>
          </w:tcPr>
          <w:p w14:paraId="7E8D873C" w14:textId="77777777" w:rsidR="00941CF4" w:rsidRDefault="00000000">
            <w:r>
              <w:rPr>
                <w:rFonts w:ascii="Aptos" w:hAnsi="Aptos"/>
                <w:sz w:val="16"/>
              </w:rPr>
              <w:t>Section 11.1 Engagement vs Churn Overview</w:t>
            </w:r>
          </w:p>
        </w:tc>
      </w:tr>
      <w:tr w:rsidR="00941CF4" w14:paraId="45833276" w14:textId="77777777">
        <w:trPr>
          <w:jc w:val="center"/>
        </w:trPr>
        <w:tc>
          <w:tcPr>
            <w:tcW w:w="2664" w:type="dxa"/>
            <w:shd w:val="clear" w:color="auto" w:fill="F4F7FB"/>
            <w:vAlign w:val="center"/>
          </w:tcPr>
          <w:p w14:paraId="4A14C4E6" w14:textId="77777777" w:rsidR="00941CF4" w:rsidRDefault="00000000">
            <w:r>
              <w:rPr>
                <w:rFonts w:ascii="Aptos" w:hAnsi="Aptos"/>
                <w:sz w:val="16"/>
              </w:rPr>
              <w:t>Product utilization</w:t>
            </w:r>
          </w:p>
        </w:tc>
        <w:tc>
          <w:tcPr>
            <w:tcW w:w="2664" w:type="dxa"/>
            <w:shd w:val="clear" w:color="auto" w:fill="F4F7FB"/>
            <w:vAlign w:val="center"/>
          </w:tcPr>
          <w:p w14:paraId="19D292A9" w14:textId="77777777" w:rsidR="00941CF4" w:rsidRDefault="00000000">
            <w:r>
              <w:rPr>
                <w:rFonts w:ascii="Aptos" w:hAnsi="Aptos"/>
                <w:sz w:val="16"/>
              </w:rPr>
              <w:t>Average product count 1.53; 2 products strongest retention</w:t>
            </w:r>
          </w:p>
        </w:tc>
        <w:tc>
          <w:tcPr>
            <w:tcW w:w="2664" w:type="dxa"/>
            <w:shd w:val="clear" w:color="auto" w:fill="F4F7FB"/>
            <w:vAlign w:val="center"/>
          </w:tcPr>
          <w:p w14:paraId="3E510E79" w14:textId="77777777" w:rsidR="00941CF4" w:rsidRDefault="00000000">
            <w:r>
              <w:rPr>
                <w:rFonts w:ascii="Aptos" w:hAnsi="Aptos"/>
                <w:sz w:val="16"/>
              </w:rPr>
              <w:t>Tests whether product depth is linked with retention quality.</w:t>
            </w:r>
          </w:p>
        </w:tc>
        <w:tc>
          <w:tcPr>
            <w:tcW w:w="2664" w:type="dxa"/>
            <w:shd w:val="clear" w:color="auto" w:fill="F4F7FB"/>
            <w:vAlign w:val="center"/>
          </w:tcPr>
          <w:p w14:paraId="46A510D2" w14:textId="77777777" w:rsidR="00941CF4" w:rsidRDefault="00000000">
            <w:r>
              <w:rPr>
                <w:rFonts w:ascii="Aptos" w:hAnsi="Aptos"/>
                <w:sz w:val="16"/>
              </w:rPr>
              <w:t>Section 11.2 Product Utilization Impact Analysis</w:t>
            </w:r>
          </w:p>
        </w:tc>
      </w:tr>
      <w:tr w:rsidR="00941CF4" w14:paraId="3F55C329" w14:textId="77777777">
        <w:trPr>
          <w:jc w:val="center"/>
        </w:trPr>
        <w:tc>
          <w:tcPr>
            <w:tcW w:w="2664" w:type="dxa"/>
            <w:shd w:val="clear" w:color="auto" w:fill="FFFFFF"/>
            <w:vAlign w:val="center"/>
          </w:tcPr>
          <w:p w14:paraId="5533C177" w14:textId="77777777" w:rsidR="00941CF4" w:rsidRDefault="00000000">
            <w:r>
              <w:rPr>
                <w:rFonts w:ascii="Aptos" w:hAnsi="Aptos"/>
                <w:sz w:val="16"/>
              </w:rPr>
              <w:t>High-value risk</w:t>
            </w:r>
          </w:p>
        </w:tc>
        <w:tc>
          <w:tcPr>
            <w:tcW w:w="2664" w:type="dxa"/>
            <w:shd w:val="clear" w:color="auto" w:fill="FFFFFF"/>
            <w:vAlign w:val="center"/>
          </w:tcPr>
          <w:p w14:paraId="3D91E1F3" w14:textId="77777777" w:rsidR="00941CF4" w:rsidRDefault="00000000">
            <w:r>
              <w:rPr>
                <w:rFonts w:ascii="Aptos" w:hAnsi="Aptos"/>
                <w:sz w:val="16"/>
              </w:rPr>
              <w:t>2,154 high-value disengaged customers; 232,942,972 balance at risk</w:t>
            </w:r>
          </w:p>
        </w:tc>
        <w:tc>
          <w:tcPr>
            <w:tcW w:w="2664" w:type="dxa"/>
            <w:shd w:val="clear" w:color="auto" w:fill="FFFFFF"/>
            <w:vAlign w:val="center"/>
          </w:tcPr>
          <w:p w14:paraId="2095FA73" w14:textId="77777777" w:rsidR="00941CF4" w:rsidRDefault="00000000">
            <w:r>
              <w:rPr>
                <w:rFonts w:ascii="Aptos" w:hAnsi="Aptos"/>
                <w:sz w:val="16"/>
              </w:rPr>
              <w:t>Adds financial exposure to behavioral disengagement.</w:t>
            </w:r>
          </w:p>
        </w:tc>
        <w:tc>
          <w:tcPr>
            <w:tcW w:w="2664" w:type="dxa"/>
            <w:shd w:val="clear" w:color="auto" w:fill="FFFFFF"/>
            <w:vAlign w:val="center"/>
          </w:tcPr>
          <w:p w14:paraId="34B5D915" w14:textId="77777777" w:rsidR="00941CF4" w:rsidRDefault="00000000">
            <w:r>
              <w:rPr>
                <w:rFonts w:ascii="Aptos" w:hAnsi="Aptos"/>
                <w:sz w:val="16"/>
              </w:rPr>
              <w:t>Section 11.3 High-Value Disengaged Customer Detector</w:t>
            </w:r>
          </w:p>
        </w:tc>
      </w:tr>
      <w:tr w:rsidR="00941CF4" w14:paraId="152368B7" w14:textId="77777777">
        <w:trPr>
          <w:jc w:val="center"/>
        </w:trPr>
        <w:tc>
          <w:tcPr>
            <w:tcW w:w="2664" w:type="dxa"/>
            <w:shd w:val="clear" w:color="auto" w:fill="F4F7FB"/>
            <w:vAlign w:val="center"/>
          </w:tcPr>
          <w:p w14:paraId="582CCF24" w14:textId="77777777" w:rsidR="00941CF4" w:rsidRDefault="00000000">
            <w:r>
              <w:rPr>
                <w:rFonts w:ascii="Aptos" w:hAnsi="Aptos"/>
                <w:sz w:val="16"/>
              </w:rPr>
              <w:t>Retention scoring</w:t>
            </w:r>
          </w:p>
        </w:tc>
        <w:tc>
          <w:tcPr>
            <w:tcW w:w="2664" w:type="dxa"/>
            <w:shd w:val="clear" w:color="auto" w:fill="F4F7FB"/>
            <w:vAlign w:val="center"/>
          </w:tcPr>
          <w:p w14:paraId="4A136A59" w14:textId="77777777" w:rsidR="00941CF4" w:rsidRDefault="00000000">
            <w:r>
              <w:rPr>
                <w:rFonts w:ascii="Aptos" w:hAnsi="Aptos"/>
                <w:sz w:val="16"/>
              </w:rPr>
              <w:t>Average score 57.63; critical-risk tier highest churn</w:t>
            </w:r>
          </w:p>
        </w:tc>
        <w:tc>
          <w:tcPr>
            <w:tcW w:w="2664" w:type="dxa"/>
            <w:shd w:val="clear" w:color="auto" w:fill="F4F7FB"/>
            <w:vAlign w:val="center"/>
          </w:tcPr>
          <w:p w14:paraId="65E3C31A" w14:textId="77777777" w:rsidR="00941CF4" w:rsidRDefault="00000000">
            <w:r>
              <w:rPr>
                <w:rFonts w:ascii="Aptos" w:hAnsi="Aptos"/>
                <w:sz w:val="16"/>
              </w:rPr>
              <w:t>Creates intervention priority and campaign sequencing.</w:t>
            </w:r>
          </w:p>
        </w:tc>
        <w:tc>
          <w:tcPr>
            <w:tcW w:w="2664" w:type="dxa"/>
            <w:shd w:val="clear" w:color="auto" w:fill="F4F7FB"/>
            <w:vAlign w:val="center"/>
          </w:tcPr>
          <w:p w14:paraId="6DC0B66D" w14:textId="77777777" w:rsidR="00941CF4" w:rsidRDefault="00000000">
            <w:r>
              <w:rPr>
                <w:rFonts w:ascii="Aptos" w:hAnsi="Aptos"/>
                <w:sz w:val="16"/>
              </w:rPr>
              <w:t>Section 11.4 Retention Strength Scoring Panels</w:t>
            </w:r>
          </w:p>
        </w:tc>
      </w:tr>
      <w:tr w:rsidR="00941CF4" w14:paraId="0675B27D" w14:textId="77777777">
        <w:trPr>
          <w:tblHeader/>
          <w:jc w:val="center"/>
        </w:trPr>
        <w:tc>
          <w:tcPr>
            <w:tcW w:w="10656" w:type="dxa"/>
            <w:gridSpan w:val="4"/>
            <w:shd w:val="clear" w:color="auto" w:fill="EAF4FF"/>
          </w:tcPr>
          <w:p w14:paraId="0A74E45D" w14:textId="77777777" w:rsidR="00941CF4" w:rsidRDefault="00000000">
            <w:r>
              <w:rPr>
                <w:rFonts w:ascii="Aptos" w:hAnsi="Aptos"/>
                <w:b/>
                <w:sz w:val="19"/>
              </w:rPr>
              <w:t>EDA-to-results transition</w:t>
            </w:r>
          </w:p>
          <w:p w14:paraId="416979E2" w14:textId="77777777" w:rsidR="00941CF4" w:rsidRDefault="00000000">
            <w:r>
              <w:rPr>
                <w:rFonts w:ascii="Aptos" w:hAnsi="Aptos"/>
                <w:sz w:val="17"/>
              </w:rPr>
              <w:t>The next section converts these exploratory patterns into formal dashboard results, using the full set of visual evidence to support findings and recommendations.</w:t>
            </w:r>
          </w:p>
        </w:tc>
      </w:tr>
    </w:tbl>
    <w:p w14:paraId="6C4D21A6" w14:textId="77777777" w:rsidR="00941CF4" w:rsidRDefault="00941CF4"/>
    <w:p w14:paraId="6610DF01" w14:textId="77777777" w:rsidR="00941CF4" w:rsidRDefault="00000000">
      <w:r>
        <w:br w:type="page"/>
      </w:r>
    </w:p>
    <w:p w14:paraId="30481363" w14:textId="77777777" w:rsidR="00941CF4" w:rsidRDefault="00000000">
      <w:pPr>
        <w:pStyle w:val="Heading1"/>
      </w:pPr>
      <w:r>
        <w:lastRenderedPageBreak/>
        <w:t>11. Result and Analysis</w:t>
      </w:r>
    </w:p>
    <w:p w14:paraId="581C97A0" w14:textId="77777777" w:rsidR="00941CF4" w:rsidRDefault="00000000">
      <w:pPr>
        <w:pStyle w:val="Heading2"/>
      </w:pPr>
      <w:r>
        <w:t>11.1 Engagement vs Churn Overview</w:t>
      </w:r>
    </w:p>
    <w:p w14:paraId="5BF1CD15" w14:textId="77777777" w:rsidR="00941CF4" w:rsidRDefault="00000000">
      <w:pPr>
        <w:pStyle w:val="BodyText"/>
        <w:jc w:val="both"/>
      </w:pPr>
      <w:r>
        <w:t>The engagement module provides the clearest behavioral evidence in the dashboard. Active Members have 4,416 retained customers and 735 churned customers, while Inactive Members have 3,547 retained customers and 1,302 churned customers. Inactive Members therefore contribute a larger share of total churn despite the full customer base having an overall retention rate close to 80%.</w:t>
      </w:r>
    </w:p>
    <w:p w14:paraId="66559769" w14:textId="77777777" w:rsidR="00941CF4" w:rsidRDefault="00000000">
      <w:pPr>
        <w:jc w:val="center"/>
      </w:pPr>
      <w:r>
        <w:rPr>
          <w:noProof/>
        </w:rPr>
        <w:drawing>
          <wp:inline distT="0" distB="0" distL="0" distR="0" wp14:anchorId="0AE35035" wp14:editId="4D88B40E">
            <wp:extent cx="6172200" cy="2924762"/>
            <wp:effectExtent l="0" t="0" r="0" b="0"/>
            <wp:docPr id="8" name="Picture 8"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3).png"/>
                    <pic:cNvPicPr/>
                  </pic:nvPicPr>
                  <pic:blipFill>
                    <a:blip r:embed="rId13"/>
                    <a:stretch>
                      <a:fillRect/>
                    </a:stretch>
                  </pic:blipFill>
                  <pic:spPr>
                    <a:xfrm>
                      <a:off x="0" y="0"/>
                      <a:ext cx="6172200" cy="2924762"/>
                    </a:xfrm>
                    <a:prstGeom prst="rect">
                      <a:avLst/>
                    </a:prstGeom>
                  </pic:spPr>
                </pic:pic>
              </a:graphicData>
            </a:graphic>
          </wp:inline>
        </w:drawing>
      </w:r>
    </w:p>
    <w:p w14:paraId="7C9E8FDA" w14:textId="77777777" w:rsidR="00941CF4" w:rsidRDefault="00000000">
      <w:pPr>
        <w:spacing w:before="40" w:after="80"/>
        <w:jc w:val="center"/>
      </w:pPr>
      <w:r>
        <w:rPr>
          <w:i/>
          <w:color w:val="596579"/>
          <w:sz w:val="17"/>
        </w:rPr>
        <w:t>Figure 8. Engagement Outcome Split: retained vs churned customers by engagement status.</w:t>
      </w:r>
    </w:p>
    <w:tbl>
      <w:tblPr>
        <w:tblW w:w="0" w:type="auto"/>
        <w:jc w:val="center"/>
        <w:tblLook w:val="04A0" w:firstRow="1" w:lastRow="0" w:firstColumn="1" w:lastColumn="0" w:noHBand="0" w:noVBand="1"/>
      </w:tblPr>
      <w:tblGrid>
        <w:gridCol w:w="10656"/>
      </w:tblGrid>
      <w:tr w:rsidR="00941CF4" w14:paraId="4C1523CD"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F8FBFF"/>
          </w:tcPr>
          <w:p w14:paraId="6A018FEF" w14:textId="77777777" w:rsidR="00941CF4" w:rsidRDefault="00000000">
            <w:pPr>
              <w:spacing w:after="80"/>
            </w:pPr>
            <w:r>
              <w:rPr>
                <w:b/>
                <w:color w:val="001F3F"/>
                <w:sz w:val="21"/>
              </w:rPr>
              <w:t>Analyst interpretation</w:t>
            </w:r>
          </w:p>
          <w:p w14:paraId="58FBB9D6" w14:textId="77777777" w:rsidR="00941CF4" w:rsidRDefault="00000000">
            <w:pPr>
              <w:spacing w:after="0"/>
            </w:pPr>
            <w:r>
              <w:rPr>
                <w:sz w:val="19"/>
              </w:rPr>
              <w:t>The outcome split shows that inactive customers generate far more churned customers than active customers. This supports engagement recovery as the first retention strategy pillar.</w:t>
            </w:r>
          </w:p>
        </w:tc>
      </w:tr>
    </w:tbl>
    <w:p w14:paraId="620B603D" w14:textId="77777777" w:rsidR="00941CF4" w:rsidRDefault="00941CF4"/>
    <w:p w14:paraId="6977EC29" w14:textId="77777777" w:rsidR="00941CF4" w:rsidRDefault="00000000">
      <w:pPr>
        <w:jc w:val="center"/>
      </w:pPr>
      <w:r>
        <w:rPr>
          <w:noProof/>
        </w:rPr>
        <w:drawing>
          <wp:inline distT="0" distB="0" distL="0" distR="0" wp14:anchorId="10705CC6" wp14:editId="41A3C9AF">
            <wp:extent cx="6172200" cy="3006969"/>
            <wp:effectExtent l="0" t="0" r="0" b="0"/>
            <wp:docPr id="9" name="Picture 9"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2).png"/>
                    <pic:cNvPicPr/>
                  </pic:nvPicPr>
                  <pic:blipFill>
                    <a:blip r:embed="rId14"/>
                    <a:stretch>
                      <a:fillRect/>
                    </a:stretch>
                  </pic:blipFill>
                  <pic:spPr>
                    <a:xfrm>
                      <a:off x="0" y="0"/>
                      <a:ext cx="6172200" cy="3006969"/>
                    </a:xfrm>
                    <a:prstGeom prst="rect">
                      <a:avLst/>
                    </a:prstGeom>
                  </pic:spPr>
                </pic:pic>
              </a:graphicData>
            </a:graphic>
          </wp:inline>
        </w:drawing>
      </w:r>
    </w:p>
    <w:p w14:paraId="38ABBF3B" w14:textId="77777777" w:rsidR="00941CF4" w:rsidRDefault="00000000">
      <w:pPr>
        <w:spacing w:before="40" w:after="80"/>
        <w:jc w:val="center"/>
      </w:pPr>
      <w:r>
        <w:rPr>
          <w:i/>
          <w:color w:val="596579"/>
          <w:sz w:val="17"/>
        </w:rPr>
        <w:t>Figure 9. Churn Contribution Share by Engagement Segment.</w:t>
      </w:r>
    </w:p>
    <w:tbl>
      <w:tblPr>
        <w:tblW w:w="0" w:type="auto"/>
        <w:jc w:val="center"/>
        <w:tblLook w:val="04A0" w:firstRow="1" w:lastRow="0" w:firstColumn="1" w:lastColumn="0" w:noHBand="0" w:noVBand="1"/>
      </w:tblPr>
      <w:tblGrid>
        <w:gridCol w:w="10656"/>
      </w:tblGrid>
      <w:tr w:rsidR="00941CF4" w14:paraId="1A418D71"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F8FBFF"/>
          </w:tcPr>
          <w:p w14:paraId="2FD40836" w14:textId="77777777" w:rsidR="00941CF4" w:rsidRDefault="00000000">
            <w:pPr>
              <w:spacing w:after="80"/>
            </w:pPr>
            <w:r>
              <w:rPr>
                <w:b/>
                <w:color w:val="001F3F"/>
                <w:sz w:val="21"/>
              </w:rPr>
              <w:lastRenderedPageBreak/>
              <w:t>Analyst interpretation</w:t>
            </w:r>
          </w:p>
          <w:p w14:paraId="744BC7EC" w14:textId="77777777" w:rsidR="00941CF4" w:rsidRDefault="00000000">
            <w:pPr>
              <w:spacing w:after="0"/>
            </w:pPr>
            <w:r>
              <w:rPr>
                <w:sz w:val="19"/>
              </w:rPr>
              <w:t>Inactive Members contribute 63.9% of total churn, while Active Members contribute 36.1%. This makes inactive-member reactivation a high-priority retention strategy.</w:t>
            </w:r>
          </w:p>
        </w:tc>
      </w:tr>
    </w:tbl>
    <w:p w14:paraId="5FDBE052" w14:textId="77777777" w:rsidR="00941CF4" w:rsidRDefault="00941CF4"/>
    <w:p w14:paraId="11399371" w14:textId="77777777" w:rsidR="00941CF4" w:rsidRDefault="00000000">
      <w:pPr>
        <w:pStyle w:val="BodyText"/>
        <w:jc w:val="both"/>
      </w:pPr>
      <w:r>
        <w:t>The engagement x retention tier matrix adds a second layer of evidence. Active customers in Critical Retention Risk still show very high churn, while Active customers in Strong and Very Strong tiers show much lower churn. Inactive customers in critical or weak tiers should be prioritized for immediate intervention.</w:t>
      </w:r>
    </w:p>
    <w:p w14:paraId="68DA0DDF" w14:textId="77777777" w:rsidR="00941CF4" w:rsidRDefault="00000000">
      <w:pPr>
        <w:jc w:val="center"/>
      </w:pPr>
      <w:r>
        <w:rPr>
          <w:noProof/>
        </w:rPr>
        <w:drawing>
          <wp:inline distT="0" distB="0" distL="0" distR="0" wp14:anchorId="437D096D" wp14:editId="2EDF860C">
            <wp:extent cx="6172200" cy="3174509"/>
            <wp:effectExtent l="0" t="0" r="0" b="0"/>
            <wp:docPr id="10" name="Picture 10"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3).png"/>
                    <pic:cNvPicPr/>
                  </pic:nvPicPr>
                  <pic:blipFill>
                    <a:blip r:embed="rId15"/>
                    <a:stretch>
                      <a:fillRect/>
                    </a:stretch>
                  </pic:blipFill>
                  <pic:spPr>
                    <a:xfrm>
                      <a:off x="0" y="0"/>
                      <a:ext cx="6172200" cy="3174509"/>
                    </a:xfrm>
                    <a:prstGeom prst="rect">
                      <a:avLst/>
                    </a:prstGeom>
                  </pic:spPr>
                </pic:pic>
              </a:graphicData>
            </a:graphic>
          </wp:inline>
        </w:drawing>
      </w:r>
    </w:p>
    <w:p w14:paraId="10530A38" w14:textId="77777777" w:rsidR="00941CF4" w:rsidRDefault="00000000">
      <w:pPr>
        <w:spacing w:before="40" w:after="80"/>
        <w:jc w:val="center"/>
      </w:pPr>
      <w:r>
        <w:rPr>
          <w:i/>
          <w:color w:val="596579"/>
          <w:sz w:val="17"/>
        </w:rPr>
        <w:t>Figure 10. Engagement x Retention Tier Churn Risk Matrix.</w:t>
      </w:r>
    </w:p>
    <w:tbl>
      <w:tblPr>
        <w:tblW w:w="0" w:type="auto"/>
        <w:jc w:val="center"/>
        <w:tblLook w:val="04A0" w:firstRow="1" w:lastRow="0" w:firstColumn="1" w:lastColumn="0" w:noHBand="0" w:noVBand="1"/>
      </w:tblPr>
      <w:tblGrid>
        <w:gridCol w:w="10656"/>
      </w:tblGrid>
      <w:tr w:rsidR="00941CF4" w14:paraId="10FC3251"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F8FBFF"/>
          </w:tcPr>
          <w:p w14:paraId="5CBBB087" w14:textId="77777777" w:rsidR="00941CF4" w:rsidRDefault="00000000">
            <w:pPr>
              <w:spacing w:after="80"/>
            </w:pPr>
            <w:r>
              <w:rPr>
                <w:b/>
                <w:color w:val="001F3F"/>
                <w:sz w:val="21"/>
              </w:rPr>
              <w:t>Analyst interpretation</w:t>
            </w:r>
          </w:p>
          <w:p w14:paraId="27700F00" w14:textId="77777777" w:rsidR="00941CF4" w:rsidRDefault="00000000">
            <w:pPr>
              <w:spacing w:after="0"/>
            </w:pPr>
            <w:r>
              <w:rPr>
                <w:sz w:val="19"/>
              </w:rPr>
              <w:t>The matrix shows that engagement status should be interpreted together with retention strength tier. Risk is highest where weak engagement and low retention strength overlap.</w:t>
            </w:r>
          </w:p>
        </w:tc>
      </w:tr>
    </w:tbl>
    <w:p w14:paraId="3623138F" w14:textId="77777777" w:rsidR="00941CF4" w:rsidRDefault="00941CF4"/>
    <w:p w14:paraId="7AB22F62" w14:textId="77777777" w:rsidR="00941CF4" w:rsidRDefault="00000000">
      <w:r>
        <w:br w:type="page"/>
      </w:r>
    </w:p>
    <w:p w14:paraId="20D0CC06" w14:textId="77777777" w:rsidR="00941CF4" w:rsidRDefault="00000000">
      <w:pPr>
        <w:pStyle w:val="Heading2"/>
      </w:pPr>
      <w:r>
        <w:lastRenderedPageBreak/>
        <w:t>11.2 Product Utilization Impact Analysis</w:t>
      </w:r>
    </w:p>
    <w:p w14:paraId="052FBAC1" w14:textId="77777777" w:rsidR="00941CF4" w:rsidRDefault="00000000">
      <w:pPr>
        <w:pStyle w:val="BodyText"/>
        <w:jc w:val="both"/>
      </w:pPr>
      <w:r>
        <w:t>The product utilization module shows that product count has a non-linear relationship with retention. Two-product customers show the strongest retention at 92.42%, while single-product customers retain at 72.3% and have 27.7% churn. Product count groups with three or four products show high churn in the dashboard and must be interpreted carefully with customer count context.</w:t>
      </w:r>
    </w:p>
    <w:p w14:paraId="131C36E9" w14:textId="77777777" w:rsidR="00941CF4" w:rsidRDefault="00000000">
      <w:pPr>
        <w:jc w:val="center"/>
      </w:pPr>
      <w:r>
        <w:rPr>
          <w:noProof/>
        </w:rPr>
        <w:drawing>
          <wp:inline distT="0" distB="0" distL="0" distR="0" wp14:anchorId="50263FF8" wp14:editId="6670DD1D">
            <wp:extent cx="6172200" cy="2995642"/>
            <wp:effectExtent l="0" t="0" r="0" b="0"/>
            <wp:docPr id="11" name="Picture 11" descr="Image: 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2).png"/>
                    <pic:cNvPicPr/>
                  </pic:nvPicPr>
                  <pic:blipFill>
                    <a:blip r:embed="rId16"/>
                    <a:stretch>
                      <a:fillRect/>
                    </a:stretch>
                  </pic:blipFill>
                  <pic:spPr>
                    <a:xfrm>
                      <a:off x="0" y="0"/>
                      <a:ext cx="6172200" cy="2995642"/>
                    </a:xfrm>
                    <a:prstGeom prst="rect">
                      <a:avLst/>
                    </a:prstGeom>
                  </pic:spPr>
                </pic:pic>
              </a:graphicData>
            </a:graphic>
          </wp:inline>
        </w:drawing>
      </w:r>
    </w:p>
    <w:p w14:paraId="3C735659" w14:textId="77777777" w:rsidR="00941CF4" w:rsidRDefault="00000000">
      <w:pPr>
        <w:spacing w:before="40" w:after="80"/>
        <w:jc w:val="center"/>
      </w:pPr>
      <w:r>
        <w:rPr>
          <w:i/>
          <w:color w:val="596579"/>
          <w:sz w:val="17"/>
        </w:rPr>
        <w:t>Figure 11. Product Count Impact on Retention and Churn.</w:t>
      </w:r>
    </w:p>
    <w:tbl>
      <w:tblPr>
        <w:tblW w:w="0" w:type="auto"/>
        <w:jc w:val="center"/>
        <w:tblLook w:val="04A0" w:firstRow="1" w:lastRow="0" w:firstColumn="1" w:lastColumn="0" w:noHBand="0" w:noVBand="1"/>
      </w:tblPr>
      <w:tblGrid>
        <w:gridCol w:w="10656"/>
      </w:tblGrid>
      <w:tr w:rsidR="00941CF4" w14:paraId="0F48472D"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F8FBFF"/>
          </w:tcPr>
          <w:p w14:paraId="2FC455AC" w14:textId="77777777" w:rsidR="00941CF4" w:rsidRDefault="00000000">
            <w:pPr>
              <w:spacing w:after="80"/>
            </w:pPr>
            <w:r>
              <w:rPr>
                <w:b/>
                <w:color w:val="001F3F"/>
                <w:sz w:val="21"/>
              </w:rPr>
              <w:t>Analyst interpretation</w:t>
            </w:r>
          </w:p>
          <w:p w14:paraId="1A1769F3" w14:textId="77777777" w:rsidR="00941CF4" w:rsidRDefault="00000000">
            <w:pPr>
              <w:spacing w:after="0"/>
            </w:pPr>
            <w:r>
              <w:rPr>
                <w:sz w:val="19"/>
              </w:rPr>
              <w:t>Two-product customers represent the strongest retention zone. One-product customers require product-bundling campaigns, while three- and four-product customers require product-load and suitability review.</w:t>
            </w:r>
          </w:p>
        </w:tc>
      </w:tr>
    </w:tbl>
    <w:p w14:paraId="62DF5027" w14:textId="77777777" w:rsidR="00941CF4" w:rsidRDefault="00941CF4"/>
    <w:p w14:paraId="2C12DAF6" w14:textId="77777777" w:rsidR="00941CF4" w:rsidRDefault="00000000">
      <w:pPr>
        <w:jc w:val="center"/>
      </w:pPr>
      <w:r>
        <w:rPr>
          <w:noProof/>
        </w:rPr>
        <w:drawing>
          <wp:inline distT="0" distB="0" distL="0" distR="0" wp14:anchorId="12DFA171" wp14:editId="284121DA">
            <wp:extent cx="6172200" cy="2541494"/>
            <wp:effectExtent l="0" t="0" r="0" b="0"/>
            <wp:docPr id="12" name="Picture 12" descr="Image: 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2).png"/>
                    <pic:cNvPicPr/>
                  </pic:nvPicPr>
                  <pic:blipFill>
                    <a:blip r:embed="rId17"/>
                    <a:stretch>
                      <a:fillRect/>
                    </a:stretch>
                  </pic:blipFill>
                  <pic:spPr>
                    <a:xfrm>
                      <a:off x="0" y="0"/>
                      <a:ext cx="6172200" cy="2541494"/>
                    </a:xfrm>
                    <a:prstGeom prst="rect">
                      <a:avLst/>
                    </a:prstGeom>
                  </pic:spPr>
                </pic:pic>
              </a:graphicData>
            </a:graphic>
          </wp:inline>
        </w:drawing>
      </w:r>
    </w:p>
    <w:p w14:paraId="6A66CD55" w14:textId="77777777" w:rsidR="00941CF4" w:rsidRDefault="00000000">
      <w:pPr>
        <w:spacing w:before="40" w:after="80"/>
        <w:jc w:val="center"/>
      </w:pPr>
      <w:r>
        <w:rPr>
          <w:i/>
          <w:color w:val="596579"/>
          <w:sz w:val="17"/>
        </w:rPr>
        <w:t>Figure 12. Single vs Multi-Product Retention Split.</w:t>
      </w:r>
    </w:p>
    <w:tbl>
      <w:tblPr>
        <w:tblW w:w="0" w:type="auto"/>
        <w:jc w:val="center"/>
        <w:tblLook w:val="04A0" w:firstRow="1" w:lastRow="0" w:firstColumn="1" w:lastColumn="0" w:noHBand="0" w:noVBand="1"/>
      </w:tblPr>
      <w:tblGrid>
        <w:gridCol w:w="10656"/>
      </w:tblGrid>
      <w:tr w:rsidR="00941CF4" w14:paraId="382BA635"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F8FBFF"/>
          </w:tcPr>
          <w:p w14:paraId="04E0180A" w14:textId="77777777" w:rsidR="00941CF4" w:rsidRDefault="00000000">
            <w:pPr>
              <w:spacing w:after="80"/>
            </w:pPr>
            <w:r>
              <w:rPr>
                <w:b/>
                <w:color w:val="001F3F"/>
                <w:sz w:val="21"/>
              </w:rPr>
              <w:t>Analyst interpretation</w:t>
            </w:r>
          </w:p>
          <w:p w14:paraId="2406E92A" w14:textId="77777777" w:rsidR="00941CF4" w:rsidRDefault="00000000">
            <w:pPr>
              <w:spacing w:after="0"/>
            </w:pPr>
            <w:r>
              <w:rPr>
                <w:sz w:val="19"/>
              </w:rPr>
              <w:t>Multi-product customers retain at 87.2% compared with 72.3% for single-product customers. The 14.94 percentage-point gap supports product bundling as a retention lever.</w:t>
            </w:r>
          </w:p>
        </w:tc>
      </w:tr>
    </w:tbl>
    <w:p w14:paraId="7D9410B3" w14:textId="77777777" w:rsidR="00941CF4" w:rsidRDefault="00941CF4"/>
    <w:p w14:paraId="34518DE0" w14:textId="77777777" w:rsidR="00941CF4" w:rsidRDefault="00000000">
      <w:pPr>
        <w:pStyle w:val="BodyText"/>
        <w:jc w:val="both"/>
      </w:pPr>
      <w:r>
        <w:lastRenderedPageBreak/>
        <w:t>The product relationship strength bubble map compares product count groups by relationship strength, retention strength, and churn. The chart indicates that product count alone is not enough; product depth must be evaluated with relationship quality and churn outcome.</w:t>
      </w:r>
    </w:p>
    <w:p w14:paraId="37BCA51D" w14:textId="77777777" w:rsidR="00941CF4" w:rsidRDefault="00000000">
      <w:pPr>
        <w:jc w:val="center"/>
      </w:pPr>
      <w:r>
        <w:rPr>
          <w:noProof/>
        </w:rPr>
        <w:drawing>
          <wp:inline distT="0" distB="0" distL="0" distR="0" wp14:anchorId="65BC6BB4" wp14:editId="087CCB7C">
            <wp:extent cx="6172200" cy="2887264"/>
            <wp:effectExtent l="0" t="0" r="0" b="0"/>
            <wp:docPr id="13" name="Picture 13" descr="Image: 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2).png"/>
                    <pic:cNvPicPr/>
                  </pic:nvPicPr>
                  <pic:blipFill>
                    <a:blip r:embed="rId18"/>
                    <a:stretch>
                      <a:fillRect/>
                    </a:stretch>
                  </pic:blipFill>
                  <pic:spPr>
                    <a:xfrm>
                      <a:off x="0" y="0"/>
                      <a:ext cx="6172200" cy="2887264"/>
                    </a:xfrm>
                    <a:prstGeom prst="rect">
                      <a:avLst/>
                    </a:prstGeom>
                  </pic:spPr>
                </pic:pic>
              </a:graphicData>
            </a:graphic>
          </wp:inline>
        </w:drawing>
      </w:r>
    </w:p>
    <w:p w14:paraId="5B172219" w14:textId="77777777" w:rsidR="00941CF4" w:rsidRDefault="00000000">
      <w:pPr>
        <w:spacing w:before="40" w:after="80"/>
        <w:jc w:val="center"/>
      </w:pPr>
      <w:r>
        <w:rPr>
          <w:i/>
          <w:color w:val="596579"/>
          <w:sz w:val="17"/>
        </w:rPr>
        <w:t>Figure 13. Product Relationship Strength Bubble Map.</w:t>
      </w:r>
    </w:p>
    <w:tbl>
      <w:tblPr>
        <w:tblW w:w="0" w:type="auto"/>
        <w:jc w:val="center"/>
        <w:tblLook w:val="04A0" w:firstRow="1" w:lastRow="0" w:firstColumn="1" w:lastColumn="0" w:noHBand="0" w:noVBand="1"/>
      </w:tblPr>
      <w:tblGrid>
        <w:gridCol w:w="10656"/>
      </w:tblGrid>
      <w:tr w:rsidR="00941CF4" w14:paraId="21529908"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F8FBFF"/>
          </w:tcPr>
          <w:p w14:paraId="21840DBF" w14:textId="77777777" w:rsidR="00941CF4" w:rsidRDefault="00000000">
            <w:pPr>
              <w:spacing w:after="80"/>
            </w:pPr>
            <w:r>
              <w:rPr>
                <w:b/>
                <w:color w:val="001F3F"/>
                <w:sz w:val="21"/>
              </w:rPr>
              <w:t>Analyst interpretation</w:t>
            </w:r>
          </w:p>
          <w:p w14:paraId="62102B1B" w14:textId="77777777" w:rsidR="00941CF4" w:rsidRDefault="00000000">
            <w:pPr>
              <w:spacing w:after="0"/>
            </w:pPr>
            <w:r>
              <w:rPr>
                <w:sz w:val="19"/>
              </w:rPr>
              <w:t>The bubble map supports a quality-over-quantity interpretation of product usage: the strongest product strategy is not simply more products, but the right product depth for the customer profile.</w:t>
            </w:r>
          </w:p>
        </w:tc>
      </w:tr>
    </w:tbl>
    <w:p w14:paraId="78C582CC" w14:textId="77777777" w:rsidR="00941CF4" w:rsidRDefault="00941CF4"/>
    <w:p w14:paraId="4C37C378" w14:textId="77777777" w:rsidR="00941CF4" w:rsidRDefault="00000000">
      <w:pPr>
        <w:jc w:val="center"/>
      </w:pPr>
      <w:r>
        <w:rPr>
          <w:noProof/>
        </w:rPr>
        <w:drawing>
          <wp:inline distT="0" distB="0" distL="0" distR="0" wp14:anchorId="36970786" wp14:editId="5B08715A">
            <wp:extent cx="6172200" cy="2988162"/>
            <wp:effectExtent l="0" t="0" r="0" b="0"/>
            <wp:docPr id="14" name="Picture 14" descr="Image: 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2).png"/>
                    <pic:cNvPicPr/>
                  </pic:nvPicPr>
                  <pic:blipFill>
                    <a:blip r:embed="rId19"/>
                    <a:stretch>
                      <a:fillRect/>
                    </a:stretch>
                  </pic:blipFill>
                  <pic:spPr>
                    <a:xfrm>
                      <a:off x="0" y="0"/>
                      <a:ext cx="6172200" cy="2988162"/>
                    </a:xfrm>
                    <a:prstGeom prst="rect">
                      <a:avLst/>
                    </a:prstGeom>
                  </pic:spPr>
                </pic:pic>
              </a:graphicData>
            </a:graphic>
          </wp:inline>
        </w:drawing>
      </w:r>
    </w:p>
    <w:p w14:paraId="1252BA13" w14:textId="77777777" w:rsidR="00941CF4" w:rsidRDefault="00000000">
      <w:pPr>
        <w:spacing w:before="40" w:after="80"/>
        <w:jc w:val="center"/>
      </w:pPr>
      <w:r>
        <w:rPr>
          <w:i/>
          <w:color w:val="596579"/>
          <w:sz w:val="17"/>
        </w:rPr>
        <w:t>Figure 14. Product Depth x Retention Tier Churn Risk Matrix.</w:t>
      </w:r>
    </w:p>
    <w:tbl>
      <w:tblPr>
        <w:tblW w:w="0" w:type="auto"/>
        <w:jc w:val="center"/>
        <w:tblLook w:val="04A0" w:firstRow="1" w:lastRow="0" w:firstColumn="1" w:lastColumn="0" w:noHBand="0" w:noVBand="1"/>
      </w:tblPr>
      <w:tblGrid>
        <w:gridCol w:w="10656"/>
      </w:tblGrid>
      <w:tr w:rsidR="00941CF4" w14:paraId="743F56AB"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F8FBFF"/>
          </w:tcPr>
          <w:p w14:paraId="0AB91876" w14:textId="77777777" w:rsidR="00941CF4" w:rsidRDefault="00000000">
            <w:pPr>
              <w:spacing w:after="80"/>
            </w:pPr>
            <w:r>
              <w:rPr>
                <w:b/>
                <w:color w:val="001F3F"/>
                <w:sz w:val="21"/>
              </w:rPr>
              <w:t>Analyst interpretation</w:t>
            </w:r>
          </w:p>
          <w:p w14:paraId="79EC2B20" w14:textId="77777777" w:rsidR="00941CF4" w:rsidRDefault="00000000">
            <w:pPr>
              <w:spacing w:after="0"/>
            </w:pPr>
            <w:r>
              <w:rPr>
                <w:sz w:val="19"/>
              </w:rPr>
              <w:t>The matrix shows that high product load can still be risky when retention strength is weak. This prevents over-simplified cross-sell conclusions.</w:t>
            </w:r>
          </w:p>
        </w:tc>
      </w:tr>
    </w:tbl>
    <w:p w14:paraId="3CECDBA0" w14:textId="77777777" w:rsidR="00941CF4" w:rsidRDefault="00941CF4"/>
    <w:p w14:paraId="65B26C8E" w14:textId="77777777" w:rsidR="00941CF4" w:rsidRDefault="00000000">
      <w:r>
        <w:br w:type="page"/>
      </w:r>
    </w:p>
    <w:p w14:paraId="08FB5EDA" w14:textId="77777777" w:rsidR="00941CF4" w:rsidRDefault="00000000">
      <w:pPr>
        <w:pStyle w:val="Heading2"/>
      </w:pPr>
      <w:r>
        <w:lastRenderedPageBreak/>
        <w:t>11.3 High-Value Disengaged Customer Detector</w:t>
      </w:r>
    </w:p>
    <w:p w14:paraId="2E728DD0" w14:textId="77777777" w:rsidR="00941CF4" w:rsidRDefault="00000000">
      <w:pPr>
        <w:pStyle w:val="BodyText"/>
        <w:jc w:val="both"/>
      </w:pPr>
      <w:r>
        <w:t>The high-value module provides the strongest premium risk insight. Of 4,351 high-value customers, 2,154 are high-value disengaged, creating a disengagement rate of 49.51%. This is a critical finding because premium customers can create significant balance exposure when they disengage.</w:t>
      </w:r>
    </w:p>
    <w:p w14:paraId="7BB73C60" w14:textId="77777777" w:rsidR="00941CF4" w:rsidRDefault="00000000">
      <w:pPr>
        <w:jc w:val="center"/>
      </w:pPr>
      <w:r>
        <w:rPr>
          <w:noProof/>
        </w:rPr>
        <w:drawing>
          <wp:inline distT="0" distB="0" distL="0" distR="0" wp14:anchorId="6DF16315" wp14:editId="60731137">
            <wp:extent cx="6172200" cy="2021060"/>
            <wp:effectExtent l="0" t="0" r="0" b="0"/>
            <wp:docPr id="15" name="Picture 15" descr="Image: 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3).png"/>
                    <pic:cNvPicPr/>
                  </pic:nvPicPr>
                  <pic:blipFill>
                    <a:blip r:embed="rId20"/>
                    <a:stretch>
                      <a:fillRect/>
                    </a:stretch>
                  </pic:blipFill>
                  <pic:spPr>
                    <a:xfrm>
                      <a:off x="0" y="0"/>
                      <a:ext cx="6172200" cy="2021060"/>
                    </a:xfrm>
                    <a:prstGeom prst="rect">
                      <a:avLst/>
                    </a:prstGeom>
                  </pic:spPr>
                </pic:pic>
              </a:graphicData>
            </a:graphic>
          </wp:inline>
        </w:drawing>
      </w:r>
    </w:p>
    <w:p w14:paraId="3F942A95" w14:textId="77777777" w:rsidR="00941CF4" w:rsidRDefault="00000000">
      <w:pPr>
        <w:spacing w:before="40" w:after="80"/>
        <w:jc w:val="center"/>
      </w:pPr>
      <w:r>
        <w:rPr>
          <w:i/>
          <w:color w:val="596579"/>
          <w:sz w:val="17"/>
        </w:rPr>
        <w:t>Figure 15. High-Value Customer Segment Mix.</w:t>
      </w:r>
    </w:p>
    <w:tbl>
      <w:tblPr>
        <w:tblW w:w="0" w:type="auto"/>
        <w:jc w:val="center"/>
        <w:tblLook w:val="04A0" w:firstRow="1" w:lastRow="0" w:firstColumn="1" w:lastColumn="0" w:noHBand="0" w:noVBand="1"/>
      </w:tblPr>
      <w:tblGrid>
        <w:gridCol w:w="10656"/>
      </w:tblGrid>
      <w:tr w:rsidR="00941CF4" w14:paraId="3EB964B7"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F8FBFF"/>
          </w:tcPr>
          <w:p w14:paraId="32326BC6" w14:textId="77777777" w:rsidR="00941CF4" w:rsidRDefault="00000000">
            <w:pPr>
              <w:spacing w:after="80"/>
            </w:pPr>
            <w:r>
              <w:rPr>
                <w:b/>
                <w:color w:val="001F3F"/>
                <w:sz w:val="21"/>
              </w:rPr>
              <w:t>Analyst interpretation</w:t>
            </w:r>
          </w:p>
          <w:p w14:paraId="535D5602" w14:textId="77777777" w:rsidR="00941CF4" w:rsidRDefault="00000000">
            <w:pPr>
              <w:spacing w:after="0"/>
            </w:pPr>
            <w:r>
              <w:rPr>
                <w:sz w:val="19"/>
              </w:rPr>
              <w:t>The high-value customer base is nearly evenly split between engaged/stable and disengaged segments. This makes premium relationship recovery a major retention strategy priority.</w:t>
            </w:r>
          </w:p>
        </w:tc>
      </w:tr>
    </w:tbl>
    <w:p w14:paraId="6959A016" w14:textId="77777777" w:rsidR="00941CF4" w:rsidRDefault="00941CF4"/>
    <w:p w14:paraId="2E5F6381" w14:textId="77777777" w:rsidR="00941CF4" w:rsidRDefault="00000000">
      <w:pPr>
        <w:jc w:val="center"/>
      </w:pPr>
      <w:r>
        <w:rPr>
          <w:noProof/>
        </w:rPr>
        <w:drawing>
          <wp:inline distT="0" distB="0" distL="0" distR="0" wp14:anchorId="39685D19" wp14:editId="73C8540E">
            <wp:extent cx="6172200" cy="2468880"/>
            <wp:effectExtent l="0" t="0" r="0" b="0"/>
            <wp:docPr id="16" name="Picture 16" descr="Image: 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3).png"/>
                    <pic:cNvPicPr/>
                  </pic:nvPicPr>
                  <pic:blipFill>
                    <a:blip r:embed="rId21"/>
                    <a:stretch>
                      <a:fillRect/>
                    </a:stretch>
                  </pic:blipFill>
                  <pic:spPr>
                    <a:xfrm>
                      <a:off x="0" y="0"/>
                      <a:ext cx="6172200" cy="2468880"/>
                    </a:xfrm>
                    <a:prstGeom prst="rect">
                      <a:avLst/>
                    </a:prstGeom>
                  </pic:spPr>
                </pic:pic>
              </a:graphicData>
            </a:graphic>
          </wp:inline>
        </w:drawing>
      </w:r>
    </w:p>
    <w:p w14:paraId="1C791AD7" w14:textId="77777777" w:rsidR="00941CF4" w:rsidRDefault="00000000">
      <w:pPr>
        <w:spacing w:before="40" w:after="80"/>
        <w:jc w:val="center"/>
      </w:pPr>
      <w:r>
        <w:rPr>
          <w:i/>
          <w:color w:val="596579"/>
          <w:sz w:val="17"/>
        </w:rPr>
        <w:t>Figure 16. Balance Exposure by High-Value Segment.</w:t>
      </w:r>
    </w:p>
    <w:tbl>
      <w:tblPr>
        <w:tblW w:w="0" w:type="auto"/>
        <w:jc w:val="center"/>
        <w:tblLook w:val="04A0" w:firstRow="1" w:lastRow="0" w:firstColumn="1" w:lastColumn="0" w:noHBand="0" w:noVBand="1"/>
      </w:tblPr>
      <w:tblGrid>
        <w:gridCol w:w="10656"/>
      </w:tblGrid>
      <w:tr w:rsidR="00941CF4" w14:paraId="2F222AB7"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F8FBFF"/>
          </w:tcPr>
          <w:p w14:paraId="6D076ED0" w14:textId="77777777" w:rsidR="00941CF4" w:rsidRDefault="00000000">
            <w:pPr>
              <w:spacing w:after="80"/>
            </w:pPr>
            <w:r>
              <w:rPr>
                <w:b/>
                <w:color w:val="001F3F"/>
                <w:sz w:val="21"/>
              </w:rPr>
              <w:t>Analyst interpretation</w:t>
            </w:r>
          </w:p>
          <w:p w14:paraId="5133110E" w14:textId="77777777" w:rsidR="00941CF4" w:rsidRDefault="00000000">
            <w:pPr>
              <w:spacing w:after="0"/>
            </w:pPr>
            <w:r>
              <w:rPr>
                <w:sz w:val="19"/>
              </w:rPr>
              <w:t>High-value disengaged customers account for 232,942,972 in balance exposure, nearly matching the balance exposure of high-value engaged/stable customers.</w:t>
            </w:r>
          </w:p>
        </w:tc>
      </w:tr>
    </w:tbl>
    <w:p w14:paraId="4CCD8625" w14:textId="77777777" w:rsidR="00941CF4" w:rsidRDefault="00941CF4"/>
    <w:p w14:paraId="03A02737" w14:textId="77777777" w:rsidR="00941CF4" w:rsidRDefault="00000000">
      <w:pPr>
        <w:pStyle w:val="BodyText"/>
        <w:jc w:val="both"/>
      </w:pPr>
      <w:r>
        <w:t>The salary-balance mismatch bubble map shows a churn difference between mismatch and no-mismatch groups. This should be interpreted as a risk signal rather than a causal conclusion. The key action is to investigate why certain high-salary or high-balance profiles still churn.</w:t>
      </w:r>
    </w:p>
    <w:p w14:paraId="320D206E" w14:textId="77777777" w:rsidR="00941CF4" w:rsidRDefault="00000000">
      <w:pPr>
        <w:jc w:val="center"/>
      </w:pPr>
      <w:r>
        <w:rPr>
          <w:noProof/>
        </w:rPr>
        <w:lastRenderedPageBreak/>
        <w:drawing>
          <wp:inline distT="0" distB="0" distL="0" distR="0" wp14:anchorId="674DA454" wp14:editId="28A6257A">
            <wp:extent cx="6172200" cy="2884559"/>
            <wp:effectExtent l="0" t="0" r="0" b="0"/>
            <wp:docPr id="17" name="Picture 17" descr="Image: 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3).png"/>
                    <pic:cNvPicPr/>
                  </pic:nvPicPr>
                  <pic:blipFill>
                    <a:blip r:embed="rId22"/>
                    <a:stretch>
                      <a:fillRect/>
                    </a:stretch>
                  </pic:blipFill>
                  <pic:spPr>
                    <a:xfrm>
                      <a:off x="0" y="0"/>
                      <a:ext cx="6172200" cy="2884559"/>
                    </a:xfrm>
                    <a:prstGeom prst="rect">
                      <a:avLst/>
                    </a:prstGeom>
                  </pic:spPr>
                </pic:pic>
              </a:graphicData>
            </a:graphic>
          </wp:inline>
        </w:drawing>
      </w:r>
    </w:p>
    <w:p w14:paraId="3CA1DF52" w14:textId="77777777" w:rsidR="00941CF4" w:rsidRDefault="00000000">
      <w:pPr>
        <w:spacing w:before="40" w:after="80"/>
        <w:jc w:val="center"/>
      </w:pPr>
      <w:r>
        <w:rPr>
          <w:i/>
          <w:color w:val="596579"/>
          <w:sz w:val="17"/>
        </w:rPr>
        <w:t>Figure 17. Salary-Balance Mismatch Risk Bubble Map.</w:t>
      </w:r>
    </w:p>
    <w:tbl>
      <w:tblPr>
        <w:tblW w:w="0" w:type="auto"/>
        <w:jc w:val="center"/>
        <w:tblLook w:val="04A0" w:firstRow="1" w:lastRow="0" w:firstColumn="1" w:lastColumn="0" w:noHBand="0" w:noVBand="1"/>
      </w:tblPr>
      <w:tblGrid>
        <w:gridCol w:w="10656"/>
      </w:tblGrid>
      <w:tr w:rsidR="00941CF4" w14:paraId="63E833C6"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F8FBFF"/>
          </w:tcPr>
          <w:p w14:paraId="290131F2" w14:textId="77777777" w:rsidR="00941CF4" w:rsidRDefault="00000000">
            <w:pPr>
              <w:spacing w:after="80"/>
            </w:pPr>
            <w:r>
              <w:rPr>
                <w:b/>
                <w:color w:val="001F3F"/>
                <w:sz w:val="21"/>
              </w:rPr>
              <w:t>Analyst interpretation</w:t>
            </w:r>
          </w:p>
          <w:p w14:paraId="2DE5CCA2" w14:textId="77777777" w:rsidR="00941CF4" w:rsidRDefault="00000000">
            <w:pPr>
              <w:spacing w:after="0"/>
            </w:pPr>
            <w:r>
              <w:rPr>
                <w:sz w:val="19"/>
              </w:rPr>
              <w:t>The mismatch map helps connect financial value with churn risk. It supports premium-customer monitoring where financial profile and engagement behavior do not align.</w:t>
            </w:r>
          </w:p>
        </w:tc>
      </w:tr>
    </w:tbl>
    <w:p w14:paraId="5E17135C" w14:textId="77777777" w:rsidR="00941CF4" w:rsidRDefault="00941CF4"/>
    <w:p w14:paraId="364EA7DC" w14:textId="77777777" w:rsidR="00941CF4" w:rsidRDefault="00000000">
      <w:pPr>
        <w:jc w:val="center"/>
      </w:pPr>
      <w:r>
        <w:rPr>
          <w:noProof/>
        </w:rPr>
        <w:drawing>
          <wp:inline distT="0" distB="0" distL="0" distR="0" wp14:anchorId="08F86F92" wp14:editId="3DDCFAFF">
            <wp:extent cx="6172200" cy="2887603"/>
            <wp:effectExtent l="0" t="0" r="0" b="0"/>
            <wp:docPr id="18" name="Picture 18" descr="Image: 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3).png"/>
                    <pic:cNvPicPr/>
                  </pic:nvPicPr>
                  <pic:blipFill>
                    <a:blip r:embed="rId23"/>
                    <a:stretch>
                      <a:fillRect/>
                    </a:stretch>
                  </pic:blipFill>
                  <pic:spPr>
                    <a:xfrm>
                      <a:off x="0" y="0"/>
                      <a:ext cx="6172200" cy="2887603"/>
                    </a:xfrm>
                    <a:prstGeom prst="rect">
                      <a:avLst/>
                    </a:prstGeom>
                  </pic:spPr>
                </pic:pic>
              </a:graphicData>
            </a:graphic>
          </wp:inline>
        </w:drawing>
      </w:r>
    </w:p>
    <w:p w14:paraId="028A6AEF" w14:textId="77777777" w:rsidR="00941CF4" w:rsidRDefault="00000000">
      <w:pPr>
        <w:spacing w:before="40" w:after="80"/>
        <w:jc w:val="center"/>
      </w:pPr>
      <w:r>
        <w:rPr>
          <w:i/>
          <w:color w:val="596579"/>
          <w:sz w:val="17"/>
        </w:rPr>
        <w:t>Figure 18. High-Value Engagement x Retention Tier Risk Matrix.</w:t>
      </w:r>
    </w:p>
    <w:tbl>
      <w:tblPr>
        <w:tblW w:w="0" w:type="auto"/>
        <w:jc w:val="center"/>
        <w:tblLook w:val="04A0" w:firstRow="1" w:lastRow="0" w:firstColumn="1" w:lastColumn="0" w:noHBand="0" w:noVBand="1"/>
      </w:tblPr>
      <w:tblGrid>
        <w:gridCol w:w="10656"/>
      </w:tblGrid>
      <w:tr w:rsidR="00941CF4" w14:paraId="7C208A26"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F8FBFF"/>
          </w:tcPr>
          <w:p w14:paraId="1334F54B" w14:textId="77777777" w:rsidR="00941CF4" w:rsidRDefault="00000000">
            <w:pPr>
              <w:spacing w:after="80"/>
            </w:pPr>
            <w:r>
              <w:rPr>
                <w:b/>
                <w:color w:val="001F3F"/>
                <w:sz w:val="21"/>
              </w:rPr>
              <w:t>Analyst interpretation</w:t>
            </w:r>
          </w:p>
          <w:p w14:paraId="71B30700" w14:textId="77777777" w:rsidR="00941CF4" w:rsidRDefault="00000000">
            <w:pPr>
              <w:spacing w:after="0"/>
            </w:pPr>
            <w:r>
              <w:rPr>
                <w:sz w:val="19"/>
              </w:rPr>
              <w:t>The high-value risk matrix identifies which premium customers require urgent intervention. Critical and weak tiers remain risky even among financially valuable segments.</w:t>
            </w:r>
          </w:p>
        </w:tc>
      </w:tr>
    </w:tbl>
    <w:p w14:paraId="0760DD74" w14:textId="77777777" w:rsidR="00941CF4" w:rsidRDefault="00941CF4"/>
    <w:p w14:paraId="2A1C522E" w14:textId="77777777" w:rsidR="00941CF4" w:rsidRDefault="00000000">
      <w:r>
        <w:br w:type="page"/>
      </w:r>
    </w:p>
    <w:p w14:paraId="1B897A8A" w14:textId="77777777" w:rsidR="00941CF4" w:rsidRDefault="00000000">
      <w:pPr>
        <w:pStyle w:val="Heading2"/>
      </w:pPr>
      <w:r>
        <w:lastRenderedPageBreak/>
        <w:t>11.4 Retention Strength Scoring Panels</w:t>
      </w:r>
    </w:p>
    <w:p w14:paraId="042ED315" w14:textId="77777777" w:rsidR="00941CF4" w:rsidRDefault="00000000">
      <w:pPr>
        <w:pStyle w:val="BodyText"/>
        <w:jc w:val="both"/>
      </w:pPr>
      <w:r>
        <w:t>The retention scoring module converts engagement, product depth, and relationship indicators into a prioritization framework. The most important result is the clear separation between Critical Retention Risk and Very Strong Retention.</w:t>
      </w:r>
    </w:p>
    <w:p w14:paraId="13648308" w14:textId="77777777" w:rsidR="00941CF4" w:rsidRDefault="00000000">
      <w:pPr>
        <w:jc w:val="center"/>
      </w:pPr>
      <w:r>
        <w:rPr>
          <w:noProof/>
        </w:rPr>
        <w:drawing>
          <wp:inline distT="0" distB="0" distL="0" distR="0" wp14:anchorId="6195E300" wp14:editId="4E325316">
            <wp:extent cx="6172200" cy="2890882"/>
            <wp:effectExtent l="0" t="0" r="0" b="0"/>
            <wp:docPr id="19" name="Picture 19" descr="Image: 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2).png"/>
                    <pic:cNvPicPr/>
                  </pic:nvPicPr>
                  <pic:blipFill>
                    <a:blip r:embed="rId24"/>
                    <a:stretch>
                      <a:fillRect/>
                    </a:stretch>
                  </pic:blipFill>
                  <pic:spPr>
                    <a:xfrm>
                      <a:off x="0" y="0"/>
                      <a:ext cx="6172200" cy="2890882"/>
                    </a:xfrm>
                    <a:prstGeom prst="rect">
                      <a:avLst/>
                    </a:prstGeom>
                  </pic:spPr>
                </pic:pic>
              </a:graphicData>
            </a:graphic>
          </wp:inline>
        </w:drawing>
      </w:r>
    </w:p>
    <w:p w14:paraId="12037871" w14:textId="77777777" w:rsidR="00941CF4" w:rsidRDefault="00000000">
      <w:pPr>
        <w:spacing w:before="40" w:after="80"/>
        <w:jc w:val="center"/>
      </w:pPr>
      <w:r>
        <w:rPr>
          <w:i/>
          <w:color w:val="596579"/>
          <w:sz w:val="17"/>
        </w:rPr>
        <w:t>Figure 19. Retention Strength Score Distribution.</w:t>
      </w:r>
    </w:p>
    <w:tbl>
      <w:tblPr>
        <w:tblW w:w="0" w:type="auto"/>
        <w:jc w:val="center"/>
        <w:tblLook w:val="04A0" w:firstRow="1" w:lastRow="0" w:firstColumn="1" w:lastColumn="0" w:noHBand="0" w:noVBand="1"/>
      </w:tblPr>
      <w:tblGrid>
        <w:gridCol w:w="10656"/>
      </w:tblGrid>
      <w:tr w:rsidR="00941CF4" w14:paraId="004C9123"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F8FBFF"/>
          </w:tcPr>
          <w:p w14:paraId="2A3032D0" w14:textId="77777777" w:rsidR="00941CF4" w:rsidRDefault="00000000">
            <w:pPr>
              <w:spacing w:after="80"/>
            </w:pPr>
            <w:r>
              <w:rPr>
                <w:b/>
                <w:color w:val="001F3F"/>
                <w:sz w:val="21"/>
              </w:rPr>
              <w:t>Analyst interpretation</w:t>
            </w:r>
          </w:p>
          <w:p w14:paraId="161A0C0A" w14:textId="77777777" w:rsidR="00941CF4" w:rsidRDefault="00000000">
            <w:pPr>
              <w:spacing w:after="0"/>
            </w:pPr>
            <w:r>
              <w:rPr>
                <w:sz w:val="19"/>
              </w:rPr>
              <w:t>The distribution shows how customers are spread across risk and strength ranges, providing a campaign-prioritization view instead of a single churn percentage.</w:t>
            </w:r>
          </w:p>
        </w:tc>
      </w:tr>
    </w:tbl>
    <w:p w14:paraId="1468935B" w14:textId="77777777" w:rsidR="00941CF4" w:rsidRDefault="00941CF4"/>
    <w:p w14:paraId="0AE9C0E9" w14:textId="77777777" w:rsidR="00941CF4" w:rsidRDefault="00000000">
      <w:pPr>
        <w:jc w:val="center"/>
      </w:pPr>
      <w:r>
        <w:rPr>
          <w:noProof/>
        </w:rPr>
        <w:drawing>
          <wp:inline distT="0" distB="0" distL="0" distR="0" wp14:anchorId="7BAA55E5" wp14:editId="50AE2967">
            <wp:extent cx="6172200" cy="2623289"/>
            <wp:effectExtent l="0" t="0" r="0" b="0"/>
            <wp:docPr id="20" name="Picture 20" descr="Image: 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2).png"/>
                    <pic:cNvPicPr/>
                  </pic:nvPicPr>
                  <pic:blipFill>
                    <a:blip r:embed="rId25"/>
                    <a:stretch>
                      <a:fillRect/>
                    </a:stretch>
                  </pic:blipFill>
                  <pic:spPr>
                    <a:xfrm>
                      <a:off x="0" y="0"/>
                      <a:ext cx="6172200" cy="2623289"/>
                    </a:xfrm>
                    <a:prstGeom prst="rect">
                      <a:avLst/>
                    </a:prstGeom>
                  </pic:spPr>
                </pic:pic>
              </a:graphicData>
            </a:graphic>
          </wp:inline>
        </w:drawing>
      </w:r>
    </w:p>
    <w:p w14:paraId="449A6AFD" w14:textId="77777777" w:rsidR="00941CF4" w:rsidRDefault="00000000">
      <w:pPr>
        <w:spacing w:before="40" w:after="80"/>
        <w:jc w:val="center"/>
      </w:pPr>
      <w:r>
        <w:rPr>
          <w:i/>
          <w:color w:val="596579"/>
          <w:sz w:val="17"/>
        </w:rPr>
        <w:t>Figure 20. Relationship Strength Distribution by Retention Tier.</w:t>
      </w:r>
    </w:p>
    <w:tbl>
      <w:tblPr>
        <w:tblW w:w="0" w:type="auto"/>
        <w:jc w:val="center"/>
        <w:tblLook w:val="04A0" w:firstRow="1" w:lastRow="0" w:firstColumn="1" w:lastColumn="0" w:noHBand="0" w:noVBand="1"/>
      </w:tblPr>
      <w:tblGrid>
        <w:gridCol w:w="10656"/>
      </w:tblGrid>
      <w:tr w:rsidR="00941CF4" w14:paraId="64B9D112"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F8FBFF"/>
          </w:tcPr>
          <w:p w14:paraId="73074EB8" w14:textId="77777777" w:rsidR="00941CF4" w:rsidRDefault="00000000">
            <w:pPr>
              <w:spacing w:after="80"/>
            </w:pPr>
            <w:r>
              <w:rPr>
                <w:b/>
                <w:color w:val="001F3F"/>
                <w:sz w:val="21"/>
              </w:rPr>
              <w:t>Analyst interpretation</w:t>
            </w:r>
          </w:p>
          <w:p w14:paraId="7A63E0F3" w14:textId="77777777" w:rsidR="00941CF4" w:rsidRDefault="00000000">
            <w:pPr>
              <w:spacing w:after="0"/>
            </w:pPr>
            <w:r>
              <w:rPr>
                <w:sz w:val="19"/>
              </w:rPr>
              <w:t>Relationship strength rises across retention tiers, confirming that stronger relationship quality aligns with lower churn risk.</w:t>
            </w:r>
          </w:p>
        </w:tc>
      </w:tr>
    </w:tbl>
    <w:p w14:paraId="4796970D" w14:textId="77777777" w:rsidR="00941CF4" w:rsidRDefault="00941CF4"/>
    <w:p w14:paraId="772D9CB2" w14:textId="77777777" w:rsidR="00941CF4" w:rsidRDefault="00000000">
      <w:pPr>
        <w:pStyle w:val="BodyText"/>
        <w:jc w:val="both"/>
      </w:pPr>
      <w:r>
        <w:lastRenderedPageBreak/>
        <w:t>The relationship strength vs retention strength map shows a clear positive pattern between relationship strength index and retention strength score. Churned customers appear across the map, but stronger relationship and retention scores are associated with better retention outcomes.</w:t>
      </w:r>
    </w:p>
    <w:p w14:paraId="2BE143BD" w14:textId="77777777" w:rsidR="00941CF4" w:rsidRDefault="00000000">
      <w:pPr>
        <w:jc w:val="center"/>
      </w:pPr>
      <w:r>
        <w:rPr>
          <w:noProof/>
        </w:rPr>
        <w:drawing>
          <wp:inline distT="0" distB="0" distL="0" distR="0" wp14:anchorId="44772DF5" wp14:editId="2B2AEC2B">
            <wp:extent cx="6172200" cy="2779782"/>
            <wp:effectExtent l="0" t="0" r="0" b="0"/>
            <wp:docPr id="21" name="Picture 21" descr="Image: 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2).png"/>
                    <pic:cNvPicPr/>
                  </pic:nvPicPr>
                  <pic:blipFill>
                    <a:blip r:embed="rId26"/>
                    <a:stretch>
                      <a:fillRect/>
                    </a:stretch>
                  </pic:blipFill>
                  <pic:spPr>
                    <a:xfrm>
                      <a:off x="0" y="0"/>
                      <a:ext cx="6172200" cy="2779782"/>
                    </a:xfrm>
                    <a:prstGeom prst="rect">
                      <a:avLst/>
                    </a:prstGeom>
                  </pic:spPr>
                </pic:pic>
              </a:graphicData>
            </a:graphic>
          </wp:inline>
        </w:drawing>
      </w:r>
    </w:p>
    <w:p w14:paraId="7BF072DD" w14:textId="77777777" w:rsidR="00941CF4" w:rsidRDefault="00000000">
      <w:pPr>
        <w:spacing w:before="40" w:after="80"/>
        <w:jc w:val="center"/>
      </w:pPr>
      <w:r>
        <w:rPr>
          <w:i/>
          <w:color w:val="596579"/>
          <w:sz w:val="17"/>
        </w:rPr>
        <w:t>Figure 21. Relationship Strength vs Retention Strength Map.</w:t>
      </w:r>
    </w:p>
    <w:tbl>
      <w:tblPr>
        <w:tblW w:w="0" w:type="auto"/>
        <w:jc w:val="center"/>
        <w:tblLook w:val="04A0" w:firstRow="1" w:lastRow="0" w:firstColumn="1" w:lastColumn="0" w:noHBand="0" w:noVBand="1"/>
      </w:tblPr>
      <w:tblGrid>
        <w:gridCol w:w="10656"/>
      </w:tblGrid>
      <w:tr w:rsidR="00941CF4" w14:paraId="2EEE4016"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F8FBFF"/>
          </w:tcPr>
          <w:p w14:paraId="527373E2" w14:textId="77777777" w:rsidR="00941CF4" w:rsidRDefault="00000000">
            <w:pPr>
              <w:spacing w:after="80"/>
            </w:pPr>
            <w:r>
              <w:rPr>
                <w:b/>
                <w:color w:val="001F3F"/>
                <w:sz w:val="21"/>
              </w:rPr>
              <w:t>Analyst interpretation</w:t>
            </w:r>
          </w:p>
          <w:p w14:paraId="323178A6" w14:textId="77777777" w:rsidR="00941CF4" w:rsidRDefault="00000000">
            <w:pPr>
              <w:spacing w:after="0"/>
            </w:pPr>
            <w:r>
              <w:rPr>
                <w:sz w:val="19"/>
              </w:rPr>
              <w:t>The scatter map supports a score-based retention strategy: stronger relationship strength should be actively maintained, while low-score customers should receive targeted recovery actions.</w:t>
            </w:r>
          </w:p>
        </w:tc>
      </w:tr>
    </w:tbl>
    <w:p w14:paraId="051D6649" w14:textId="77777777" w:rsidR="00941CF4" w:rsidRDefault="00941CF4"/>
    <w:p w14:paraId="53E9AD46" w14:textId="77777777" w:rsidR="00941CF4" w:rsidRDefault="00000000">
      <w:pPr>
        <w:jc w:val="center"/>
      </w:pPr>
      <w:r>
        <w:rPr>
          <w:noProof/>
        </w:rPr>
        <w:drawing>
          <wp:inline distT="0" distB="0" distL="0" distR="0" wp14:anchorId="28B2F122" wp14:editId="73D97213">
            <wp:extent cx="6172200" cy="2448685"/>
            <wp:effectExtent l="0" t="0" r="0" b="0"/>
            <wp:docPr id="22" name="Picture 22" descr="Image: 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2).png"/>
                    <pic:cNvPicPr/>
                  </pic:nvPicPr>
                  <pic:blipFill>
                    <a:blip r:embed="rId27"/>
                    <a:stretch>
                      <a:fillRect/>
                    </a:stretch>
                  </pic:blipFill>
                  <pic:spPr>
                    <a:xfrm>
                      <a:off x="0" y="0"/>
                      <a:ext cx="6172200" cy="2448685"/>
                    </a:xfrm>
                    <a:prstGeom prst="rect">
                      <a:avLst/>
                    </a:prstGeom>
                  </pic:spPr>
                </pic:pic>
              </a:graphicData>
            </a:graphic>
          </wp:inline>
        </w:drawing>
      </w:r>
    </w:p>
    <w:p w14:paraId="46A93D75" w14:textId="77777777" w:rsidR="00941CF4" w:rsidRDefault="00000000">
      <w:pPr>
        <w:spacing w:before="40" w:after="80"/>
        <w:jc w:val="center"/>
      </w:pPr>
      <w:r>
        <w:rPr>
          <w:i/>
          <w:color w:val="596579"/>
          <w:sz w:val="17"/>
        </w:rPr>
        <w:t>Figure 22. Retention Tier Churn Risk Ranking.</w:t>
      </w:r>
    </w:p>
    <w:tbl>
      <w:tblPr>
        <w:tblW w:w="0" w:type="auto"/>
        <w:jc w:val="center"/>
        <w:tblLook w:val="04A0" w:firstRow="1" w:lastRow="0" w:firstColumn="1" w:lastColumn="0" w:noHBand="0" w:noVBand="1"/>
      </w:tblPr>
      <w:tblGrid>
        <w:gridCol w:w="10656"/>
      </w:tblGrid>
      <w:tr w:rsidR="00941CF4" w14:paraId="2E8738A3"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F8FBFF"/>
          </w:tcPr>
          <w:p w14:paraId="65A781FA" w14:textId="77777777" w:rsidR="00941CF4" w:rsidRDefault="00000000">
            <w:pPr>
              <w:spacing w:after="80"/>
            </w:pPr>
            <w:r>
              <w:rPr>
                <w:b/>
                <w:color w:val="001F3F"/>
                <w:sz w:val="21"/>
              </w:rPr>
              <w:t>Analyst interpretation</w:t>
            </w:r>
          </w:p>
          <w:p w14:paraId="663230CE" w14:textId="77777777" w:rsidR="00941CF4" w:rsidRDefault="00000000">
            <w:pPr>
              <w:spacing w:after="0"/>
            </w:pPr>
            <w:r>
              <w:rPr>
                <w:sz w:val="19"/>
              </w:rPr>
              <w:t>Churn risk falls from 69.0% in Critical Retention Risk to 0.0% in Very Strong Retention, proving that retention tiers separate risk meaningfully.</w:t>
            </w:r>
          </w:p>
        </w:tc>
      </w:tr>
    </w:tbl>
    <w:p w14:paraId="14948AFA" w14:textId="77777777" w:rsidR="00941CF4" w:rsidRDefault="00941CF4"/>
    <w:p w14:paraId="21A4506B" w14:textId="77777777" w:rsidR="00941CF4" w:rsidRDefault="00000000">
      <w:r>
        <w:br w:type="page"/>
      </w:r>
    </w:p>
    <w:p w14:paraId="37ADEA2B" w14:textId="77777777" w:rsidR="00941CF4" w:rsidRDefault="00000000">
      <w:pPr>
        <w:pStyle w:val="Heading1"/>
      </w:pPr>
      <w:r>
        <w:lastRenderedPageBreak/>
        <w:t>12. Findings and Insights</w:t>
      </w:r>
    </w:p>
    <w:p w14:paraId="25FD5089" w14:textId="77777777" w:rsidR="00941CF4" w:rsidRDefault="00000000">
      <w:pPr>
        <w:pStyle w:val="BodyText"/>
        <w:jc w:val="both"/>
      </w:pPr>
      <w:r>
        <w:t>The dashboard evidence supports seven major findings. These findings should guide retention strategy design, customer prioritization, cross-sell planning, and premium-customer recovery actions.</w:t>
      </w:r>
    </w:p>
    <w:tbl>
      <w:tblPr>
        <w:tblW w:w="0" w:type="auto"/>
        <w:jc w:val="center"/>
        <w:tblLook w:val="04A0" w:firstRow="1" w:lastRow="0" w:firstColumn="1" w:lastColumn="0" w:noHBand="0" w:noVBand="1"/>
      </w:tblPr>
      <w:tblGrid>
        <w:gridCol w:w="2160"/>
        <w:gridCol w:w="2592"/>
        <w:gridCol w:w="2592"/>
        <w:gridCol w:w="3024"/>
      </w:tblGrid>
      <w:tr w:rsidR="00941CF4" w14:paraId="45C682B5" w14:textId="77777777">
        <w:trPr>
          <w:tblHeader/>
          <w:jc w:val="center"/>
        </w:trPr>
        <w:tc>
          <w:tcPr>
            <w:tcW w:w="2160"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0207543E" w14:textId="77777777" w:rsidR="00941CF4" w:rsidRDefault="00000000">
            <w:pPr>
              <w:spacing w:after="0"/>
            </w:pPr>
            <w:r>
              <w:rPr>
                <w:b/>
                <w:color w:val="FFFFFF"/>
                <w:sz w:val="17"/>
              </w:rPr>
              <w:t>Finding</w:t>
            </w:r>
          </w:p>
        </w:tc>
        <w:tc>
          <w:tcPr>
            <w:tcW w:w="2592"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6E377209" w14:textId="77777777" w:rsidR="00941CF4" w:rsidRDefault="00000000">
            <w:pPr>
              <w:spacing w:after="0"/>
            </w:pPr>
            <w:r>
              <w:rPr>
                <w:b/>
                <w:color w:val="FFFFFF"/>
                <w:sz w:val="17"/>
              </w:rPr>
              <w:t>Evidence</w:t>
            </w:r>
          </w:p>
        </w:tc>
        <w:tc>
          <w:tcPr>
            <w:tcW w:w="2592"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601EC738" w14:textId="77777777" w:rsidR="00941CF4" w:rsidRDefault="00000000">
            <w:pPr>
              <w:spacing w:after="0"/>
            </w:pPr>
            <w:r>
              <w:rPr>
                <w:b/>
                <w:color w:val="FFFFFF"/>
                <w:sz w:val="17"/>
              </w:rPr>
              <w:t>Insight</w:t>
            </w:r>
          </w:p>
        </w:tc>
        <w:tc>
          <w:tcPr>
            <w:tcW w:w="3024"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17CD9B2B" w14:textId="77777777" w:rsidR="00941CF4" w:rsidRDefault="00000000">
            <w:pPr>
              <w:spacing w:after="0"/>
            </w:pPr>
            <w:r>
              <w:rPr>
                <w:b/>
                <w:color w:val="FFFFFF"/>
                <w:sz w:val="17"/>
              </w:rPr>
              <w:t>Business Meaning</w:t>
            </w:r>
          </w:p>
        </w:tc>
      </w:tr>
      <w:tr w:rsidR="00941CF4" w14:paraId="1B3AC2E8" w14:textId="77777777">
        <w:trPr>
          <w:jc w:val="center"/>
        </w:trPr>
        <w:tc>
          <w:tcPr>
            <w:tcW w:w="2160" w:type="dxa"/>
            <w:shd w:val="clear" w:color="auto" w:fill="FFFFFF"/>
          </w:tcPr>
          <w:p w14:paraId="6B913B88" w14:textId="77777777" w:rsidR="00941CF4" w:rsidRDefault="00000000">
            <w:pPr>
              <w:spacing w:after="0"/>
            </w:pPr>
            <w:r>
              <w:rPr>
                <w:sz w:val="16"/>
              </w:rPr>
              <w:t>Engagement matters</w:t>
            </w:r>
          </w:p>
        </w:tc>
        <w:tc>
          <w:tcPr>
            <w:tcW w:w="2592" w:type="dxa"/>
            <w:shd w:val="clear" w:color="auto" w:fill="FFFFFF"/>
          </w:tcPr>
          <w:p w14:paraId="3DA5D22F" w14:textId="77777777" w:rsidR="00941CF4" w:rsidRDefault="00000000">
            <w:pPr>
              <w:spacing w:after="0"/>
            </w:pPr>
            <w:r>
              <w:rPr>
                <w:sz w:val="16"/>
              </w:rPr>
              <w:t>Inactive Members contribute 63.9% of churn</w:t>
            </w:r>
          </w:p>
        </w:tc>
        <w:tc>
          <w:tcPr>
            <w:tcW w:w="2592" w:type="dxa"/>
            <w:shd w:val="clear" w:color="auto" w:fill="FFFFFF"/>
          </w:tcPr>
          <w:p w14:paraId="1D7D1FA1" w14:textId="77777777" w:rsidR="00941CF4" w:rsidRDefault="00000000">
            <w:pPr>
              <w:spacing w:after="0"/>
            </w:pPr>
            <w:r>
              <w:rPr>
                <w:sz w:val="16"/>
              </w:rPr>
              <w:t>Inactive customers are the largest churn contributors.</w:t>
            </w:r>
          </w:p>
        </w:tc>
        <w:tc>
          <w:tcPr>
            <w:tcW w:w="3024" w:type="dxa"/>
            <w:shd w:val="clear" w:color="auto" w:fill="FFFFFF"/>
          </w:tcPr>
          <w:p w14:paraId="6433330F" w14:textId="77777777" w:rsidR="00941CF4" w:rsidRDefault="00000000">
            <w:pPr>
              <w:spacing w:after="0"/>
            </w:pPr>
            <w:r>
              <w:rPr>
                <w:sz w:val="16"/>
              </w:rPr>
              <w:t>Reactivation should be a first-priority retention campaign.</w:t>
            </w:r>
          </w:p>
        </w:tc>
      </w:tr>
      <w:tr w:rsidR="00941CF4" w14:paraId="0531704B" w14:textId="77777777">
        <w:trPr>
          <w:jc w:val="center"/>
        </w:trPr>
        <w:tc>
          <w:tcPr>
            <w:tcW w:w="2160" w:type="dxa"/>
            <w:shd w:val="clear" w:color="auto" w:fill="F5F7FA"/>
          </w:tcPr>
          <w:p w14:paraId="38540CCF" w14:textId="77777777" w:rsidR="00941CF4" w:rsidRDefault="00000000">
            <w:pPr>
              <w:spacing w:after="0"/>
            </w:pPr>
            <w:r>
              <w:rPr>
                <w:sz w:val="16"/>
              </w:rPr>
              <w:t>Active customers retain better</w:t>
            </w:r>
          </w:p>
        </w:tc>
        <w:tc>
          <w:tcPr>
            <w:tcW w:w="2592" w:type="dxa"/>
            <w:shd w:val="clear" w:color="auto" w:fill="F5F7FA"/>
          </w:tcPr>
          <w:p w14:paraId="0B7C2277" w14:textId="77777777" w:rsidR="00941CF4" w:rsidRDefault="00000000">
            <w:pPr>
              <w:spacing w:after="0"/>
            </w:pPr>
            <w:r>
              <w:rPr>
                <w:sz w:val="16"/>
              </w:rPr>
              <w:t>Active Member retained rate 85.73%; retention gap 12.58 pp</w:t>
            </w:r>
          </w:p>
        </w:tc>
        <w:tc>
          <w:tcPr>
            <w:tcW w:w="2592" w:type="dxa"/>
            <w:shd w:val="clear" w:color="auto" w:fill="F5F7FA"/>
          </w:tcPr>
          <w:p w14:paraId="3442EAB9" w14:textId="77777777" w:rsidR="00941CF4" w:rsidRDefault="00000000">
            <w:pPr>
              <w:spacing w:after="0"/>
            </w:pPr>
            <w:r>
              <w:rPr>
                <w:sz w:val="16"/>
              </w:rPr>
              <w:t>Active membership is linked with stronger loyalty.</w:t>
            </w:r>
          </w:p>
        </w:tc>
        <w:tc>
          <w:tcPr>
            <w:tcW w:w="3024" w:type="dxa"/>
            <w:shd w:val="clear" w:color="auto" w:fill="F5F7FA"/>
          </w:tcPr>
          <w:p w14:paraId="06339D97" w14:textId="77777777" w:rsidR="00941CF4" w:rsidRDefault="00000000">
            <w:pPr>
              <w:spacing w:after="0"/>
            </w:pPr>
            <w:r>
              <w:rPr>
                <w:sz w:val="16"/>
              </w:rPr>
              <w:t>Engagement programs can support retention quality.</w:t>
            </w:r>
          </w:p>
        </w:tc>
      </w:tr>
      <w:tr w:rsidR="00941CF4" w14:paraId="7E6FE806" w14:textId="77777777">
        <w:trPr>
          <w:jc w:val="center"/>
        </w:trPr>
        <w:tc>
          <w:tcPr>
            <w:tcW w:w="2160" w:type="dxa"/>
            <w:shd w:val="clear" w:color="auto" w:fill="FFFFFF"/>
          </w:tcPr>
          <w:p w14:paraId="54AD96D5" w14:textId="77777777" w:rsidR="00941CF4" w:rsidRDefault="00000000">
            <w:pPr>
              <w:spacing w:after="0"/>
            </w:pPr>
            <w:r>
              <w:rPr>
                <w:sz w:val="16"/>
              </w:rPr>
              <w:t>Product depth has an optimal zone</w:t>
            </w:r>
          </w:p>
        </w:tc>
        <w:tc>
          <w:tcPr>
            <w:tcW w:w="2592" w:type="dxa"/>
            <w:shd w:val="clear" w:color="auto" w:fill="FFFFFF"/>
          </w:tcPr>
          <w:p w14:paraId="22803BF4" w14:textId="77777777" w:rsidR="00941CF4" w:rsidRDefault="00000000">
            <w:pPr>
              <w:spacing w:after="0"/>
            </w:pPr>
            <w:r>
              <w:rPr>
                <w:sz w:val="16"/>
              </w:rPr>
              <w:t>2 products show 92.42% retention</w:t>
            </w:r>
          </w:p>
        </w:tc>
        <w:tc>
          <w:tcPr>
            <w:tcW w:w="2592" w:type="dxa"/>
            <w:shd w:val="clear" w:color="auto" w:fill="FFFFFF"/>
          </w:tcPr>
          <w:p w14:paraId="2C88B990" w14:textId="77777777" w:rsidR="00941CF4" w:rsidRDefault="00000000">
            <w:pPr>
              <w:spacing w:after="0"/>
            </w:pPr>
            <w:r>
              <w:rPr>
                <w:sz w:val="16"/>
              </w:rPr>
              <w:t>Cross-sell is most valuable when it creates useful relationship depth.</w:t>
            </w:r>
          </w:p>
        </w:tc>
        <w:tc>
          <w:tcPr>
            <w:tcW w:w="3024" w:type="dxa"/>
            <w:shd w:val="clear" w:color="auto" w:fill="FFFFFF"/>
          </w:tcPr>
          <w:p w14:paraId="14438C74" w14:textId="77777777" w:rsidR="00941CF4" w:rsidRDefault="00000000">
            <w:pPr>
              <w:spacing w:after="0"/>
            </w:pPr>
            <w:r>
              <w:rPr>
                <w:sz w:val="16"/>
              </w:rPr>
              <w:t>Product bundling should target two-product pathways.</w:t>
            </w:r>
          </w:p>
        </w:tc>
      </w:tr>
      <w:tr w:rsidR="00941CF4" w14:paraId="4B4F9866" w14:textId="77777777">
        <w:trPr>
          <w:jc w:val="center"/>
        </w:trPr>
        <w:tc>
          <w:tcPr>
            <w:tcW w:w="2160" w:type="dxa"/>
            <w:shd w:val="clear" w:color="auto" w:fill="F5F7FA"/>
          </w:tcPr>
          <w:p w14:paraId="26251CA0" w14:textId="77777777" w:rsidR="00941CF4" w:rsidRDefault="00000000">
            <w:pPr>
              <w:spacing w:after="0"/>
            </w:pPr>
            <w:r>
              <w:rPr>
                <w:sz w:val="16"/>
              </w:rPr>
              <w:t>Single-product customers are vulnerable</w:t>
            </w:r>
          </w:p>
        </w:tc>
        <w:tc>
          <w:tcPr>
            <w:tcW w:w="2592" w:type="dxa"/>
            <w:shd w:val="clear" w:color="auto" w:fill="F5F7FA"/>
          </w:tcPr>
          <w:p w14:paraId="78C7F612" w14:textId="77777777" w:rsidR="00941CF4" w:rsidRDefault="00000000">
            <w:pPr>
              <w:spacing w:after="0"/>
            </w:pPr>
            <w:r>
              <w:rPr>
                <w:sz w:val="16"/>
              </w:rPr>
              <w:t>Single-product churn rate 27.71%</w:t>
            </w:r>
          </w:p>
        </w:tc>
        <w:tc>
          <w:tcPr>
            <w:tcW w:w="2592" w:type="dxa"/>
            <w:shd w:val="clear" w:color="auto" w:fill="F5F7FA"/>
          </w:tcPr>
          <w:p w14:paraId="2A38097A" w14:textId="77777777" w:rsidR="00941CF4" w:rsidRDefault="00000000">
            <w:pPr>
              <w:spacing w:after="0"/>
            </w:pPr>
            <w:r>
              <w:rPr>
                <w:sz w:val="16"/>
              </w:rPr>
              <w:t>Shallow relationships carry higher churn exposure.</w:t>
            </w:r>
          </w:p>
        </w:tc>
        <w:tc>
          <w:tcPr>
            <w:tcW w:w="3024" w:type="dxa"/>
            <w:shd w:val="clear" w:color="auto" w:fill="F5F7FA"/>
          </w:tcPr>
          <w:p w14:paraId="42D04764" w14:textId="77777777" w:rsidR="00941CF4" w:rsidRDefault="00000000">
            <w:pPr>
              <w:spacing w:after="0"/>
            </w:pPr>
            <w:r>
              <w:rPr>
                <w:sz w:val="16"/>
              </w:rPr>
              <w:t>Single-product customers need bundled offers and engagement nudges.</w:t>
            </w:r>
          </w:p>
        </w:tc>
      </w:tr>
      <w:tr w:rsidR="00941CF4" w14:paraId="6FF009A1" w14:textId="77777777">
        <w:trPr>
          <w:jc w:val="center"/>
        </w:trPr>
        <w:tc>
          <w:tcPr>
            <w:tcW w:w="2160" w:type="dxa"/>
            <w:shd w:val="clear" w:color="auto" w:fill="FFFFFF"/>
          </w:tcPr>
          <w:p w14:paraId="47966F6D" w14:textId="77777777" w:rsidR="00941CF4" w:rsidRDefault="00000000">
            <w:pPr>
              <w:spacing w:after="0"/>
            </w:pPr>
            <w:r>
              <w:rPr>
                <w:sz w:val="16"/>
              </w:rPr>
              <w:t>High-value disengagement is serious</w:t>
            </w:r>
          </w:p>
        </w:tc>
        <w:tc>
          <w:tcPr>
            <w:tcW w:w="2592" w:type="dxa"/>
            <w:shd w:val="clear" w:color="auto" w:fill="FFFFFF"/>
          </w:tcPr>
          <w:p w14:paraId="713D716D" w14:textId="77777777" w:rsidR="00941CF4" w:rsidRDefault="00000000">
            <w:pPr>
              <w:spacing w:after="0"/>
            </w:pPr>
            <w:r>
              <w:rPr>
                <w:sz w:val="16"/>
              </w:rPr>
              <w:t>2,154 high-value disengaged customers; 49.51% rate</w:t>
            </w:r>
          </w:p>
        </w:tc>
        <w:tc>
          <w:tcPr>
            <w:tcW w:w="2592" w:type="dxa"/>
            <w:shd w:val="clear" w:color="auto" w:fill="FFFFFF"/>
          </w:tcPr>
          <w:p w14:paraId="5D3551B7" w14:textId="77777777" w:rsidR="00941CF4" w:rsidRDefault="00000000">
            <w:pPr>
              <w:spacing w:after="0"/>
            </w:pPr>
            <w:r>
              <w:rPr>
                <w:sz w:val="16"/>
              </w:rPr>
              <w:t>Financial value does not guarantee loyalty.</w:t>
            </w:r>
          </w:p>
        </w:tc>
        <w:tc>
          <w:tcPr>
            <w:tcW w:w="3024" w:type="dxa"/>
            <w:shd w:val="clear" w:color="auto" w:fill="FFFFFF"/>
          </w:tcPr>
          <w:p w14:paraId="618CC1B4" w14:textId="77777777" w:rsidR="00941CF4" w:rsidRDefault="00000000">
            <w:pPr>
              <w:spacing w:after="0"/>
            </w:pPr>
            <w:r>
              <w:rPr>
                <w:sz w:val="16"/>
              </w:rPr>
              <w:t>Premium recovery programs should prioritize disengaged high-value customers.</w:t>
            </w:r>
          </w:p>
        </w:tc>
      </w:tr>
      <w:tr w:rsidR="00941CF4" w14:paraId="58B9991C" w14:textId="77777777">
        <w:trPr>
          <w:jc w:val="center"/>
        </w:trPr>
        <w:tc>
          <w:tcPr>
            <w:tcW w:w="2160" w:type="dxa"/>
            <w:shd w:val="clear" w:color="auto" w:fill="F5F7FA"/>
          </w:tcPr>
          <w:p w14:paraId="66AE4D43" w14:textId="77777777" w:rsidR="00941CF4" w:rsidRDefault="00000000">
            <w:pPr>
              <w:spacing w:after="0"/>
            </w:pPr>
            <w:r>
              <w:rPr>
                <w:sz w:val="16"/>
              </w:rPr>
              <w:t>Balance exposure is large</w:t>
            </w:r>
          </w:p>
        </w:tc>
        <w:tc>
          <w:tcPr>
            <w:tcW w:w="2592" w:type="dxa"/>
            <w:shd w:val="clear" w:color="auto" w:fill="F5F7FA"/>
          </w:tcPr>
          <w:p w14:paraId="47D6F335" w14:textId="77777777" w:rsidR="00941CF4" w:rsidRDefault="00000000">
            <w:pPr>
              <w:spacing w:after="0"/>
            </w:pPr>
            <w:r>
              <w:rPr>
                <w:sz w:val="16"/>
              </w:rPr>
              <w:t>232,942,972 balance at risk</w:t>
            </w:r>
          </w:p>
        </w:tc>
        <w:tc>
          <w:tcPr>
            <w:tcW w:w="2592" w:type="dxa"/>
            <w:shd w:val="clear" w:color="auto" w:fill="F5F7FA"/>
          </w:tcPr>
          <w:p w14:paraId="1C3D195D" w14:textId="77777777" w:rsidR="00941CF4" w:rsidRDefault="00000000">
            <w:pPr>
              <w:spacing w:after="0"/>
            </w:pPr>
            <w:r>
              <w:rPr>
                <w:sz w:val="16"/>
              </w:rPr>
              <w:t>Silent churn can affect valuable balances.</w:t>
            </w:r>
          </w:p>
        </w:tc>
        <w:tc>
          <w:tcPr>
            <w:tcW w:w="3024" w:type="dxa"/>
            <w:shd w:val="clear" w:color="auto" w:fill="F5F7FA"/>
          </w:tcPr>
          <w:p w14:paraId="6F02C7D8" w14:textId="77777777" w:rsidR="00941CF4" w:rsidRDefault="00000000">
            <w:pPr>
              <w:spacing w:after="0"/>
            </w:pPr>
            <w:r>
              <w:rPr>
                <w:sz w:val="16"/>
              </w:rPr>
              <w:t>High-value outreach should be linked to relationship managers.</w:t>
            </w:r>
          </w:p>
        </w:tc>
      </w:tr>
      <w:tr w:rsidR="00941CF4" w14:paraId="65BA45A7" w14:textId="77777777">
        <w:trPr>
          <w:jc w:val="center"/>
        </w:trPr>
        <w:tc>
          <w:tcPr>
            <w:tcW w:w="2160" w:type="dxa"/>
            <w:shd w:val="clear" w:color="auto" w:fill="FFFFFF"/>
          </w:tcPr>
          <w:p w14:paraId="6333B9E3" w14:textId="77777777" w:rsidR="00941CF4" w:rsidRDefault="00000000">
            <w:pPr>
              <w:spacing w:after="0"/>
            </w:pPr>
            <w:r>
              <w:rPr>
                <w:sz w:val="16"/>
              </w:rPr>
              <w:t>Retention scoring works</w:t>
            </w:r>
          </w:p>
        </w:tc>
        <w:tc>
          <w:tcPr>
            <w:tcW w:w="2592" w:type="dxa"/>
            <w:shd w:val="clear" w:color="auto" w:fill="FFFFFF"/>
          </w:tcPr>
          <w:p w14:paraId="526F16D3" w14:textId="77777777" w:rsidR="00941CF4" w:rsidRDefault="00000000">
            <w:pPr>
              <w:spacing w:after="0"/>
            </w:pPr>
            <w:r>
              <w:rPr>
                <w:sz w:val="16"/>
              </w:rPr>
              <w:t>Critical tier churn 69.0%; Very Strong tier 0.0%</w:t>
            </w:r>
          </w:p>
        </w:tc>
        <w:tc>
          <w:tcPr>
            <w:tcW w:w="2592" w:type="dxa"/>
            <w:shd w:val="clear" w:color="auto" w:fill="FFFFFF"/>
          </w:tcPr>
          <w:p w14:paraId="0ACB82EF" w14:textId="77777777" w:rsidR="00941CF4" w:rsidRDefault="00000000">
            <w:pPr>
              <w:spacing w:after="0"/>
            </w:pPr>
            <w:r>
              <w:rPr>
                <w:sz w:val="16"/>
              </w:rPr>
              <w:t>Scoring separates high-risk from sticky customers.</w:t>
            </w:r>
          </w:p>
        </w:tc>
        <w:tc>
          <w:tcPr>
            <w:tcW w:w="3024" w:type="dxa"/>
            <w:shd w:val="clear" w:color="auto" w:fill="FFFFFF"/>
          </w:tcPr>
          <w:p w14:paraId="3C6ABBFA" w14:textId="77777777" w:rsidR="00941CF4" w:rsidRDefault="00000000">
            <w:pPr>
              <w:spacing w:after="0"/>
            </w:pPr>
            <w:r>
              <w:rPr>
                <w:sz w:val="16"/>
              </w:rPr>
              <w:t>Campaign priority should be based on retention tier.</w:t>
            </w:r>
          </w:p>
        </w:tc>
      </w:tr>
    </w:tbl>
    <w:p w14:paraId="360EFDB9" w14:textId="77777777" w:rsidR="00941CF4" w:rsidRDefault="00941CF4"/>
    <w:tbl>
      <w:tblPr>
        <w:tblW w:w="0" w:type="auto"/>
        <w:jc w:val="center"/>
        <w:tblLook w:val="04A0" w:firstRow="1" w:lastRow="0" w:firstColumn="1" w:lastColumn="0" w:noHBand="0" w:noVBand="1"/>
      </w:tblPr>
      <w:tblGrid>
        <w:gridCol w:w="10656"/>
      </w:tblGrid>
      <w:tr w:rsidR="00941CF4" w14:paraId="50E29430"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EAF2FB"/>
          </w:tcPr>
          <w:p w14:paraId="782864D1" w14:textId="77777777" w:rsidR="00941CF4" w:rsidRDefault="00000000">
            <w:pPr>
              <w:spacing w:after="80"/>
            </w:pPr>
            <w:r>
              <w:rPr>
                <w:b/>
                <w:color w:val="001F3F"/>
                <w:sz w:val="21"/>
              </w:rPr>
              <w:t>Synthesis</w:t>
            </w:r>
          </w:p>
          <w:p w14:paraId="40B0921F" w14:textId="77777777" w:rsidR="00941CF4" w:rsidRDefault="00000000">
            <w:pPr>
              <w:spacing w:after="0"/>
            </w:pPr>
            <w:r>
              <w:rPr>
                <w:sz w:val="19"/>
              </w:rPr>
              <w:t>The central insight is that retention strategy should combine engagement status, product depth, value exposure, and scoring. Using any one signal alone can be misleading: high balance can hide disengagement, product count can hide product-load risk, and overall retention can hide critical micro-segments.</w:t>
            </w:r>
          </w:p>
        </w:tc>
      </w:tr>
    </w:tbl>
    <w:p w14:paraId="1F5BE8FB" w14:textId="77777777" w:rsidR="00941CF4" w:rsidRDefault="00941CF4"/>
    <w:p w14:paraId="24059C1C" w14:textId="77777777" w:rsidR="00941CF4" w:rsidRDefault="00000000">
      <w:r>
        <w:br w:type="page"/>
      </w:r>
    </w:p>
    <w:p w14:paraId="0642971F" w14:textId="77777777" w:rsidR="00941CF4" w:rsidRDefault="00000000">
      <w:pPr>
        <w:pStyle w:val="Heading1"/>
      </w:pPr>
      <w:r>
        <w:lastRenderedPageBreak/>
        <w:t>13. Actionable Recommendations</w:t>
      </w:r>
    </w:p>
    <w:p w14:paraId="43AC3589" w14:textId="77777777" w:rsidR="00941CF4" w:rsidRDefault="00000000">
      <w:pPr>
        <w:pStyle w:val="BodyText"/>
        <w:jc w:val="both"/>
      </w:pPr>
      <w:r>
        <w:t>The recommendations translate dashboard evidence into retention strategy actions. The focus is on customer prioritization, reactivation, product bundling, premium relationship recovery, and score-based campaign governance.</w:t>
      </w:r>
    </w:p>
    <w:tbl>
      <w:tblPr>
        <w:tblW w:w="0" w:type="auto"/>
        <w:jc w:val="center"/>
        <w:tblLook w:val="04A0" w:firstRow="1" w:lastRow="0" w:firstColumn="1" w:lastColumn="0" w:noHBand="0" w:noVBand="1"/>
      </w:tblPr>
      <w:tblGrid>
        <w:gridCol w:w="1152"/>
        <w:gridCol w:w="3600"/>
        <w:gridCol w:w="3168"/>
        <w:gridCol w:w="2304"/>
      </w:tblGrid>
      <w:tr w:rsidR="00941CF4" w14:paraId="6AD2ECBB" w14:textId="77777777">
        <w:trPr>
          <w:tblHeader/>
          <w:jc w:val="center"/>
        </w:trPr>
        <w:tc>
          <w:tcPr>
            <w:tcW w:w="1152"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408EA83A" w14:textId="77777777" w:rsidR="00941CF4" w:rsidRDefault="00000000">
            <w:pPr>
              <w:spacing w:after="0"/>
            </w:pPr>
            <w:r>
              <w:rPr>
                <w:b/>
                <w:color w:val="FFFFFF"/>
                <w:sz w:val="17"/>
              </w:rPr>
              <w:t>Priority</w:t>
            </w:r>
          </w:p>
        </w:tc>
        <w:tc>
          <w:tcPr>
            <w:tcW w:w="3600"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3BD8A2A5" w14:textId="77777777" w:rsidR="00941CF4" w:rsidRDefault="00000000">
            <w:pPr>
              <w:spacing w:after="0"/>
            </w:pPr>
            <w:r>
              <w:rPr>
                <w:b/>
                <w:color w:val="FFFFFF"/>
                <w:sz w:val="17"/>
              </w:rPr>
              <w:t>Recommendation</w:t>
            </w:r>
          </w:p>
        </w:tc>
        <w:tc>
          <w:tcPr>
            <w:tcW w:w="3168"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00E46B2A" w14:textId="77777777" w:rsidR="00941CF4" w:rsidRDefault="00000000">
            <w:pPr>
              <w:spacing w:after="0"/>
            </w:pPr>
            <w:r>
              <w:rPr>
                <w:b/>
                <w:color w:val="FFFFFF"/>
                <w:sz w:val="17"/>
              </w:rPr>
              <w:t>Evidence</w:t>
            </w:r>
          </w:p>
        </w:tc>
        <w:tc>
          <w:tcPr>
            <w:tcW w:w="2304"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55EFC7DA" w14:textId="77777777" w:rsidR="00941CF4" w:rsidRDefault="00000000">
            <w:pPr>
              <w:spacing w:after="0"/>
            </w:pPr>
            <w:r>
              <w:rPr>
                <w:b/>
                <w:color w:val="FFFFFF"/>
                <w:sz w:val="17"/>
              </w:rPr>
              <w:t>Target Stakeholder</w:t>
            </w:r>
          </w:p>
        </w:tc>
      </w:tr>
      <w:tr w:rsidR="00941CF4" w14:paraId="10229A5E" w14:textId="77777777">
        <w:trPr>
          <w:jc w:val="center"/>
        </w:trPr>
        <w:tc>
          <w:tcPr>
            <w:tcW w:w="1152" w:type="dxa"/>
            <w:shd w:val="clear" w:color="auto" w:fill="FFFFFF"/>
          </w:tcPr>
          <w:p w14:paraId="38D0B4E0" w14:textId="77777777" w:rsidR="00941CF4" w:rsidRDefault="00000000">
            <w:pPr>
              <w:spacing w:after="0"/>
            </w:pPr>
            <w:r>
              <w:rPr>
                <w:sz w:val="16"/>
              </w:rPr>
              <w:t>High</w:t>
            </w:r>
          </w:p>
        </w:tc>
        <w:tc>
          <w:tcPr>
            <w:tcW w:w="3600" w:type="dxa"/>
            <w:shd w:val="clear" w:color="auto" w:fill="FFFFFF"/>
          </w:tcPr>
          <w:p w14:paraId="39B7C16E" w14:textId="77777777" w:rsidR="00941CF4" w:rsidRDefault="00000000">
            <w:pPr>
              <w:spacing w:after="0"/>
            </w:pPr>
            <w:r>
              <w:rPr>
                <w:sz w:val="16"/>
              </w:rPr>
              <w:t>Launch inactive-member reactivation campaigns using personalized engagement nudges.</w:t>
            </w:r>
          </w:p>
        </w:tc>
        <w:tc>
          <w:tcPr>
            <w:tcW w:w="3168" w:type="dxa"/>
            <w:shd w:val="clear" w:color="auto" w:fill="FFFFFF"/>
          </w:tcPr>
          <w:p w14:paraId="59845A72" w14:textId="77777777" w:rsidR="00941CF4" w:rsidRDefault="00000000">
            <w:pPr>
              <w:spacing w:after="0"/>
            </w:pPr>
            <w:r>
              <w:rPr>
                <w:sz w:val="16"/>
              </w:rPr>
              <w:t>Inactive Members contribute 63.9% of churn.</w:t>
            </w:r>
          </w:p>
        </w:tc>
        <w:tc>
          <w:tcPr>
            <w:tcW w:w="2304" w:type="dxa"/>
            <w:shd w:val="clear" w:color="auto" w:fill="FFFFFF"/>
          </w:tcPr>
          <w:p w14:paraId="458EBE2D" w14:textId="77777777" w:rsidR="00941CF4" w:rsidRDefault="00000000">
            <w:pPr>
              <w:spacing w:after="0"/>
            </w:pPr>
            <w:r>
              <w:rPr>
                <w:sz w:val="16"/>
              </w:rPr>
              <w:t>Retention marketing / CRM team</w:t>
            </w:r>
          </w:p>
        </w:tc>
      </w:tr>
      <w:tr w:rsidR="00941CF4" w14:paraId="01D45338" w14:textId="77777777">
        <w:trPr>
          <w:jc w:val="center"/>
        </w:trPr>
        <w:tc>
          <w:tcPr>
            <w:tcW w:w="1152" w:type="dxa"/>
            <w:shd w:val="clear" w:color="auto" w:fill="F5F7FA"/>
          </w:tcPr>
          <w:p w14:paraId="1A88CFB5" w14:textId="77777777" w:rsidR="00941CF4" w:rsidRDefault="00000000">
            <w:pPr>
              <w:spacing w:after="0"/>
            </w:pPr>
            <w:r>
              <w:rPr>
                <w:sz w:val="16"/>
              </w:rPr>
              <w:t>High</w:t>
            </w:r>
          </w:p>
        </w:tc>
        <w:tc>
          <w:tcPr>
            <w:tcW w:w="3600" w:type="dxa"/>
            <w:shd w:val="clear" w:color="auto" w:fill="F5F7FA"/>
          </w:tcPr>
          <w:p w14:paraId="0D951824" w14:textId="77777777" w:rsidR="00941CF4" w:rsidRDefault="00000000">
            <w:pPr>
              <w:spacing w:after="0"/>
            </w:pPr>
            <w:r>
              <w:rPr>
                <w:sz w:val="16"/>
              </w:rPr>
              <w:t>Create premium disengagement recovery program for high-value disengaged customers.</w:t>
            </w:r>
          </w:p>
        </w:tc>
        <w:tc>
          <w:tcPr>
            <w:tcW w:w="3168" w:type="dxa"/>
            <w:shd w:val="clear" w:color="auto" w:fill="F5F7FA"/>
          </w:tcPr>
          <w:p w14:paraId="2BCBD833" w14:textId="77777777" w:rsidR="00941CF4" w:rsidRDefault="00000000">
            <w:pPr>
              <w:spacing w:after="0"/>
            </w:pPr>
            <w:r>
              <w:rPr>
                <w:sz w:val="16"/>
              </w:rPr>
              <w:t>2,154 high-value disengaged customers and 232,942,972 balance at risk.</w:t>
            </w:r>
          </w:p>
        </w:tc>
        <w:tc>
          <w:tcPr>
            <w:tcW w:w="2304" w:type="dxa"/>
            <w:shd w:val="clear" w:color="auto" w:fill="F5F7FA"/>
          </w:tcPr>
          <w:p w14:paraId="4631DC11" w14:textId="77777777" w:rsidR="00941CF4" w:rsidRDefault="00000000">
            <w:pPr>
              <w:spacing w:after="0"/>
            </w:pPr>
            <w:r>
              <w:rPr>
                <w:sz w:val="16"/>
              </w:rPr>
              <w:t>Relationship managers / premium banking</w:t>
            </w:r>
          </w:p>
        </w:tc>
      </w:tr>
      <w:tr w:rsidR="00941CF4" w14:paraId="02B3FDA6" w14:textId="77777777">
        <w:trPr>
          <w:jc w:val="center"/>
        </w:trPr>
        <w:tc>
          <w:tcPr>
            <w:tcW w:w="1152" w:type="dxa"/>
            <w:shd w:val="clear" w:color="auto" w:fill="FFFFFF"/>
          </w:tcPr>
          <w:p w14:paraId="4989330E" w14:textId="77777777" w:rsidR="00941CF4" w:rsidRDefault="00000000">
            <w:pPr>
              <w:spacing w:after="0"/>
            </w:pPr>
            <w:r>
              <w:rPr>
                <w:sz w:val="16"/>
              </w:rPr>
              <w:t>High</w:t>
            </w:r>
          </w:p>
        </w:tc>
        <w:tc>
          <w:tcPr>
            <w:tcW w:w="3600" w:type="dxa"/>
            <w:shd w:val="clear" w:color="auto" w:fill="FFFFFF"/>
          </w:tcPr>
          <w:p w14:paraId="2F788445" w14:textId="77777777" w:rsidR="00941CF4" w:rsidRDefault="00000000">
            <w:pPr>
              <w:spacing w:after="0"/>
            </w:pPr>
            <w:r>
              <w:rPr>
                <w:sz w:val="16"/>
              </w:rPr>
              <w:t>Use retention strength tiers to prioritize outreach queues.</w:t>
            </w:r>
          </w:p>
        </w:tc>
        <w:tc>
          <w:tcPr>
            <w:tcW w:w="3168" w:type="dxa"/>
            <w:shd w:val="clear" w:color="auto" w:fill="FFFFFF"/>
          </w:tcPr>
          <w:p w14:paraId="3D770FED" w14:textId="77777777" w:rsidR="00941CF4" w:rsidRDefault="00000000">
            <w:pPr>
              <w:spacing w:after="0"/>
            </w:pPr>
            <w:r>
              <w:rPr>
                <w:sz w:val="16"/>
              </w:rPr>
              <w:t>Critical Retention Risk churn is 69.0%.</w:t>
            </w:r>
          </w:p>
        </w:tc>
        <w:tc>
          <w:tcPr>
            <w:tcW w:w="2304" w:type="dxa"/>
            <w:shd w:val="clear" w:color="auto" w:fill="FFFFFF"/>
          </w:tcPr>
          <w:p w14:paraId="1BAACE2B" w14:textId="77777777" w:rsidR="00941CF4" w:rsidRDefault="00000000">
            <w:pPr>
              <w:spacing w:after="0"/>
            </w:pPr>
            <w:r>
              <w:rPr>
                <w:sz w:val="16"/>
              </w:rPr>
              <w:t>Customer success / retention operations</w:t>
            </w:r>
          </w:p>
        </w:tc>
      </w:tr>
      <w:tr w:rsidR="00941CF4" w14:paraId="6A65A666" w14:textId="77777777">
        <w:trPr>
          <w:jc w:val="center"/>
        </w:trPr>
        <w:tc>
          <w:tcPr>
            <w:tcW w:w="1152" w:type="dxa"/>
            <w:shd w:val="clear" w:color="auto" w:fill="F5F7FA"/>
          </w:tcPr>
          <w:p w14:paraId="4E167B5B" w14:textId="77777777" w:rsidR="00941CF4" w:rsidRDefault="00000000">
            <w:pPr>
              <w:spacing w:after="0"/>
            </w:pPr>
            <w:r>
              <w:rPr>
                <w:sz w:val="16"/>
              </w:rPr>
              <w:t>Medium</w:t>
            </w:r>
          </w:p>
        </w:tc>
        <w:tc>
          <w:tcPr>
            <w:tcW w:w="3600" w:type="dxa"/>
            <w:shd w:val="clear" w:color="auto" w:fill="F5F7FA"/>
          </w:tcPr>
          <w:p w14:paraId="4F8738C9" w14:textId="77777777" w:rsidR="00941CF4" w:rsidRDefault="00000000">
            <w:pPr>
              <w:spacing w:after="0"/>
            </w:pPr>
            <w:r>
              <w:rPr>
                <w:sz w:val="16"/>
              </w:rPr>
              <w:t>Promote two-product relationship bundles as an optimal product-depth pathway.</w:t>
            </w:r>
          </w:p>
        </w:tc>
        <w:tc>
          <w:tcPr>
            <w:tcW w:w="3168" w:type="dxa"/>
            <w:shd w:val="clear" w:color="auto" w:fill="F5F7FA"/>
          </w:tcPr>
          <w:p w14:paraId="119A68FD" w14:textId="77777777" w:rsidR="00941CF4" w:rsidRDefault="00000000">
            <w:pPr>
              <w:spacing w:after="0"/>
            </w:pPr>
            <w:r>
              <w:rPr>
                <w:sz w:val="16"/>
              </w:rPr>
              <w:t>2-product customers show 92.42% retention.</w:t>
            </w:r>
          </w:p>
        </w:tc>
        <w:tc>
          <w:tcPr>
            <w:tcW w:w="2304" w:type="dxa"/>
            <w:shd w:val="clear" w:color="auto" w:fill="F5F7FA"/>
          </w:tcPr>
          <w:p w14:paraId="6BBA6FF3" w14:textId="77777777" w:rsidR="00941CF4" w:rsidRDefault="00000000">
            <w:pPr>
              <w:spacing w:after="0"/>
            </w:pPr>
            <w:r>
              <w:rPr>
                <w:sz w:val="16"/>
              </w:rPr>
              <w:t>Product and cross-sell strategy teams</w:t>
            </w:r>
          </w:p>
        </w:tc>
      </w:tr>
      <w:tr w:rsidR="00941CF4" w14:paraId="04E50C11" w14:textId="77777777">
        <w:trPr>
          <w:jc w:val="center"/>
        </w:trPr>
        <w:tc>
          <w:tcPr>
            <w:tcW w:w="1152" w:type="dxa"/>
            <w:shd w:val="clear" w:color="auto" w:fill="FFFFFF"/>
          </w:tcPr>
          <w:p w14:paraId="58AD9143" w14:textId="77777777" w:rsidR="00941CF4" w:rsidRDefault="00000000">
            <w:pPr>
              <w:spacing w:after="0"/>
            </w:pPr>
            <w:r>
              <w:rPr>
                <w:sz w:val="16"/>
              </w:rPr>
              <w:t>Medium</w:t>
            </w:r>
          </w:p>
        </w:tc>
        <w:tc>
          <w:tcPr>
            <w:tcW w:w="3600" w:type="dxa"/>
            <w:shd w:val="clear" w:color="auto" w:fill="FFFFFF"/>
          </w:tcPr>
          <w:p w14:paraId="15AA9AFF" w14:textId="77777777" w:rsidR="00941CF4" w:rsidRDefault="00000000">
            <w:pPr>
              <w:spacing w:after="0"/>
            </w:pPr>
            <w:r>
              <w:rPr>
                <w:sz w:val="16"/>
              </w:rPr>
              <w:t>Monitor 3-product and 4-product customers for product-load friction.</w:t>
            </w:r>
          </w:p>
        </w:tc>
        <w:tc>
          <w:tcPr>
            <w:tcW w:w="3168" w:type="dxa"/>
            <w:shd w:val="clear" w:color="auto" w:fill="FFFFFF"/>
          </w:tcPr>
          <w:p w14:paraId="4D08F271" w14:textId="77777777" w:rsidR="00941CF4" w:rsidRDefault="00000000">
            <w:pPr>
              <w:spacing w:after="0"/>
            </w:pPr>
            <w:r>
              <w:rPr>
                <w:sz w:val="16"/>
              </w:rPr>
              <w:t>3-product and 4-product groups show high churn.</w:t>
            </w:r>
          </w:p>
        </w:tc>
        <w:tc>
          <w:tcPr>
            <w:tcW w:w="2304" w:type="dxa"/>
            <w:shd w:val="clear" w:color="auto" w:fill="FFFFFF"/>
          </w:tcPr>
          <w:p w14:paraId="6B49AFAA" w14:textId="77777777" w:rsidR="00941CF4" w:rsidRDefault="00000000">
            <w:pPr>
              <w:spacing w:after="0"/>
            </w:pPr>
            <w:r>
              <w:rPr>
                <w:sz w:val="16"/>
              </w:rPr>
              <w:t>Product governance / risk analytics</w:t>
            </w:r>
          </w:p>
        </w:tc>
      </w:tr>
      <w:tr w:rsidR="00941CF4" w14:paraId="01F7513E" w14:textId="77777777">
        <w:trPr>
          <w:jc w:val="center"/>
        </w:trPr>
        <w:tc>
          <w:tcPr>
            <w:tcW w:w="1152" w:type="dxa"/>
            <w:shd w:val="clear" w:color="auto" w:fill="F5F7FA"/>
          </w:tcPr>
          <w:p w14:paraId="620C8CAA" w14:textId="77777777" w:rsidR="00941CF4" w:rsidRDefault="00000000">
            <w:pPr>
              <w:spacing w:after="0"/>
            </w:pPr>
            <w:r>
              <w:rPr>
                <w:sz w:val="16"/>
              </w:rPr>
              <w:t>Medium</w:t>
            </w:r>
          </w:p>
        </w:tc>
        <w:tc>
          <w:tcPr>
            <w:tcW w:w="3600" w:type="dxa"/>
            <w:shd w:val="clear" w:color="auto" w:fill="F5F7FA"/>
          </w:tcPr>
          <w:p w14:paraId="167D4135" w14:textId="77777777" w:rsidR="00941CF4" w:rsidRDefault="00000000">
            <w:pPr>
              <w:spacing w:after="0"/>
            </w:pPr>
            <w:r>
              <w:rPr>
                <w:sz w:val="16"/>
              </w:rPr>
              <w:t>Use credit-card customers for loyalty and engagement initiatives.</w:t>
            </w:r>
          </w:p>
        </w:tc>
        <w:tc>
          <w:tcPr>
            <w:tcW w:w="3168" w:type="dxa"/>
            <w:shd w:val="clear" w:color="auto" w:fill="F5F7FA"/>
          </w:tcPr>
          <w:p w14:paraId="5E3B53DC" w14:textId="77777777" w:rsidR="00941CF4" w:rsidRDefault="00000000">
            <w:pPr>
              <w:spacing w:after="0"/>
            </w:pPr>
            <w:r>
              <w:rPr>
                <w:sz w:val="16"/>
              </w:rPr>
              <w:t>Credit Card Stickiness Score is 79.82%.</w:t>
            </w:r>
          </w:p>
        </w:tc>
        <w:tc>
          <w:tcPr>
            <w:tcW w:w="2304" w:type="dxa"/>
            <w:shd w:val="clear" w:color="auto" w:fill="F5F7FA"/>
          </w:tcPr>
          <w:p w14:paraId="250D154F" w14:textId="77777777" w:rsidR="00941CF4" w:rsidRDefault="00000000">
            <w:pPr>
              <w:spacing w:after="0"/>
            </w:pPr>
            <w:r>
              <w:rPr>
                <w:sz w:val="16"/>
              </w:rPr>
              <w:t>Card product / loyalty teams</w:t>
            </w:r>
          </w:p>
        </w:tc>
      </w:tr>
      <w:tr w:rsidR="00941CF4" w14:paraId="540DD962" w14:textId="77777777">
        <w:trPr>
          <w:jc w:val="center"/>
        </w:trPr>
        <w:tc>
          <w:tcPr>
            <w:tcW w:w="1152" w:type="dxa"/>
            <w:shd w:val="clear" w:color="auto" w:fill="FFFFFF"/>
          </w:tcPr>
          <w:p w14:paraId="07F46D53" w14:textId="77777777" w:rsidR="00941CF4" w:rsidRDefault="00000000">
            <w:pPr>
              <w:spacing w:after="0"/>
            </w:pPr>
            <w:r>
              <w:rPr>
                <w:sz w:val="16"/>
              </w:rPr>
              <w:t>Medium</w:t>
            </w:r>
          </w:p>
        </w:tc>
        <w:tc>
          <w:tcPr>
            <w:tcW w:w="3600" w:type="dxa"/>
            <w:shd w:val="clear" w:color="auto" w:fill="FFFFFF"/>
          </w:tcPr>
          <w:p w14:paraId="4712CCAA" w14:textId="77777777" w:rsidR="00941CF4" w:rsidRDefault="00000000">
            <w:pPr>
              <w:spacing w:after="0"/>
            </w:pPr>
            <w:r>
              <w:rPr>
                <w:sz w:val="16"/>
              </w:rPr>
              <w:t>Track salary-balance mismatch as a premium-risk investigation signal.</w:t>
            </w:r>
          </w:p>
        </w:tc>
        <w:tc>
          <w:tcPr>
            <w:tcW w:w="3168" w:type="dxa"/>
            <w:shd w:val="clear" w:color="auto" w:fill="FFFFFF"/>
          </w:tcPr>
          <w:p w14:paraId="3742797B" w14:textId="77777777" w:rsidR="00941CF4" w:rsidRDefault="00000000">
            <w:pPr>
              <w:spacing w:after="0"/>
            </w:pPr>
            <w:r>
              <w:rPr>
                <w:sz w:val="16"/>
              </w:rPr>
              <w:t>Mismatch bubble map shows differentiated churn patterns.</w:t>
            </w:r>
          </w:p>
        </w:tc>
        <w:tc>
          <w:tcPr>
            <w:tcW w:w="2304" w:type="dxa"/>
            <w:shd w:val="clear" w:color="auto" w:fill="FFFFFF"/>
          </w:tcPr>
          <w:p w14:paraId="0C3B252D" w14:textId="77777777" w:rsidR="00941CF4" w:rsidRDefault="00000000">
            <w:pPr>
              <w:spacing w:after="0"/>
            </w:pPr>
            <w:r>
              <w:rPr>
                <w:sz w:val="16"/>
              </w:rPr>
              <w:t>Analytics and relationship management teams</w:t>
            </w:r>
          </w:p>
        </w:tc>
      </w:tr>
    </w:tbl>
    <w:p w14:paraId="32595A9F" w14:textId="77777777" w:rsidR="00941CF4" w:rsidRDefault="00941CF4"/>
    <w:p w14:paraId="28F64D52" w14:textId="77777777" w:rsidR="00941CF4" w:rsidRDefault="00000000">
      <w:pPr>
        <w:pStyle w:val="Heading2"/>
      </w:pPr>
      <w:r>
        <w:t>13.1 90-Day Retention Action Roadmap</w:t>
      </w:r>
    </w:p>
    <w:tbl>
      <w:tblPr>
        <w:tblW w:w="0" w:type="auto"/>
        <w:jc w:val="center"/>
        <w:tblLook w:val="04A0" w:firstRow="1" w:lastRow="0" w:firstColumn="1" w:lastColumn="0" w:noHBand="0" w:noVBand="1"/>
      </w:tblPr>
      <w:tblGrid>
        <w:gridCol w:w="1728"/>
        <w:gridCol w:w="4608"/>
        <w:gridCol w:w="3744"/>
      </w:tblGrid>
      <w:tr w:rsidR="00941CF4" w14:paraId="10E20B65" w14:textId="77777777">
        <w:trPr>
          <w:tblHeader/>
          <w:jc w:val="center"/>
        </w:trPr>
        <w:tc>
          <w:tcPr>
            <w:tcW w:w="1728"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0C01082D" w14:textId="77777777" w:rsidR="00941CF4" w:rsidRDefault="00000000">
            <w:pPr>
              <w:spacing w:after="0"/>
            </w:pPr>
            <w:r>
              <w:rPr>
                <w:b/>
                <w:color w:val="FFFFFF"/>
                <w:sz w:val="17"/>
              </w:rPr>
              <w:t>Timeline</w:t>
            </w:r>
          </w:p>
        </w:tc>
        <w:tc>
          <w:tcPr>
            <w:tcW w:w="4608"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1EA36178" w14:textId="77777777" w:rsidR="00941CF4" w:rsidRDefault="00000000">
            <w:pPr>
              <w:spacing w:after="0"/>
            </w:pPr>
            <w:r>
              <w:rPr>
                <w:b/>
                <w:color w:val="FFFFFF"/>
                <w:sz w:val="17"/>
              </w:rPr>
              <w:t>Action</w:t>
            </w:r>
          </w:p>
        </w:tc>
        <w:tc>
          <w:tcPr>
            <w:tcW w:w="3744"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7CDEF821" w14:textId="77777777" w:rsidR="00941CF4" w:rsidRDefault="00000000">
            <w:pPr>
              <w:spacing w:after="0"/>
            </w:pPr>
            <w:r>
              <w:rPr>
                <w:b/>
                <w:color w:val="FFFFFF"/>
                <w:sz w:val="17"/>
              </w:rPr>
              <w:t>Expected Output</w:t>
            </w:r>
          </w:p>
        </w:tc>
      </w:tr>
      <w:tr w:rsidR="00941CF4" w14:paraId="3EF21DE2" w14:textId="77777777">
        <w:trPr>
          <w:jc w:val="center"/>
        </w:trPr>
        <w:tc>
          <w:tcPr>
            <w:tcW w:w="1728" w:type="dxa"/>
            <w:shd w:val="clear" w:color="auto" w:fill="FFFFFF"/>
          </w:tcPr>
          <w:p w14:paraId="4ADBC97A" w14:textId="77777777" w:rsidR="00941CF4" w:rsidRDefault="00000000">
            <w:pPr>
              <w:spacing w:after="0"/>
            </w:pPr>
            <w:r>
              <w:rPr>
                <w:sz w:val="16"/>
              </w:rPr>
              <w:t>Days 1-30</w:t>
            </w:r>
          </w:p>
        </w:tc>
        <w:tc>
          <w:tcPr>
            <w:tcW w:w="4608" w:type="dxa"/>
            <w:shd w:val="clear" w:color="auto" w:fill="FFFFFF"/>
          </w:tcPr>
          <w:p w14:paraId="6CCD3877" w14:textId="77777777" w:rsidR="00941CF4" w:rsidRDefault="00000000">
            <w:pPr>
              <w:spacing w:after="0"/>
            </w:pPr>
            <w:r>
              <w:rPr>
                <w:sz w:val="16"/>
              </w:rPr>
              <w:t>Segment inactive, high-value, single-product, and critical-risk customers.</w:t>
            </w:r>
          </w:p>
        </w:tc>
        <w:tc>
          <w:tcPr>
            <w:tcW w:w="3744" w:type="dxa"/>
            <w:shd w:val="clear" w:color="auto" w:fill="FFFFFF"/>
          </w:tcPr>
          <w:p w14:paraId="17FC23B2" w14:textId="77777777" w:rsidR="00941CF4" w:rsidRDefault="00000000">
            <w:pPr>
              <w:spacing w:after="0"/>
            </w:pPr>
            <w:r>
              <w:rPr>
                <w:sz w:val="16"/>
              </w:rPr>
              <w:t>Target lists for retention campaigns.</w:t>
            </w:r>
          </w:p>
        </w:tc>
      </w:tr>
      <w:tr w:rsidR="00941CF4" w14:paraId="1654664D" w14:textId="77777777">
        <w:trPr>
          <w:jc w:val="center"/>
        </w:trPr>
        <w:tc>
          <w:tcPr>
            <w:tcW w:w="1728" w:type="dxa"/>
            <w:shd w:val="clear" w:color="auto" w:fill="F5F7FA"/>
          </w:tcPr>
          <w:p w14:paraId="6971461C" w14:textId="77777777" w:rsidR="00941CF4" w:rsidRDefault="00000000">
            <w:pPr>
              <w:spacing w:after="0"/>
            </w:pPr>
            <w:r>
              <w:rPr>
                <w:sz w:val="16"/>
              </w:rPr>
              <w:t>Days 31-60</w:t>
            </w:r>
          </w:p>
        </w:tc>
        <w:tc>
          <w:tcPr>
            <w:tcW w:w="4608" w:type="dxa"/>
            <w:shd w:val="clear" w:color="auto" w:fill="F5F7FA"/>
          </w:tcPr>
          <w:p w14:paraId="399B864D" w14:textId="77777777" w:rsidR="00941CF4" w:rsidRDefault="00000000">
            <w:pPr>
              <w:spacing w:after="0"/>
            </w:pPr>
            <w:r>
              <w:rPr>
                <w:sz w:val="16"/>
              </w:rPr>
              <w:t>Launch reactivation, product bundling, and premium recovery campaigns.</w:t>
            </w:r>
          </w:p>
        </w:tc>
        <w:tc>
          <w:tcPr>
            <w:tcW w:w="3744" w:type="dxa"/>
            <w:shd w:val="clear" w:color="auto" w:fill="F5F7FA"/>
          </w:tcPr>
          <w:p w14:paraId="1E7C018E" w14:textId="77777777" w:rsidR="00941CF4" w:rsidRDefault="00000000">
            <w:pPr>
              <w:spacing w:after="0"/>
            </w:pPr>
            <w:r>
              <w:rPr>
                <w:sz w:val="16"/>
              </w:rPr>
              <w:t>Early engagement and offer-response evidence.</w:t>
            </w:r>
          </w:p>
        </w:tc>
      </w:tr>
      <w:tr w:rsidR="00941CF4" w14:paraId="3FFE7C05" w14:textId="77777777">
        <w:trPr>
          <w:jc w:val="center"/>
        </w:trPr>
        <w:tc>
          <w:tcPr>
            <w:tcW w:w="1728" w:type="dxa"/>
            <w:shd w:val="clear" w:color="auto" w:fill="FFFFFF"/>
          </w:tcPr>
          <w:p w14:paraId="3EE556EA" w14:textId="77777777" w:rsidR="00941CF4" w:rsidRDefault="00000000">
            <w:pPr>
              <w:spacing w:after="0"/>
            </w:pPr>
            <w:r>
              <w:rPr>
                <w:sz w:val="16"/>
              </w:rPr>
              <w:t>Days 61-90</w:t>
            </w:r>
          </w:p>
        </w:tc>
        <w:tc>
          <w:tcPr>
            <w:tcW w:w="4608" w:type="dxa"/>
            <w:shd w:val="clear" w:color="auto" w:fill="FFFFFF"/>
          </w:tcPr>
          <w:p w14:paraId="7F4418A9" w14:textId="77777777" w:rsidR="00941CF4" w:rsidRDefault="00000000">
            <w:pPr>
              <w:spacing w:after="0"/>
            </w:pPr>
            <w:r>
              <w:rPr>
                <w:sz w:val="16"/>
              </w:rPr>
              <w:t>Track retention score movement, churn reduction, and product adoption changes.</w:t>
            </w:r>
          </w:p>
        </w:tc>
        <w:tc>
          <w:tcPr>
            <w:tcW w:w="3744" w:type="dxa"/>
            <w:shd w:val="clear" w:color="auto" w:fill="FFFFFF"/>
          </w:tcPr>
          <w:p w14:paraId="7272FA6F" w14:textId="77777777" w:rsidR="00941CF4" w:rsidRDefault="00000000">
            <w:pPr>
              <w:spacing w:after="0"/>
            </w:pPr>
            <w:r>
              <w:rPr>
                <w:sz w:val="16"/>
              </w:rPr>
              <w:t>Closed-loop retention measurement dashboard.</w:t>
            </w:r>
          </w:p>
        </w:tc>
      </w:tr>
    </w:tbl>
    <w:p w14:paraId="20E8A3DC" w14:textId="77777777" w:rsidR="00941CF4" w:rsidRDefault="00941CF4"/>
    <w:tbl>
      <w:tblPr>
        <w:tblW w:w="0" w:type="auto"/>
        <w:jc w:val="center"/>
        <w:tblLook w:val="04A0" w:firstRow="1" w:lastRow="0" w:firstColumn="1" w:lastColumn="0" w:noHBand="0" w:noVBand="1"/>
      </w:tblPr>
      <w:tblGrid>
        <w:gridCol w:w="10656"/>
      </w:tblGrid>
      <w:tr w:rsidR="00941CF4" w14:paraId="56743304"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EAF2FB"/>
          </w:tcPr>
          <w:p w14:paraId="17E2F2CF" w14:textId="77777777" w:rsidR="00941CF4" w:rsidRDefault="00000000">
            <w:pPr>
              <w:spacing w:after="80"/>
            </w:pPr>
            <w:r>
              <w:rPr>
                <w:b/>
                <w:color w:val="001F3F"/>
                <w:sz w:val="21"/>
              </w:rPr>
              <w:t>Recommended governance cadence</w:t>
            </w:r>
          </w:p>
          <w:p w14:paraId="7889B867" w14:textId="77777777" w:rsidR="00941CF4" w:rsidRDefault="00000000">
            <w:pPr>
              <w:spacing w:after="0"/>
            </w:pPr>
            <w:r>
              <w:rPr>
                <w:sz w:val="19"/>
              </w:rPr>
              <w:t>Retention leaders should review high-value disengagement, inactive-member churn contribution, product-depth risk, and retention-tier movement monthly. Critical-risk and high-value disengaged customers should be reviewed more frequently during campaign periods.</w:t>
            </w:r>
          </w:p>
        </w:tc>
      </w:tr>
    </w:tbl>
    <w:p w14:paraId="42D5F400" w14:textId="77777777" w:rsidR="00941CF4" w:rsidRDefault="00941CF4"/>
    <w:p w14:paraId="24FE6BC9" w14:textId="77777777" w:rsidR="00941CF4" w:rsidRDefault="00000000">
      <w:r>
        <w:br w:type="page"/>
      </w:r>
    </w:p>
    <w:p w14:paraId="4F79B1F2" w14:textId="77777777" w:rsidR="00941CF4" w:rsidRDefault="00000000">
      <w:pPr>
        <w:pStyle w:val="Heading1"/>
      </w:pPr>
      <w:r>
        <w:lastRenderedPageBreak/>
        <w:t>14. Dashboard Implementation</w:t>
      </w:r>
    </w:p>
    <w:p w14:paraId="0AAC6609" w14:textId="77777777" w:rsidR="00941CF4" w:rsidRDefault="00000000">
      <w:pPr>
        <w:pStyle w:val="BodyText"/>
        <w:jc w:val="both"/>
      </w:pPr>
      <w:r>
        <w:t>The dashboard is implemented using Streamlit with Python, Pandas, NumPy, and Plotly. It loads a final master dataset, validates required raw and derived fields, applies user filters, recalculates KPIs dynamically, and renders four evidence-based modules aligned with the project guidelines.</w:t>
      </w:r>
    </w:p>
    <w:tbl>
      <w:tblPr>
        <w:tblW w:w="0" w:type="auto"/>
        <w:jc w:val="center"/>
        <w:tblLook w:val="04A0" w:firstRow="1" w:lastRow="0" w:firstColumn="1" w:lastColumn="0" w:noHBand="0" w:noVBand="1"/>
      </w:tblPr>
      <w:tblGrid>
        <w:gridCol w:w="2448"/>
        <w:gridCol w:w="3456"/>
        <w:gridCol w:w="4176"/>
      </w:tblGrid>
      <w:tr w:rsidR="00941CF4" w14:paraId="65161D04" w14:textId="77777777">
        <w:trPr>
          <w:tblHeade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12D327F0" w14:textId="77777777" w:rsidR="00941CF4" w:rsidRDefault="00000000">
            <w:pPr>
              <w:spacing w:after="0"/>
            </w:pPr>
            <w:r>
              <w:rPr>
                <w:b/>
                <w:color w:val="FFFFFF"/>
                <w:sz w:val="17"/>
              </w:rPr>
              <w:t>Dashboard Feature</w:t>
            </w:r>
          </w:p>
        </w:tc>
        <w:tc>
          <w:tcPr>
            <w:tcW w:w="3456"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49AFCC4C" w14:textId="77777777" w:rsidR="00941CF4" w:rsidRDefault="00000000">
            <w:pPr>
              <w:spacing w:after="0"/>
            </w:pPr>
            <w:r>
              <w:rPr>
                <w:b/>
                <w:color w:val="FFFFFF"/>
                <w:sz w:val="17"/>
              </w:rPr>
              <w:t>Implementation Role</w:t>
            </w:r>
          </w:p>
        </w:tc>
        <w:tc>
          <w:tcPr>
            <w:tcW w:w="4176"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783D5C98" w14:textId="77777777" w:rsidR="00941CF4" w:rsidRDefault="00000000">
            <w:pPr>
              <w:spacing w:after="0"/>
            </w:pPr>
            <w:r>
              <w:rPr>
                <w:b/>
                <w:color w:val="FFFFFF"/>
                <w:sz w:val="17"/>
              </w:rPr>
              <w:t>Research Value</w:t>
            </w:r>
          </w:p>
        </w:tc>
      </w:tr>
      <w:tr w:rsidR="00941CF4" w14:paraId="1BC9328B" w14:textId="77777777">
        <w:trPr>
          <w:jc w:val="center"/>
        </w:trPr>
        <w:tc>
          <w:tcPr>
            <w:tcW w:w="2448" w:type="dxa"/>
            <w:shd w:val="clear" w:color="auto" w:fill="FFFFFF"/>
          </w:tcPr>
          <w:p w14:paraId="1C640E94" w14:textId="77777777" w:rsidR="00941CF4" w:rsidRDefault="00000000">
            <w:pPr>
              <w:spacing w:after="0"/>
            </w:pPr>
            <w:r>
              <w:rPr>
                <w:sz w:val="16"/>
              </w:rPr>
              <w:t>Required column validation</w:t>
            </w:r>
          </w:p>
        </w:tc>
        <w:tc>
          <w:tcPr>
            <w:tcW w:w="3456" w:type="dxa"/>
            <w:shd w:val="clear" w:color="auto" w:fill="FFFFFF"/>
          </w:tcPr>
          <w:p w14:paraId="458FFB5D" w14:textId="77777777" w:rsidR="00941CF4" w:rsidRDefault="00000000">
            <w:pPr>
              <w:spacing w:after="0"/>
            </w:pPr>
            <w:r>
              <w:rPr>
                <w:sz w:val="16"/>
              </w:rPr>
              <w:t>Checks raw and derived columns before rendering.</w:t>
            </w:r>
          </w:p>
        </w:tc>
        <w:tc>
          <w:tcPr>
            <w:tcW w:w="4176" w:type="dxa"/>
            <w:shd w:val="clear" w:color="auto" w:fill="FFFFFF"/>
          </w:tcPr>
          <w:p w14:paraId="3FAAF015" w14:textId="77777777" w:rsidR="00941CF4" w:rsidRDefault="00000000">
            <w:pPr>
              <w:spacing w:after="0"/>
            </w:pPr>
            <w:r>
              <w:rPr>
                <w:sz w:val="16"/>
              </w:rPr>
              <w:t>Protects metric reliability and reproducibility.</w:t>
            </w:r>
          </w:p>
        </w:tc>
      </w:tr>
      <w:tr w:rsidR="00941CF4" w14:paraId="3C6FD5CC" w14:textId="77777777">
        <w:trPr>
          <w:jc w:val="center"/>
        </w:trPr>
        <w:tc>
          <w:tcPr>
            <w:tcW w:w="2448" w:type="dxa"/>
            <w:shd w:val="clear" w:color="auto" w:fill="F5F7FA"/>
          </w:tcPr>
          <w:p w14:paraId="10A4BAF7" w14:textId="77777777" w:rsidR="00941CF4" w:rsidRDefault="00000000">
            <w:pPr>
              <w:spacing w:after="0"/>
            </w:pPr>
            <w:r>
              <w:rPr>
                <w:sz w:val="16"/>
              </w:rPr>
              <w:t>Binary validation</w:t>
            </w:r>
          </w:p>
        </w:tc>
        <w:tc>
          <w:tcPr>
            <w:tcW w:w="3456" w:type="dxa"/>
            <w:shd w:val="clear" w:color="auto" w:fill="F5F7FA"/>
          </w:tcPr>
          <w:p w14:paraId="1AA55F9D" w14:textId="77777777" w:rsidR="00941CF4" w:rsidRDefault="00000000">
            <w:pPr>
              <w:spacing w:after="0"/>
            </w:pPr>
            <w:r>
              <w:rPr>
                <w:sz w:val="16"/>
              </w:rPr>
              <w:t>Validates HasCrCard, IsActiveMember, and Exited values.</w:t>
            </w:r>
          </w:p>
        </w:tc>
        <w:tc>
          <w:tcPr>
            <w:tcW w:w="4176" w:type="dxa"/>
            <w:shd w:val="clear" w:color="auto" w:fill="F5F7FA"/>
          </w:tcPr>
          <w:p w14:paraId="5551C142" w14:textId="77777777" w:rsidR="00941CF4" w:rsidRDefault="00000000">
            <w:pPr>
              <w:spacing w:after="0"/>
            </w:pPr>
            <w:r>
              <w:rPr>
                <w:sz w:val="16"/>
              </w:rPr>
              <w:t>Reduces classification risk in KPI calculation.</w:t>
            </w:r>
          </w:p>
        </w:tc>
      </w:tr>
      <w:tr w:rsidR="00941CF4" w14:paraId="1737AC9B" w14:textId="77777777">
        <w:trPr>
          <w:jc w:val="center"/>
        </w:trPr>
        <w:tc>
          <w:tcPr>
            <w:tcW w:w="2448" w:type="dxa"/>
            <w:shd w:val="clear" w:color="auto" w:fill="FFFFFF"/>
          </w:tcPr>
          <w:p w14:paraId="2969BE44" w14:textId="77777777" w:rsidR="00941CF4" w:rsidRDefault="00000000">
            <w:pPr>
              <w:spacing w:after="0"/>
            </w:pPr>
            <w:r>
              <w:rPr>
                <w:sz w:val="16"/>
              </w:rPr>
              <w:t>Engagement filter</w:t>
            </w:r>
          </w:p>
        </w:tc>
        <w:tc>
          <w:tcPr>
            <w:tcW w:w="3456" w:type="dxa"/>
            <w:shd w:val="clear" w:color="auto" w:fill="FFFFFF"/>
          </w:tcPr>
          <w:p w14:paraId="58B4F14C" w14:textId="77777777" w:rsidR="00941CF4" w:rsidRDefault="00000000">
            <w:pPr>
              <w:spacing w:after="0"/>
            </w:pPr>
            <w:r>
              <w:rPr>
                <w:sz w:val="16"/>
              </w:rPr>
              <w:t>Filters Active Member and Inactive Member segments.</w:t>
            </w:r>
          </w:p>
        </w:tc>
        <w:tc>
          <w:tcPr>
            <w:tcW w:w="4176" w:type="dxa"/>
            <w:shd w:val="clear" w:color="auto" w:fill="FFFFFF"/>
          </w:tcPr>
          <w:p w14:paraId="3099CC19" w14:textId="77777777" w:rsidR="00941CF4" w:rsidRDefault="00000000">
            <w:pPr>
              <w:spacing w:after="0"/>
            </w:pPr>
            <w:r>
              <w:rPr>
                <w:sz w:val="16"/>
              </w:rPr>
              <w:t>Enables engagement-specific retention comparison.</w:t>
            </w:r>
          </w:p>
        </w:tc>
      </w:tr>
      <w:tr w:rsidR="00941CF4" w14:paraId="525C957C" w14:textId="77777777">
        <w:trPr>
          <w:jc w:val="center"/>
        </w:trPr>
        <w:tc>
          <w:tcPr>
            <w:tcW w:w="2448" w:type="dxa"/>
            <w:shd w:val="clear" w:color="auto" w:fill="F5F7FA"/>
          </w:tcPr>
          <w:p w14:paraId="4DE581C3" w14:textId="77777777" w:rsidR="00941CF4" w:rsidRDefault="00000000">
            <w:pPr>
              <w:spacing w:after="0"/>
            </w:pPr>
            <w:r>
              <w:rPr>
                <w:sz w:val="16"/>
              </w:rPr>
              <w:t>Product count slider</w:t>
            </w:r>
          </w:p>
        </w:tc>
        <w:tc>
          <w:tcPr>
            <w:tcW w:w="3456" w:type="dxa"/>
            <w:shd w:val="clear" w:color="auto" w:fill="F5F7FA"/>
          </w:tcPr>
          <w:p w14:paraId="78AFEC4E" w14:textId="77777777" w:rsidR="00941CF4" w:rsidRDefault="00000000">
            <w:pPr>
              <w:spacing w:after="0"/>
            </w:pPr>
            <w:r>
              <w:rPr>
                <w:sz w:val="16"/>
              </w:rPr>
              <w:t>Filters customers by number of products.</w:t>
            </w:r>
          </w:p>
        </w:tc>
        <w:tc>
          <w:tcPr>
            <w:tcW w:w="4176" w:type="dxa"/>
            <w:shd w:val="clear" w:color="auto" w:fill="F5F7FA"/>
          </w:tcPr>
          <w:p w14:paraId="10095DB5" w14:textId="77777777" w:rsidR="00941CF4" w:rsidRDefault="00000000">
            <w:pPr>
              <w:spacing w:after="0"/>
            </w:pPr>
            <w:r>
              <w:rPr>
                <w:sz w:val="16"/>
              </w:rPr>
              <w:t>Supports product-depth scenario analysis.</w:t>
            </w:r>
          </w:p>
        </w:tc>
      </w:tr>
      <w:tr w:rsidR="00941CF4" w14:paraId="791FE0A7" w14:textId="77777777">
        <w:trPr>
          <w:jc w:val="center"/>
        </w:trPr>
        <w:tc>
          <w:tcPr>
            <w:tcW w:w="2448" w:type="dxa"/>
            <w:shd w:val="clear" w:color="auto" w:fill="FFFFFF"/>
          </w:tcPr>
          <w:p w14:paraId="44DFA0BF" w14:textId="77777777" w:rsidR="00941CF4" w:rsidRDefault="00000000">
            <w:pPr>
              <w:spacing w:after="0"/>
            </w:pPr>
            <w:r>
              <w:rPr>
                <w:sz w:val="16"/>
              </w:rPr>
              <w:t>Balance and salary thresholds</w:t>
            </w:r>
          </w:p>
        </w:tc>
        <w:tc>
          <w:tcPr>
            <w:tcW w:w="3456" w:type="dxa"/>
            <w:shd w:val="clear" w:color="auto" w:fill="FFFFFF"/>
          </w:tcPr>
          <w:p w14:paraId="52268C0A" w14:textId="77777777" w:rsidR="00941CF4" w:rsidRDefault="00000000">
            <w:pPr>
              <w:spacing w:after="0"/>
            </w:pPr>
            <w:r>
              <w:rPr>
                <w:sz w:val="16"/>
              </w:rPr>
              <w:t>Filters high-value and financial-profile groups.</w:t>
            </w:r>
          </w:p>
        </w:tc>
        <w:tc>
          <w:tcPr>
            <w:tcW w:w="4176" w:type="dxa"/>
            <w:shd w:val="clear" w:color="auto" w:fill="FFFFFF"/>
          </w:tcPr>
          <w:p w14:paraId="2BD72E81" w14:textId="77777777" w:rsidR="00941CF4" w:rsidRDefault="00000000">
            <w:pPr>
              <w:spacing w:after="0"/>
            </w:pPr>
            <w:r>
              <w:rPr>
                <w:sz w:val="16"/>
              </w:rPr>
              <w:t>Supports premium-risk investigation.</w:t>
            </w:r>
          </w:p>
        </w:tc>
      </w:tr>
      <w:tr w:rsidR="00941CF4" w14:paraId="42F503BA" w14:textId="77777777">
        <w:trPr>
          <w:jc w:val="center"/>
        </w:trPr>
        <w:tc>
          <w:tcPr>
            <w:tcW w:w="2448" w:type="dxa"/>
            <w:shd w:val="clear" w:color="auto" w:fill="F5F7FA"/>
          </w:tcPr>
          <w:p w14:paraId="56FA660C" w14:textId="77777777" w:rsidR="00941CF4" w:rsidRDefault="00000000">
            <w:pPr>
              <w:spacing w:after="0"/>
            </w:pPr>
            <w:r>
              <w:rPr>
                <w:sz w:val="16"/>
              </w:rPr>
              <w:t>Dynamic KPI recalculation</w:t>
            </w:r>
          </w:p>
        </w:tc>
        <w:tc>
          <w:tcPr>
            <w:tcW w:w="3456" w:type="dxa"/>
            <w:shd w:val="clear" w:color="auto" w:fill="F5F7FA"/>
          </w:tcPr>
          <w:p w14:paraId="5F29AC1B" w14:textId="77777777" w:rsidR="00941CF4" w:rsidRDefault="00000000">
            <w:pPr>
              <w:spacing w:after="0"/>
            </w:pPr>
            <w:r>
              <w:rPr>
                <w:sz w:val="16"/>
              </w:rPr>
              <w:t>Recomputes KPI values for the selected customer base.</w:t>
            </w:r>
          </w:p>
        </w:tc>
        <w:tc>
          <w:tcPr>
            <w:tcW w:w="4176" w:type="dxa"/>
            <w:shd w:val="clear" w:color="auto" w:fill="F5F7FA"/>
          </w:tcPr>
          <w:p w14:paraId="5CBC682A" w14:textId="77777777" w:rsidR="00941CF4" w:rsidRDefault="00000000">
            <w:pPr>
              <w:spacing w:after="0"/>
            </w:pPr>
            <w:r>
              <w:rPr>
                <w:sz w:val="16"/>
              </w:rPr>
              <w:t>Makes dashboard filter-aware and decision-ready.</w:t>
            </w:r>
          </w:p>
        </w:tc>
      </w:tr>
      <w:tr w:rsidR="00941CF4" w14:paraId="2F0D008C" w14:textId="77777777">
        <w:trPr>
          <w:jc w:val="center"/>
        </w:trPr>
        <w:tc>
          <w:tcPr>
            <w:tcW w:w="2448" w:type="dxa"/>
            <w:shd w:val="clear" w:color="auto" w:fill="FFFFFF"/>
          </w:tcPr>
          <w:p w14:paraId="4C9CC2B2" w14:textId="77777777" w:rsidR="00941CF4" w:rsidRDefault="00000000">
            <w:pPr>
              <w:spacing w:after="0"/>
            </w:pPr>
            <w:r>
              <w:rPr>
                <w:sz w:val="16"/>
              </w:rPr>
              <w:t>Four-module structure</w:t>
            </w:r>
          </w:p>
        </w:tc>
        <w:tc>
          <w:tcPr>
            <w:tcW w:w="3456" w:type="dxa"/>
            <w:shd w:val="clear" w:color="auto" w:fill="FFFFFF"/>
          </w:tcPr>
          <w:p w14:paraId="34E6157C" w14:textId="77777777" w:rsidR="00941CF4" w:rsidRDefault="00000000">
            <w:pPr>
              <w:spacing w:after="0"/>
            </w:pPr>
            <w:r>
              <w:rPr>
                <w:sz w:val="16"/>
              </w:rPr>
              <w:t>Engagement, product utilization, premium risk, retention scoring.</w:t>
            </w:r>
          </w:p>
        </w:tc>
        <w:tc>
          <w:tcPr>
            <w:tcW w:w="4176" w:type="dxa"/>
            <w:shd w:val="clear" w:color="auto" w:fill="FFFFFF"/>
          </w:tcPr>
          <w:p w14:paraId="79D30252" w14:textId="77777777" w:rsidR="00941CF4" w:rsidRDefault="00000000">
            <w:pPr>
              <w:spacing w:after="0"/>
            </w:pPr>
            <w:r>
              <w:rPr>
                <w:sz w:val="16"/>
              </w:rPr>
              <w:t>Matches project requirements and research sections.</w:t>
            </w:r>
          </w:p>
        </w:tc>
      </w:tr>
      <w:tr w:rsidR="00941CF4" w14:paraId="67B5604B" w14:textId="77777777">
        <w:trPr>
          <w:jc w:val="center"/>
        </w:trPr>
        <w:tc>
          <w:tcPr>
            <w:tcW w:w="2448" w:type="dxa"/>
            <w:shd w:val="clear" w:color="auto" w:fill="F5F7FA"/>
          </w:tcPr>
          <w:p w14:paraId="20DABEF9" w14:textId="77777777" w:rsidR="00941CF4" w:rsidRDefault="00000000">
            <w:pPr>
              <w:spacing w:after="0"/>
            </w:pPr>
            <w:r>
              <w:rPr>
                <w:sz w:val="16"/>
              </w:rPr>
              <w:t>Plotly visual layer</w:t>
            </w:r>
          </w:p>
        </w:tc>
        <w:tc>
          <w:tcPr>
            <w:tcW w:w="3456" w:type="dxa"/>
            <w:shd w:val="clear" w:color="auto" w:fill="F5F7FA"/>
          </w:tcPr>
          <w:p w14:paraId="02DD0E35" w14:textId="77777777" w:rsidR="00941CF4" w:rsidRDefault="00000000">
            <w:pPr>
              <w:spacing w:after="0"/>
            </w:pPr>
            <w:r>
              <w:rPr>
                <w:sz w:val="16"/>
              </w:rPr>
              <w:t>Charts, donut, heatmaps, bubble maps, treemap, histogram, box plot.</w:t>
            </w:r>
          </w:p>
        </w:tc>
        <w:tc>
          <w:tcPr>
            <w:tcW w:w="4176" w:type="dxa"/>
            <w:shd w:val="clear" w:color="auto" w:fill="F5F7FA"/>
          </w:tcPr>
          <w:p w14:paraId="7576C01F" w14:textId="77777777" w:rsidR="00941CF4" w:rsidRDefault="00000000">
            <w:pPr>
              <w:spacing w:after="0"/>
            </w:pPr>
            <w:r>
              <w:rPr>
                <w:sz w:val="16"/>
              </w:rPr>
              <w:t>Provides multiple evidence types for research interpretation.</w:t>
            </w:r>
          </w:p>
        </w:tc>
      </w:tr>
    </w:tbl>
    <w:p w14:paraId="343C17E8" w14:textId="77777777" w:rsidR="00941CF4" w:rsidRDefault="00941CF4"/>
    <w:p w14:paraId="006DE006" w14:textId="77777777" w:rsidR="00941CF4" w:rsidRDefault="00000000">
      <w:pPr>
        <w:pStyle w:val="BodyText"/>
        <w:jc w:val="both"/>
      </w:pPr>
      <w:r>
        <w:t>The dashboard architecture is aligned with the project requirements: engagement filters, product count sliders, balance and salary thresholds, and four core analytical modules. The implementation supports both executive summary interpretation and deeper diagnostic analysis.</w:t>
      </w:r>
    </w:p>
    <w:p w14:paraId="1237F743" w14:textId="77777777" w:rsidR="00941CF4" w:rsidRDefault="00000000">
      <w:r>
        <w:br w:type="page"/>
      </w:r>
    </w:p>
    <w:p w14:paraId="081577D9" w14:textId="77777777" w:rsidR="00941CF4" w:rsidRDefault="00000000">
      <w:pPr>
        <w:pStyle w:val="Heading1"/>
      </w:pPr>
      <w:r>
        <w:lastRenderedPageBreak/>
        <w:t>15. Data Interpretation Governance</w:t>
      </w:r>
    </w:p>
    <w:p w14:paraId="3AA368C8" w14:textId="77777777" w:rsidR="00941CF4" w:rsidRDefault="00000000">
      <w:pPr>
        <w:pStyle w:val="BodyText"/>
        <w:jc w:val="both"/>
      </w:pPr>
      <w:r>
        <w:t>Interpretation governance is required because customer-retention dashboards can be misused when visual evidence is treated as causal proof or when small segments are interpreted without sample-size caution. This paper treats the dashboard as a decision-support system rather than an automated final judgment layer.</w:t>
      </w:r>
    </w:p>
    <w:tbl>
      <w:tblPr>
        <w:tblW w:w="0" w:type="auto"/>
        <w:jc w:val="center"/>
        <w:tblLook w:val="04A0" w:firstRow="1" w:lastRow="0" w:firstColumn="1" w:lastColumn="0" w:noHBand="0" w:noVBand="1"/>
      </w:tblPr>
      <w:tblGrid>
        <w:gridCol w:w="3024"/>
        <w:gridCol w:w="3168"/>
        <w:gridCol w:w="4032"/>
      </w:tblGrid>
      <w:tr w:rsidR="00941CF4" w14:paraId="6220D2E7" w14:textId="77777777">
        <w:trPr>
          <w:tblHeader/>
          <w:jc w:val="center"/>
        </w:trPr>
        <w:tc>
          <w:tcPr>
            <w:tcW w:w="3024"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29F7918B" w14:textId="77777777" w:rsidR="00941CF4" w:rsidRDefault="00000000">
            <w:pPr>
              <w:spacing w:after="0"/>
            </w:pPr>
            <w:r>
              <w:rPr>
                <w:b/>
                <w:color w:val="FFFFFF"/>
                <w:sz w:val="17"/>
              </w:rPr>
              <w:t>Governance Rule</w:t>
            </w:r>
          </w:p>
        </w:tc>
        <w:tc>
          <w:tcPr>
            <w:tcW w:w="3168"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19974B3A" w14:textId="77777777" w:rsidR="00941CF4" w:rsidRDefault="00000000">
            <w:pPr>
              <w:spacing w:after="0"/>
            </w:pPr>
            <w:r>
              <w:rPr>
                <w:b/>
                <w:color w:val="FFFFFF"/>
                <w:sz w:val="17"/>
              </w:rPr>
              <w:t>Reason</w:t>
            </w:r>
          </w:p>
        </w:tc>
        <w:tc>
          <w:tcPr>
            <w:tcW w:w="4032"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5C2DBFB8" w14:textId="77777777" w:rsidR="00941CF4" w:rsidRDefault="00000000">
            <w:pPr>
              <w:spacing w:after="0"/>
            </w:pPr>
            <w:r>
              <w:rPr>
                <w:b/>
                <w:color w:val="FFFFFF"/>
                <w:sz w:val="17"/>
              </w:rPr>
              <w:t>Practical Application</w:t>
            </w:r>
          </w:p>
        </w:tc>
      </w:tr>
      <w:tr w:rsidR="00941CF4" w14:paraId="43117283" w14:textId="77777777">
        <w:trPr>
          <w:jc w:val="center"/>
        </w:trPr>
        <w:tc>
          <w:tcPr>
            <w:tcW w:w="3024" w:type="dxa"/>
            <w:shd w:val="clear" w:color="auto" w:fill="FFFFFF"/>
          </w:tcPr>
          <w:p w14:paraId="2047D8B0" w14:textId="77777777" w:rsidR="00941CF4" w:rsidRDefault="00000000">
            <w:pPr>
              <w:spacing w:after="0"/>
            </w:pPr>
            <w:r>
              <w:rPr>
                <w:sz w:val="16"/>
              </w:rPr>
              <w:t>Do not treat correlation as causation</w:t>
            </w:r>
          </w:p>
        </w:tc>
        <w:tc>
          <w:tcPr>
            <w:tcW w:w="3168" w:type="dxa"/>
            <w:shd w:val="clear" w:color="auto" w:fill="FFFFFF"/>
          </w:tcPr>
          <w:p w14:paraId="7F509992" w14:textId="77777777" w:rsidR="00941CF4" w:rsidRDefault="00000000">
            <w:pPr>
              <w:spacing w:after="0"/>
            </w:pPr>
            <w:r>
              <w:rPr>
                <w:sz w:val="16"/>
              </w:rPr>
              <w:t>The dataset is observational.</w:t>
            </w:r>
          </w:p>
        </w:tc>
        <w:tc>
          <w:tcPr>
            <w:tcW w:w="4032" w:type="dxa"/>
            <w:shd w:val="clear" w:color="auto" w:fill="FFFFFF"/>
          </w:tcPr>
          <w:p w14:paraId="52207ABC" w14:textId="77777777" w:rsidR="00941CF4" w:rsidRDefault="00000000">
            <w:pPr>
              <w:spacing w:after="0"/>
            </w:pPr>
            <w:r>
              <w:rPr>
                <w:sz w:val="16"/>
              </w:rPr>
              <w:t>Use language such as associated with or linked with, not caused by.</w:t>
            </w:r>
          </w:p>
        </w:tc>
      </w:tr>
      <w:tr w:rsidR="00941CF4" w14:paraId="56FB7A28" w14:textId="77777777">
        <w:trPr>
          <w:jc w:val="center"/>
        </w:trPr>
        <w:tc>
          <w:tcPr>
            <w:tcW w:w="3024" w:type="dxa"/>
            <w:shd w:val="clear" w:color="auto" w:fill="F5F7FA"/>
          </w:tcPr>
          <w:p w14:paraId="0F62DADE" w14:textId="77777777" w:rsidR="00941CF4" w:rsidRDefault="00000000">
            <w:pPr>
              <w:spacing w:after="0"/>
            </w:pPr>
            <w:r>
              <w:rPr>
                <w:sz w:val="16"/>
              </w:rPr>
              <w:t>Interpret 4-product churn with sample-size caution</w:t>
            </w:r>
          </w:p>
        </w:tc>
        <w:tc>
          <w:tcPr>
            <w:tcW w:w="3168" w:type="dxa"/>
            <w:shd w:val="clear" w:color="auto" w:fill="F5F7FA"/>
          </w:tcPr>
          <w:p w14:paraId="5E7330DE" w14:textId="77777777" w:rsidR="00941CF4" w:rsidRDefault="00000000">
            <w:pPr>
              <w:spacing w:after="0"/>
            </w:pPr>
            <w:r>
              <w:rPr>
                <w:sz w:val="16"/>
              </w:rPr>
              <w:t>Small groups can create extreme rates.</w:t>
            </w:r>
          </w:p>
        </w:tc>
        <w:tc>
          <w:tcPr>
            <w:tcW w:w="4032" w:type="dxa"/>
            <w:shd w:val="clear" w:color="auto" w:fill="F5F7FA"/>
          </w:tcPr>
          <w:p w14:paraId="042693A9" w14:textId="77777777" w:rsidR="00941CF4" w:rsidRDefault="00000000">
            <w:pPr>
              <w:spacing w:after="0"/>
            </w:pPr>
            <w:r>
              <w:rPr>
                <w:sz w:val="16"/>
              </w:rPr>
              <w:t>Review customer counts before designing broad product policy.</w:t>
            </w:r>
          </w:p>
        </w:tc>
      </w:tr>
      <w:tr w:rsidR="00941CF4" w14:paraId="1F37B346" w14:textId="77777777">
        <w:trPr>
          <w:jc w:val="center"/>
        </w:trPr>
        <w:tc>
          <w:tcPr>
            <w:tcW w:w="3024" w:type="dxa"/>
            <w:shd w:val="clear" w:color="auto" w:fill="FFFFFF"/>
          </w:tcPr>
          <w:p w14:paraId="088A407A" w14:textId="77777777" w:rsidR="00941CF4" w:rsidRDefault="00000000">
            <w:pPr>
              <w:spacing w:after="0"/>
            </w:pPr>
            <w:r>
              <w:rPr>
                <w:sz w:val="16"/>
              </w:rPr>
              <w:t>Combine engagement and product depth</w:t>
            </w:r>
          </w:p>
        </w:tc>
        <w:tc>
          <w:tcPr>
            <w:tcW w:w="3168" w:type="dxa"/>
            <w:shd w:val="clear" w:color="auto" w:fill="FFFFFF"/>
          </w:tcPr>
          <w:p w14:paraId="3AD84A08" w14:textId="77777777" w:rsidR="00941CF4" w:rsidRDefault="00000000">
            <w:pPr>
              <w:spacing w:after="0"/>
            </w:pPr>
            <w:r>
              <w:rPr>
                <w:sz w:val="16"/>
              </w:rPr>
              <w:t>Product count alone is incomplete.</w:t>
            </w:r>
          </w:p>
        </w:tc>
        <w:tc>
          <w:tcPr>
            <w:tcW w:w="4032" w:type="dxa"/>
            <w:shd w:val="clear" w:color="auto" w:fill="FFFFFF"/>
          </w:tcPr>
          <w:p w14:paraId="169CFA36" w14:textId="77777777" w:rsidR="00941CF4" w:rsidRDefault="00000000">
            <w:pPr>
              <w:spacing w:after="0"/>
            </w:pPr>
            <w:r>
              <w:rPr>
                <w:sz w:val="16"/>
              </w:rPr>
              <w:t>Use product depth with engagement status and retention tier.</w:t>
            </w:r>
          </w:p>
        </w:tc>
      </w:tr>
      <w:tr w:rsidR="00941CF4" w14:paraId="15E93C84" w14:textId="77777777">
        <w:trPr>
          <w:jc w:val="center"/>
        </w:trPr>
        <w:tc>
          <w:tcPr>
            <w:tcW w:w="3024" w:type="dxa"/>
            <w:shd w:val="clear" w:color="auto" w:fill="F5F7FA"/>
          </w:tcPr>
          <w:p w14:paraId="36E54D1C" w14:textId="77777777" w:rsidR="00941CF4" w:rsidRDefault="00000000">
            <w:pPr>
              <w:spacing w:after="0"/>
            </w:pPr>
            <w:r>
              <w:rPr>
                <w:sz w:val="16"/>
              </w:rPr>
              <w:t>Use high balance with engagement status</w:t>
            </w:r>
          </w:p>
        </w:tc>
        <w:tc>
          <w:tcPr>
            <w:tcW w:w="3168" w:type="dxa"/>
            <w:shd w:val="clear" w:color="auto" w:fill="F5F7FA"/>
          </w:tcPr>
          <w:p w14:paraId="15CC0C5B" w14:textId="77777777" w:rsidR="00941CF4" w:rsidRDefault="00000000">
            <w:pPr>
              <w:spacing w:after="0"/>
            </w:pPr>
            <w:r>
              <w:rPr>
                <w:sz w:val="16"/>
              </w:rPr>
              <w:t>Financial value does not guarantee loyalty.</w:t>
            </w:r>
          </w:p>
        </w:tc>
        <w:tc>
          <w:tcPr>
            <w:tcW w:w="4032" w:type="dxa"/>
            <w:shd w:val="clear" w:color="auto" w:fill="F5F7FA"/>
          </w:tcPr>
          <w:p w14:paraId="5002C916" w14:textId="77777777" w:rsidR="00941CF4" w:rsidRDefault="00000000">
            <w:pPr>
              <w:spacing w:after="0"/>
            </w:pPr>
            <w:r>
              <w:rPr>
                <w:sz w:val="16"/>
              </w:rPr>
              <w:t>Prioritize high-value disengaged customers.</w:t>
            </w:r>
          </w:p>
        </w:tc>
      </w:tr>
      <w:tr w:rsidR="00941CF4" w14:paraId="2D5284AD" w14:textId="77777777">
        <w:trPr>
          <w:jc w:val="center"/>
        </w:trPr>
        <w:tc>
          <w:tcPr>
            <w:tcW w:w="3024" w:type="dxa"/>
            <w:shd w:val="clear" w:color="auto" w:fill="FFFFFF"/>
          </w:tcPr>
          <w:p w14:paraId="2FC36088" w14:textId="77777777" w:rsidR="00941CF4" w:rsidRDefault="00000000">
            <w:pPr>
              <w:spacing w:after="0"/>
            </w:pPr>
            <w:r>
              <w:rPr>
                <w:sz w:val="16"/>
              </w:rPr>
              <w:t>Use retention tiers for prioritization</w:t>
            </w:r>
          </w:p>
        </w:tc>
        <w:tc>
          <w:tcPr>
            <w:tcW w:w="3168" w:type="dxa"/>
            <w:shd w:val="clear" w:color="auto" w:fill="FFFFFF"/>
          </w:tcPr>
          <w:p w14:paraId="755B0D4E" w14:textId="77777777" w:rsidR="00941CF4" w:rsidRDefault="00000000">
            <w:pPr>
              <w:spacing w:after="0"/>
            </w:pPr>
            <w:r>
              <w:rPr>
                <w:sz w:val="16"/>
              </w:rPr>
              <w:t>Scores guide campaign urgency.</w:t>
            </w:r>
          </w:p>
        </w:tc>
        <w:tc>
          <w:tcPr>
            <w:tcW w:w="4032" w:type="dxa"/>
            <w:shd w:val="clear" w:color="auto" w:fill="FFFFFF"/>
          </w:tcPr>
          <w:p w14:paraId="411A699D" w14:textId="77777777" w:rsidR="00941CF4" w:rsidRDefault="00000000">
            <w:pPr>
              <w:spacing w:after="0"/>
            </w:pPr>
            <w:r>
              <w:rPr>
                <w:sz w:val="16"/>
              </w:rPr>
              <w:t>Do not use score as the only customer decision rule.</w:t>
            </w:r>
          </w:p>
        </w:tc>
      </w:tr>
      <w:tr w:rsidR="00941CF4" w14:paraId="168344AC" w14:textId="77777777">
        <w:trPr>
          <w:jc w:val="center"/>
        </w:trPr>
        <w:tc>
          <w:tcPr>
            <w:tcW w:w="3024" w:type="dxa"/>
            <w:shd w:val="clear" w:color="auto" w:fill="F5F7FA"/>
          </w:tcPr>
          <w:p w14:paraId="51B8B61E" w14:textId="77777777" w:rsidR="00941CF4" w:rsidRDefault="00000000">
            <w:pPr>
              <w:spacing w:after="0"/>
            </w:pPr>
            <w:r>
              <w:rPr>
                <w:sz w:val="16"/>
              </w:rPr>
              <w:t>Recalculate KPIs after filters</w:t>
            </w:r>
          </w:p>
        </w:tc>
        <w:tc>
          <w:tcPr>
            <w:tcW w:w="3168" w:type="dxa"/>
            <w:shd w:val="clear" w:color="auto" w:fill="F5F7FA"/>
          </w:tcPr>
          <w:p w14:paraId="362F6B80" w14:textId="77777777" w:rsidR="00941CF4" w:rsidRDefault="00000000">
            <w:pPr>
              <w:spacing w:after="0"/>
            </w:pPr>
            <w:r>
              <w:rPr>
                <w:sz w:val="16"/>
              </w:rPr>
              <w:t>Dashboard values are filter-aware.</w:t>
            </w:r>
          </w:p>
        </w:tc>
        <w:tc>
          <w:tcPr>
            <w:tcW w:w="4032" w:type="dxa"/>
            <w:shd w:val="clear" w:color="auto" w:fill="F5F7FA"/>
          </w:tcPr>
          <w:p w14:paraId="543BD5BB" w14:textId="77777777" w:rsidR="00941CF4" w:rsidRDefault="00000000">
            <w:pPr>
              <w:spacing w:after="0"/>
            </w:pPr>
            <w:r>
              <w:rPr>
                <w:sz w:val="16"/>
              </w:rPr>
              <w:t>Document selected filters when publishing screenshots.</w:t>
            </w:r>
          </w:p>
        </w:tc>
      </w:tr>
    </w:tbl>
    <w:p w14:paraId="44EE36E0" w14:textId="77777777" w:rsidR="00941CF4" w:rsidRDefault="00941CF4"/>
    <w:tbl>
      <w:tblPr>
        <w:tblW w:w="0" w:type="auto"/>
        <w:jc w:val="center"/>
        <w:tblLook w:val="04A0" w:firstRow="1" w:lastRow="0" w:firstColumn="1" w:lastColumn="0" w:noHBand="0" w:noVBand="1"/>
      </w:tblPr>
      <w:tblGrid>
        <w:gridCol w:w="10656"/>
      </w:tblGrid>
      <w:tr w:rsidR="00941CF4" w14:paraId="34F7998A"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EAF2FB"/>
          </w:tcPr>
          <w:p w14:paraId="01BC18A7" w14:textId="77777777" w:rsidR="00941CF4" w:rsidRDefault="00000000">
            <w:pPr>
              <w:spacing w:after="80"/>
            </w:pPr>
            <w:r>
              <w:rPr>
                <w:b/>
                <w:color w:val="001F3F"/>
                <w:sz w:val="21"/>
              </w:rPr>
              <w:t>Publishing note</w:t>
            </w:r>
          </w:p>
          <w:p w14:paraId="280A7A03" w14:textId="77777777" w:rsidR="00941CF4" w:rsidRDefault="00000000">
            <w:pPr>
              <w:spacing w:after="0"/>
            </w:pPr>
            <w:r>
              <w:rPr>
                <w:sz w:val="19"/>
              </w:rPr>
              <w:t>When publishing this paper with dashboard screenshots, include the dataset version, dashboard version, filter state, and interpretation boundaries. This protects against misreading static screenshots as universal customer-level conclusions.</w:t>
            </w:r>
          </w:p>
        </w:tc>
      </w:tr>
    </w:tbl>
    <w:p w14:paraId="19CA0273" w14:textId="77777777" w:rsidR="00941CF4" w:rsidRDefault="00941CF4"/>
    <w:p w14:paraId="75CCBBE8" w14:textId="77777777" w:rsidR="00941CF4" w:rsidRDefault="00000000">
      <w:r>
        <w:br w:type="page"/>
      </w:r>
    </w:p>
    <w:p w14:paraId="4A51B415" w14:textId="77777777" w:rsidR="00941CF4" w:rsidRDefault="00000000">
      <w:pPr>
        <w:pStyle w:val="Heading1"/>
      </w:pPr>
      <w:r>
        <w:lastRenderedPageBreak/>
        <w:t>16. Conclusion</w:t>
      </w:r>
    </w:p>
    <w:p w14:paraId="3B766CC2" w14:textId="77777777" w:rsidR="00941CF4" w:rsidRDefault="00000000">
      <w:pPr>
        <w:pStyle w:val="BodyText"/>
        <w:jc w:val="both"/>
      </w:pPr>
      <w:r>
        <w:t>This research paper demonstrates that customer retention can be evaluated more effectively when churn is framed as a behavioral and relationship-strength problem. Engagement status, product depth, high-value disengagement, credit-card stickiness, and retention scoring collectively provide a richer retention strategy framework than generic churn reporting.</w:t>
      </w:r>
    </w:p>
    <w:p w14:paraId="4937343B" w14:textId="77777777" w:rsidR="00941CF4" w:rsidRDefault="00000000">
      <w:pPr>
        <w:pStyle w:val="BodyText"/>
        <w:jc w:val="both"/>
      </w:pPr>
      <w:r>
        <w:t>The most important finding is that inactive customers contribute most of total churn, while high-value disengagement creates a major premium-risk exposure. Product analysis shows that two-product customers have the strongest retention profile, but higher product count is not automatically safer. Retention-tier analysis confirms that critical-risk customers need urgent attention, while very strong retention customers represent the most stable loyalty profile.</w:t>
      </w:r>
    </w:p>
    <w:p w14:paraId="65DB8888" w14:textId="77777777" w:rsidR="00941CF4" w:rsidRDefault="00000000">
      <w:pPr>
        <w:pStyle w:val="BodyText"/>
        <w:jc w:val="both"/>
      </w:pPr>
      <w:r>
        <w:t>The final recommendation is to use this dashboard as a retention decision-support system. Banks should use engagement recovery, targeted product bundling, premium customer outreach, and retention-tier prioritization to move from broad churn prevention to precise, data-driven customer relationship management.</w:t>
      </w:r>
    </w:p>
    <w:p w14:paraId="3211C617" w14:textId="77777777" w:rsidR="00941CF4" w:rsidRDefault="00000000">
      <w:pPr>
        <w:pStyle w:val="Heading2"/>
      </w:pPr>
      <w:r>
        <w:t>16.1 Final Decision Summary</w:t>
      </w:r>
    </w:p>
    <w:tbl>
      <w:tblPr>
        <w:tblW w:w="0" w:type="auto"/>
        <w:jc w:val="center"/>
        <w:tblLook w:val="04A0" w:firstRow="1" w:lastRow="0" w:firstColumn="1" w:lastColumn="0" w:noHBand="0" w:noVBand="1"/>
      </w:tblPr>
      <w:tblGrid>
        <w:gridCol w:w="2160"/>
        <w:gridCol w:w="5040"/>
        <w:gridCol w:w="1728"/>
      </w:tblGrid>
      <w:tr w:rsidR="00941CF4" w14:paraId="12F5E076" w14:textId="77777777">
        <w:trPr>
          <w:tblHeader/>
          <w:jc w:val="center"/>
        </w:trPr>
        <w:tc>
          <w:tcPr>
            <w:tcW w:w="2160"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6EE91D6B" w14:textId="77777777" w:rsidR="00941CF4" w:rsidRDefault="00000000">
            <w:pPr>
              <w:spacing w:after="0"/>
            </w:pPr>
            <w:r>
              <w:rPr>
                <w:b/>
                <w:color w:val="FFFFFF"/>
                <w:sz w:val="17"/>
              </w:rPr>
              <w:t>Decision Area</w:t>
            </w:r>
          </w:p>
        </w:tc>
        <w:tc>
          <w:tcPr>
            <w:tcW w:w="5040"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001A9380" w14:textId="77777777" w:rsidR="00941CF4" w:rsidRDefault="00000000">
            <w:pPr>
              <w:spacing w:after="0"/>
            </w:pPr>
            <w:r>
              <w:rPr>
                <w:b/>
                <w:color w:val="FFFFFF"/>
                <w:sz w:val="17"/>
              </w:rPr>
              <w:t>Final Research Reading</w:t>
            </w:r>
          </w:p>
        </w:tc>
        <w:tc>
          <w:tcPr>
            <w:tcW w:w="1728"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16995245" w14:textId="77777777" w:rsidR="00941CF4" w:rsidRDefault="00000000">
            <w:pPr>
              <w:spacing w:after="0"/>
            </w:pPr>
            <w:r>
              <w:rPr>
                <w:b/>
                <w:color w:val="FFFFFF"/>
                <w:sz w:val="17"/>
              </w:rPr>
              <w:t>Action Priority</w:t>
            </w:r>
          </w:p>
        </w:tc>
      </w:tr>
      <w:tr w:rsidR="00941CF4" w14:paraId="58BA4FB2" w14:textId="77777777">
        <w:trPr>
          <w:jc w:val="center"/>
        </w:trPr>
        <w:tc>
          <w:tcPr>
            <w:tcW w:w="2160" w:type="dxa"/>
            <w:shd w:val="clear" w:color="auto" w:fill="FFFFFF"/>
          </w:tcPr>
          <w:p w14:paraId="7DB0C3F8" w14:textId="77777777" w:rsidR="00941CF4" w:rsidRDefault="00000000">
            <w:pPr>
              <w:spacing w:after="0"/>
            </w:pPr>
            <w:r>
              <w:rPr>
                <w:sz w:val="16"/>
              </w:rPr>
              <w:t>Engagement</w:t>
            </w:r>
          </w:p>
        </w:tc>
        <w:tc>
          <w:tcPr>
            <w:tcW w:w="5040" w:type="dxa"/>
            <w:shd w:val="clear" w:color="auto" w:fill="FFFFFF"/>
          </w:tcPr>
          <w:p w14:paraId="015B00D5" w14:textId="77777777" w:rsidR="00941CF4" w:rsidRDefault="00000000">
            <w:pPr>
              <w:spacing w:after="0"/>
            </w:pPr>
            <w:r>
              <w:rPr>
                <w:sz w:val="16"/>
              </w:rPr>
              <w:t>Inactive behavior is the largest churn-contribution signal.</w:t>
            </w:r>
          </w:p>
        </w:tc>
        <w:tc>
          <w:tcPr>
            <w:tcW w:w="1728" w:type="dxa"/>
            <w:shd w:val="clear" w:color="auto" w:fill="FFFFFF"/>
          </w:tcPr>
          <w:p w14:paraId="1B3B9B1C" w14:textId="77777777" w:rsidR="00941CF4" w:rsidRDefault="00000000">
            <w:pPr>
              <w:spacing w:after="0"/>
            </w:pPr>
            <w:r>
              <w:rPr>
                <w:sz w:val="16"/>
              </w:rPr>
              <w:t>High</w:t>
            </w:r>
          </w:p>
        </w:tc>
      </w:tr>
      <w:tr w:rsidR="00941CF4" w14:paraId="3D82D43E" w14:textId="77777777">
        <w:trPr>
          <w:jc w:val="center"/>
        </w:trPr>
        <w:tc>
          <w:tcPr>
            <w:tcW w:w="2160" w:type="dxa"/>
            <w:shd w:val="clear" w:color="auto" w:fill="F5F7FA"/>
          </w:tcPr>
          <w:p w14:paraId="7E9052CA" w14:textId="77777777" w:rsidR="00941CF4" w:rsidRDefault="00000000">
            <w:pPr>
              <w:spacing w:after="0"/>
            </w:pPr>
            <w:r>
              <w:rPr>
                <w:sz w:val="16"/>
              </w:rPr>
              <w:t>Product utilization</w:t>
            </w:r>
          </w:p>
        </w:tc>
        <w:tc>
          <w:tcPr>
            <w:tcW w:w="5040" w:type="dxa"/>
            <w:shd w:val="clear" w:color="auto" w:fill="F5F7FA"/>
          </w:tcPr>
          <w:p w14:paraId="01C4FFEE" w14:textId="77777777" w:rsidR="00941CF4" w:rsidRDefault="00000000">
            <w:pPr>
              <w:spacing w:after="0"/>
            </w:pPr>
            <w:r>
              <w:rPr>
                <w:sz w:val="16"/>
              </w:rPr>
              <w:t>Two-product depth appears strongest, while excessive product load requires review.</w:t>
            </w:r>
          </w:p>
        </w:tc>
        <w:tc>
          <w:tcPr>
            <w:tcW w:w="1728" w:type="dxa"/>
            <w:shd w:val="clear" w:color="auto" w:fill="F5F7FA"/>
          </w:tcPr>
          <w:p w14:paraId="7D9AFA57" w14:textId="77777777" w:rsidR="00941CF4" w:rsidRDefault="00000000">
            <w:pPr>
              <w:spacing w:after="0"/>
            </w:pPr>
            <w:r>
              <w:rPr>
                <w:sz w:val="16"/>
              </w:rPr>
              <w:t>High</w:t>
            </w:r>
          </w:p>
        </w:tc>
      </w:tr>
      <w:tr w:rsidR="00941CF4" w14:paraId="225591E1" w14:textId="77777777">
        <w:trPr>
          <w:jc w:val="center"/>
        </w:trPr>
        <w:tc>
          <w:tcPr>
            <w:tcW w:w="2160" w:type="dxa"/>
            <w:shd w:val="clear" w:color="auto" w:fill="FFFFFF"/>
          </w:tcPr>
          <w:p w14:paraId="5F152A02" w14:textId="77777777" w:rsidR="00941CF4" w:rsidRDefault="00000000">
            <w:pPr>
              <w:spacing w:after="0"/>
            </w:pPr>
            <w:r>
              <w:rPr>
                <w:sz w:val="16"/>
              </w:rPr>
              <w:t>Premium risk</w:t>
            </w:r>
          </w:p>
        </w:tc>
        <w:tc>
          <w:tcPr>
            <w:tcW w:w="5040" w:type="dxa"/>
            <w:shd w:val="clear" w:color="auto" w:fill="FFFFFF"/>
          </w:tcPr>
          <w:p w14:paraId="49F9869D" w14:textId="77777777" w:rsidR="00941CF4" w:rsidRDefault="00000000">
            <w:pPr>
              <w:spacing w:after="0"/>
            </w:pPr>
            <w:r>
              <w:rPr>
                <w:sz w:val="16"/>
              </w:rPr>
              <w:t>High-value disengagement creates major financial exposure.</w:t>
            </w:r>
          </w:p>
        </w:tc>
        <w:tc>
          <w:tcPr>
            <w:tcW w:w="1728" w:type="dxa"/>
            <w:shd w:val="clear" w:color="auto" w:fill="FFFFFF"/>
          </w:tcPr>
          <w:p w14:paraId="04AE007E" w14:textId="77777777" w:rsidR="00941CF4" w:rsidRDefault="00000000">
            <w:pPr>
              <w:spacing w:after="0"/>
            </w:pPr>
            <w:r>
              <w:rPr>
                <w:sz w:val="16"/>
              </w:rPr>
              <w:t>High</w:t>
            </w:r>
          </w:p>
        </w:tc>
      </w:tr>
      <w:tr w:rsidR="00941CF4" w14:paraId="34FA0C58" w14:textId="77777777">
        <w:trPr>
          <w:jc w:val="center"/>
        </w:trPr>
        <w:tc>
          <w:tcPr>
            <w:tcW w:w="2160" w:type="dxa"/>
            <w:shd w:val="clear" w:color="auto" w:fill="F5F7FA"/>
          </w:tcPr>
          <w:p w14:paraId="47CA2FBE" w14:textId="77777777" w:rsidR="00941CF4" w:rsidRDefault="00000000">
            <w:pPr>
              <w:spacing w:after="0"/>
            </w:pPr>
            <w:r>
              <w:rPr>
                <w:sz w:val="16"/>
              </w:rPr>
              <w:t>Retention scoring</w:t>
            </w:r>
          </w:p>
        </w:tc>
        <w:tc>
          <w:tcPr>
            <w:tcW w:w="5040" w:type="dxa"/>
            <w:shd w:val="clear" w:color="auto" w:fill="F5F7FA"/>
          </w:tcPr>
          <w:p w14:paraId="32965F0C" w14:textId="77777777" w:rsidR="00941CF4" w:rsidRDefault="00000000">
            <w:pPr>
              <w:spacing w:after="0"/>
            </w:pPr>
            <w:r>
              <w:rPr>
                <w:sz w:val="16"/>
              </w:rPr>
              <w:t>Tier-based scoring separates critical-risk customers from sticky customers.</w:t>
            </w:r>
          </w:p>
        </w:tc>
        <w:tc>
          <w:tcPr>
            <w:tcW w:w="1728" w:type="dxa"/>
            <w:shd w:val="clear" w:color="auto" w:fill="F5F7FA"/>
          </w:tcPr>
          <w:p w14:paraId="4DC90CBA" w14:textId="77777777" w:rsidR="00941CF4" w:rsidRDefault="00000000">
            <w:pPr>
              <w:spacing w:after="0"/>
            </w:pPr>
            <w:r>
              <w:rPr>
                <w:sz w:val="16"/>
              </w:rPr>
              <w:t>High</w:t>
            </w:r>
          </w:p>
        </w:tc>
      </w:tr>
      <w:tr w:rsidR="00941CF4" w14:paraId="16B73CDA" w14:textId="77777777">
        <w:trPr>
          <w:jc w:val="center"/>
        </w:trPr>
        <w:tc>
          <w:tcPr>
            <w:tcW w:w="2160" w:type="dxa"/>
            <w:shd w:val="clear" w:color="auto" w:fill="FFFFFF"/>
          </w:tcPr>
          <w:p w14:paraId="77B85E76" w14:textId="77777777" w:rsidR="00941CF4" w:rsidRDefault="00000000">
            <w:pPr>
              <w:spacing w:after="0"/>
            </w:pPr>
            <w:r>
              <w:rPr>
                <w:sz w:val="16"/>
              </w:rPr>
              <w:t>Governance</w:t>
            </w:r>
          </w:p>
        </w:tc>
        <w:tc>
          <w:tcPr>
            <w:tcW w:w="5040" w:type="dxa"/>
            <w:shd w:val="clear" w:color="auto" w:fill="FFFFFF"/>
          </w:tcPr>
          <w:p w14:paraId="770CD48B" w14:textId="77777777" w:rsidR="00941CF4" w:rsidRDefault="00000000">
            <w:pPr>
              <w:spacing w:after="0"/>
            </w:pPr>
            <w:r>
              <w:rPr>
                <w:sz w:val="16"/>
              </w:rPr>
              <w:t>Insights should be used for prioritization, not causal or automated final judgment.</w:t>
            </w:r>
          </w:p>
        </w:tc>
        <w:tc>
          <w:tcPr>
            <w:tcW w:w="1728" w:type="dxa"/>
            <w:shd w:val="clear" w:color="auto" w:fill="FFFFFF"/>
          </w:tcPr>
          <w:p w14:paraId="4242C61E" w14:textId="77777777" w:rsidR="00941CF4" w:rsidRDefault="00000000">
            <w:pPr>
              <w:spacing w:after="0"/>
            </w:pPr>
            <w:r>
              <w:rPr>
                <w:sz w:val="16"/>
              </w:rPr>
              <w:t>Medium</w:t>
            </w:r>
          </w:p>
        </w:tc>
      </w:tr>
    </w:tbl>
    <w:p w14:paraId="0EA62368" w14:textId="77777777" w:rsidR="00941CF4" w:rsidRDefault="00941CF4"/>
    <w:tbl>
      <w:tblPr>
        <w:tblW w:w="0" w:type="auto"/>
        <w:jc w:val="center"/>
        <w:tblLook w:val="04A0" w:firstRow="1" w:lastRow="0" w:firstColumn="1" w:lastColumn="0" w:noHBand="0" w:noVBand="1"/>
      </w:tblPr>
      <w:tblGrid>
        <w:gridCol w:w="10656"/>
      </w:tblGrid>
      <w:tr w:rsidR="00941CF4" w14:paraId="6C9C0D4A"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EAF2FB"/>
          </w:tcPr>
          <w:p w14:paraId="16A906B4" w14:textId="77777777" w:rsidR="00941CF4" w:rsidRDefault="00000000">
            <w:pPr>
              <w:spacing w:after="80"/>
            </w:pPr>
            <w:r>
              <w:rPr>
                <w:b/>
                <w:color w:val="001F3F"/>
                <w:sz w:val="21"/>
              </w:rPr>
              <w:t>Final readiness note</w:t>
            </w:r>
          </w:p>
          <w:p w14:paraId="6D72EA86" w14:textId="77777777" w:rsidR="00941CF4" w:rsidRDefault="00000000">
            <w:pPr>
              <w:spacing w:after="0"/>
            </w:pPr>
            <w:r>
              <w:rPr>
                <w:sz w:val="19"/>
              </w:rPr>
              <w:t>This paper is ready for professional portfolio use, internship submission, GitHub documentation, LinkedIn project storytelling, and Zenodo-style research repository packaging. A peer-reviewed academic manuscript would require formal literature review expansion, causal validation, and journal-specific formatting.</w:t>
            </w:r>
          </w:p>
        </w:tc>
      </w:tr>
    </w:tbl>
    <w:p w14:paraId="39B6BE67" w14:textId="77777777" w:rsidR="00941CF4" w:rsidRDefault="00941CF4"/>
    <w:p w14:paraId="32B34C43" w14:textId="77777777" w:rsidR="00941CF4" w:rsidRDefault="00000000">
      <w:r>
        <w:br w:type="page"/>
      </w:r>
    </w:p>
    <w:p w14:paraId="23816DD3" w14:textId="77777777" w:rsidR="00941CF4" w:rsidRDefault="00000000">
      <w:pPr>
        <w:pStyle w:val="Heading1"/>
      </w:pPr>
      <w:r>
        <w:lastRenderedPageBreak/>
        <w:t>17. References</w:t>
      </w:r>
    </w:p>
    <w:tbl>
      <w:tblPr>
        <w:tblW w:w="0" w:type="auto"/>
        <w:jc w:val="center"/>
        <w:tblLook w:val="04A0" w:firstRow="1" w:lastRow="0" w:firstColumn="1" w:lastColumn="0" w:noHBand="0" w:noVBand="1"/>
      </w:tblPr>
      <w:tblGrid>
        <w:gridCol w:w="5184"/>
        <w:gridCol w:w="2016"/>
        <w:gridCol w:w="3024"/>
      </w:tblGrid>
      <w:tr w:rsidR="00941CF4" w14:paraId="4C7258D9" w14:textId="77777777">
        <w:trPr>
          <w:tblHeader/>
          <w:jc w:val="center"/>
        </w:trPr>
        <w:tc>
          <w:tcPr>
            <w:tcW w:w="5184"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375EF612" w14:textId="77777777" w:rsidR="00941CF4" w:rsidRDefault="00000000">
            <w:pPr>
              <w:spacing w:after="0"/>
            </w:pPr>
            <w:r>
              <w:rPr>
                <w:b/>
                <w:color w:val="FFFFFF"/>
                <w:sz w:val="17"/>
              </w:rPr>
              <w:t>Reference</w:t>
            </w:r>
          </w:p>
        </w:tc>
        <w:tc>
          <w:tcPr>
            <w:tcW w:w="2016"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5112CFC7" w14:textId="77777777" w:rsidR="00941CF4" w:rsidRDefault="00000000">
            <w:pPr>
              <w:spacing w:after="0"/>
            </w:pPr>
            <w:r>
              <w:rPr>
                <w:b/>
                <w:color w:val="FFFFFF"/>
                <w:sz w:val="17"/>
              </w:rPr>
              <w:t>Type</w:t>
            </w:r>
          </w:p>
        </w:tc>
        <w:tc>
          <w:tcPr>
            <w:tcW w:w="3024"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59B9EAD2" w14:textId="77777777" w:rsidR="00941CF4" w:rsidRDefault="00000000">
            <w:pPr>
              <w:spacing w:after="0"/>
            </w:pPr>
            <w:r>
              <w:rPr>
                <w:b/>
                <w:color w:val="FFFFFF"/>
                <w:sz w:val="17"/>
              </w:rPr>
              <w:t>Use in Research Paper</w:t>
            </w:r>
          </w:p>
        </w:tc>
      </w:tr>
      <w:tr w:rsidR="00941CF4" w14:paraId="57B944E3" w14:textId="77777777">
        <w:trPr>
          <w:jc w:val="center"/>
        </w:trPr>
        <w:tc>
          <w:tcPr>
            <w:tcW w:w="5184" w:type="dxa"/>
            <w:shd w:val="clear" w:color="auto" w:fill="FFFFFF"/>
          </w:tcPr>
          <w:p w14:paraId="59C75F83" w14:textId="77777777" w:rsidR="00941CF4" w:rsidRDefault="00000000">
            <w:pPr>
              <w:spacing w:after="0"/>
            </w:pPr>
            <w:r>
              <w:rPr>
                <w:sz w:val="16"/>
              </w:rPr>
              <w:t>Project Guidelines: Customer Engagement &amp; Product Utilization Analytics for Retention Strategy. Prepared for the applied data analytics project.</w:t>
            </w:r>
          </w:p>
        </w:tc>
        <w:tc>
          <w:tcPr>
            <w:tcW w:w="2016" w:type="dxa"/>
            <w:shd w:val="clear" w:color="auto" w:fill="FFFFFF"/>
          </w:tcPr>
          <w:p w14:paraId="50A806E5" w14:textId="77777777" w:rsidR="00941CF4" w:rsidRDefault="00000000">
            <w:pPr>
              <w:spacing w:after="0"/>
            </w:pPr>
            <w:r>
              <w:rPr>
                <w:sz w:val="16"/>
              </w:rPr>
              <w:t>Project source</w:t>
            </w:r>
          </w:p>
        </w:tc>
        <w:tc>
          <w:tcPr>
            <w:tcW w:w="3024" w:type="dxa"/>
            <w:shd w:val="clear" w:color="auto" w:fill="FFFFFF"/>
          </w:tcPr>
          <w:p w14:paraId="591D6505" w14:textId="77777777" w:rsidR="00941CF4" w:rsidRDefault="00000000">
            <w:pPr>
              <w:spacing w:after="0"/>
            </w:pPr>
            <w:r>
              <w:rPr>
                <w:sz w:val="16"/>
              </w:rPr>
              <w:t>Defines objectives, KPIs, methodology, dashboard requirements, and deliverables.</w:t>
            </w:r>
          </w:p>
        </w:tc>
      </w:tr>
      <w:tr w:rsidR="00941CF4" w14:paraId="36431271" w14:textId="77777777">
        <w:trPr>
          <w:jc w:val="center"/>
        </w:trPr>
        <w:tc>
          <w:tcPr>
            <w:tcW w:w="5184" w:type="dxa"/>
            <w:shd w:val="clear" w:color="auto" w:fill="F5F7FA"/>
          </w:tcPr>
          <w:p w14:paraId="79948AA8" w14:textId="77777777" w:rsidR="00941CF4" w:rsidRDefault="00000000">
            <w:pPr>
              <w:spacing w:after="0"/>
            </w:pPr>
            <w:r>
              <w:rPr>
                <w:sz w:val="16"/>
              </w:rPr>
              <w:t>Dashboard source file: app.py for Customer Engagement &amp; Product Utilization Analytics Streamlit dashboard.</w:t>
            </w:r>
          </w:p>
        </w:tc>
        <w:tc>
          <w:tcPr>
            <w:tcW w:w="2016" w:type="dxa"/>
            <w:shd w:val="clear" w:color="auto" w:fill="F5F7FA"/>
          </w:tcPr>
          <w:p w14:paraId="52985933" w14:textId="77777777" w:rsidR="00941CF4" w:rsidRDefault="00000000">
            <w:pPr>
              <w:spacing w:after="0"/>
            </w:pPr>
            <w:r>
              <w:rPr>
                <w:sz w:val="16"/>
              </w:rPr>
              <w:t>Technical artifact</w:t>
            </w:r>
          </w:p>
        </w:tc>
        <w:tc>
          <w:tcPr>
            <w:tcW w:w="3024" w:type="dxa"/>
            <w:shd w:val="clear" w:color="auto" w:fill="F5F7FA"/>
          </w:tcPr>
          <w:p w14:paraId="39A2D145" w14:textId="77777777" w:rsidR="00941CF4" w:rsidRDefault="00000000">
            <w:pPr>
              <w:spacing w:after="0"/>
            </w:pPr>
            <w:r>
              <w:rPr>
                <w:sz w:val="16"/>
              </w:rPr>
              <w:t>Supports methodology, KPI logic, filters, validation, and dashboard implementation.</w:t>
            </w:r>
          </w:p>
        </w:tc>
      </w:tr>
      <w:tr w:rsidR="00941CF4" w14:paraId="690759B8" w14:textId="77777777">
        <w:trPr>
          <w:jc w:val="center"/>
        </w:trPr>
        <w:tc>
          <w:tcPr>
            <w:tcW w:w="5184" w:type="dxa"/>
            <w:shd w:val="clear" w:color="auto" w:fill="FFFFFF"/>
          </w:tcPr>
          <w:p w14:paraId="462752BD" w14:textId="77777777" w:rsidR="00941CF4" w:rsidRDefault="00000000">
            <w:pPr>
              <w:spacing w:after="0"/>
            </w:pPr>
            <w:r>
              <w:rPr>
                <w:sz w:val="16"/>
              </w:rPr>
              <w:t>Python Software Foundation. Python documentation.</w:t>
            </w:r>
          </w:p>
        </w:tc>
        <w:tc>
          <w:tcPr>
            <w:tcW w:w="2016" w:type="dxa"/>
            <w:shd w:val="clear" w:color="auto" w:fill="FFFFFF"/>
          </w:tcPr>
          <w:p w14:paraId="6D9E06C2" w14:textId="77777777" w:rsidR="00941CF4" w:rsidRDefault="00000000">
            <w:pPr>
              <w:spacing w:after="0"/>
            </w:pPr>
            <w:r>
              <w:rPr>
                <w:sz w:val="16"/>
              </w:rPr>
              <w:t>Technical documentation</w:t>
            </w:r>
          </w:p>
        </w:tc>
        <w:tc>
          <w:tcPr>
            <w:tcW w:w="3024" w:type="dxa"/>
            <w:shd w:val="clear" w:color="auto" w:fill="FFFFFF"/>
          </w:tcPr>
          <w:p w14:paraId="6276221B" w14:textId="77777777" w:rsidR="00941CF4" w:rsidRDefault="00000000">
            <w:pPr>
              <w:spacing w:after="0"/>
            </w:pPr>
            <w:r>
              <w:rPr>
                <w:sz w:val="16"/>
              </w:rPr>
              <w:t>Programming language and analytical workflow.</w:t>
            </w:r>
          </w:p>
        </w:tc>
      </w:tr>
      <w:tr w:rsidR="00941CF4" w14:paraId="243FD3A2" w14:textId="77777777">
        <w:trPr>
          <w:jc w:val="center"/>
        </w:trPr>
        <w:tc>
          <w:tcPr>
            <w:tcW w:w="5184" w:type="dxa"/>
            <w:shd w:val="clear" w:color="auto" w:fill="F5F7FA"/>
          </w:tcPr>
          <w:p w14:paraId="5A09E7F8" w14:textId="77777777" w:rsidR="00941CF4" w:rsidRDefault="00000000">
            <w:pPr>
              <w:spacing w:after="0"/>
            </w:pPr>
            <w:r>
              <w:rPr>
                <w:sz w:val="16"/>
              </w:rPr>
              <w:t>Pandas development team. Pandas documentation.</w:t>
            </w:r>
          </w:p>
        </w:tc>
        <w:tc>
          <w:tcPr>
            <w:tcW w:w="2016" w:type="dxa"/>
            <w:shd w:val="clear" w:color="auto" w:fill="F5F7FA"/>
          </w:tcPr>
          <w:p w14:paraId="49150629" w14:textId="77777777" w:rsidR="00941CF4" w:rsidRDefault="00000000">
            <w:pPr>
              <w:spacing w:after="0"/>
            </w:pPr>
            <w:r>
              <w:rPr>
                <w:sz w:val="16"/>
              </w:rPr>
              <w:t>Technical documentation</w:t>
            </w:r>
          </w:p>
        </w:tc>
        <w:tc>
          <w:tcPr>
            <w:tcW w:w="3024" w:type="dxa"/>
            <w:shd w:val="clear" w:color="auto" w:fill="F5F7FA"/>
          </w:tcPr>
          <w:p w14:paraId="469A3068" w14:textId="77777777" w:rsidR="00941CF4" w:rsidRDefault="00000000">
            <w:pPr>
              <w:spacing w:after="0"/>
            </w:pPr>
            <w:r>
              <w:rPr>
                <w:sz w:val="16"/>
              </w:rPr>
              <w:t>Data loading, cleaning, grouping, aggregation, and feature engineering.</w:t>
            </w:r>
          </w:p>
        </w:tc>
      </w:tr>
      <w:tr w:rsidR="00941CF4" w14:paraId="724C3D77" w14:textId="77777777">
        <w:trPr>
          <w:jc w:val="center"/>
        </w:trPr>
        <w:tc>
          <w:tcPr>
            <w:tcW w:w="5184" w:type="dxa"/>
            <w:shd w:val="clear" w:color="auto" w:fill="FFFFFF"/>
          </w:tcPr>
          <w:p w14:paraId="3FA6BD20" w14:textId="77777777" w:rsidR="00941CF4" w:rsidRDefault="00000000">
            <w:pPr>
              <w:spacing w:after="0"/>
            </w:pPr>
            <w:r>
              <w:rPr>
                <w:sz w:val="16"/>
              </w:rPr>
              <w:t>NumPy developers. NumPy documentation.</w:t>
            </w:r>
          </w:p>
        </w:tc>
        <w:tc>
          <w:tcPr>
            <w:tcW w:w="2016" w:type="dxa"/>
            <w:shd w:val="clear" w:color="auto" w:fill="FFFFFF"/>
          </w:tcPr>
          <w:p w14:paraId="7AB25534" w14:textId="77777777" w:rsidR="00941CF4" w:rsidRDefault="00000000">
            <w:pPr>
              <w:spacing w:after="0"/>
            </w:pPr>
            <w:r>
              <w:rPr>
                <w:sz w:val="16"/>
              </w:rPr>
              <w:t>Technical documentation</w:t>
            </w:r>
          </w:p>
        </w:tc>
        <w:tc>
          <w:tcPr>
            <w:tcW w:w="3024" w:type="dxa"/>
            <w:shd w:val="clear" w:color="auto" w:fill="FFFFFF"/>
          </w:tcPr>
          <w:p w14:paraId="267BB144" w14:textId="77777777" w:rsidR="00941CF4" w:rsidRDefault="00000000">
            <w:pPr>
              <w:spacing w:after="0"/>
            </w:pPr>
            <w:r>
              <w:rPr>
                <w:sz w:val="16"/>
              </w:rPr>
              <w:t>Numeric calculations and safe KPI computation.</w:t>
            </w:r>
          </w:p>
        </w:tc>
      </w:tr>
      <w:tr w:rsidR="00941CF4" w14:paraId="40ABA36C" w14:textId="77777777">
        <w:trPr>
          <w:jc w:val="center"/>
        </w:trPr>
        <w:tc>
          <w:tcPr>
            <w:tcW w:w="5184" w:type="dxa"/>
            <w:shd w:val="clear" w:color="auto" w:fill="F5F7FA"/>
          </w:tcPr>
          <w:p w14:paraId="71DEEE2C" w14:textId="77777777" w:rsidR="00941CF4" w:rsidRDefault="00000000">
            <w:pPr>
              <w:spacing w:after="0"/>
            </w:pPr>
            <w:r>
              <w:rPr>
                <w:sz w:val="16"/>
              </w:rPr>
              <w:t>Plotly Technologies Inc. Plotly Python documentation.</w:t>
            </w:r>
          </w:p>
        </w:tc>
        <w:tc>
          <w:tcPr>
            <w:tcW w:w="2016" w:type="dxa"/>
            <w:shd w:val="clear" w:color="auto" w:fill="F5F7FA"/>
          </w:tcPr>
          <w:p w14:paraId="1063F636" w14:textId="77777777" w:rsidR="00941CF4" w:rsidRDefault="00000000">
            <w:pPr>
              <w:spacing w:after="0"/>
            </w:pPr>
            <w:r>
              <w:rPr>
                <w:sz w:val="16"/>
              </w:rPr>
              <w:t>Technical documentation</w:t>
            </w:r>
          </w:p>
        </w:tc>
        <w:tc>
          <w:tcPr>
            <w:tcW w:w="3024" w:type="dxa"/>
            <w:shd w:val="clear" w:color="auto" w:fill="F5F7FA"/>
          </w:tcPr>
          <w:p w14:paraId="65E94291" w14:textId="77777777" w:rsidR="00941CF4" w:rsidRDefault="00000000">
            <w:pPr>
              <w:spacing w:after="0"/>
            </w:pPr>
            <w:r>
              <w:rPr>
                <w:sz w:val="16"/>
              </w:rPr>
              <w:t>Interactive dashboard visualizations and analytical charts.</w:t>
            </w:r>
          </w:p>
        </w:tc>
      </w:tr>
      <w:tr w:rsidR="00941CF4" w14:paraId="1E857C6A" w14:textId="77777777">
        <w:trPr>
          <w:jc w:val="center"/>
        </w:trPr>
        <w:tc>
          <w:tcPr>
            <w:tcW w:w="5184" w:type="dxa"/>
            <w:shd w:val="clear" w:color="auto" w:fill="FFFFFF"/>
          </w:tcPr>
          <w:p w14:paraId="13A92B8C" w14:textId="77777777" w:rsidR="00941CF4" w:rsidRDefault="00000000">
            <w:pPr>
              <w:spacing w:after="0"/>
            </w:pPr>
            <w:r>
              <w:rPr>
                <w:sz w:val="16"/>
              </w:rPr>
              <w:t>Streamlit documentation.</w:t>
            </w:r>
          </w:p>
        </w:tc>
        <w:tc>
          <w:tcPr>
            <w:tcW w:w="2016" w:type="dxa"/>
            <w:shd w:val="clear" w:color="auto" w:fill="FFFFFF"/>
          </w:tcPr>
          <w:p w14:paraId="5BF84E02" w14:textId="77777777" w:rsidR="00941CF4" w:rsidRDefault="00000000">
            <w:pPr>
              <w:spacing w:after="0"/>
            </w:pPr>
            <w:r>
              <w:rPr>
                <w:sz w:val="16"/>
              </w:rPr>
              <w:t>Technical documentation</w:t>
            </w:r>
          </w:p>
        </w:tc>
        <w:tc>
          <w:tcPr>
            <w:tcW w:w="3024" w:type="dxa"/>
            <w:shd w:val="clear" w:color="auto" w:fill="FFFFFF"/>
          </w:tcPr>
          <w:p w14:paraId="5FD58CC0" w14:textId="77777777" w:rsidR="00941CF4" w:rsidRDefault="00000000">
            <w:pPr>
              <w:spacing w:after="0"/>
            </w:pPr>
            <w:r>
              <w:rPr>
                <w:sz w:val="16"/>
              </w:rPr>
              <w:t>Dashboard application framework and user controls.</w:t>
            </w:r>
          </w:p>
        </w:tc>
      </w:tr>
      <w:tr w:rsidR="00941CF4" w14:paraId="6F514E09" w14:textId="77777777">
        <w:trPr>
          <w:jc w:val="center"/>
        </w:trPr>
        <w:tc>
          <w:tcPr>
            <w:tcW w:w="5184" w:type="dxa"/>
            <w:shd w:val="clear" w:color="auto" w:fill="F5F7FA"/>
          </w:tcPr>
          <w:p w14:paraId="0202C01C" w14:textId="77777777" w:rsidR="00941CF4" w:rsidRDefault="00000000">
            <w:pPr>
              <w:spacing w:after="0"/>
            </w:pPr>
            <w:r>
              <w:rPr>
                <w:sz w:val="16"/>
              </w:rPr>
              <w:t>Customer churn analytics and CRM retention strategy literature.</w:t>
            </w:r>
          </w:p>
        </w:tc>
        <w:tc>
          <w:tcPr>
            <w:tcW w:w="2016" w:type="dxa"/>
            <w:shd w:val="clear" w:color="auto" w:fill="F5F7FA"/>
          </w:tcPr>
          <w:p w14:paraId="3E909E3B" w14:textId="77777777" w:rsidR="00941CF4" w:rsidRDefault="00000000">
            <w:pPr>
              <w:spacing w:after="0"/>
            </w:pPr>
            <w:r>
              <w:rPr>
                <w:sz w:val="16"/>
              </w:rPr>
              <w:t>Domain reference</w:t>
            </w:r>
          </w:p>
        </w:tc>
        <w:tc>
          <w:tcPr>
            <w:tcW w:w="3024" w:type="dxa"/>
            <w:shd w:val="clear" w:color="auto" w:fill="F5F7FA"/>
          </w:tcPr>
          <w:p w14:paraId="4D130FC8" w14:textId="77777777" w:rsidR="00941CF4" w:rsidRDefault="00000000">
            <w:pPr>
              <w:spacing w:after="0"/>
            </w:pPr>
            <w:r>
              <w:rPr>
                <w:sz w:val="16"/>
              </w:rPr>
              <w:t>Supports the business interpretation of engagement, product usage, and retention strategy.</w:t>
            </w:r>
          </w:p>
        </w:tc>
      </w:tr>
    </w:tbl>
    <w:p w14:paraId="1D2B9C11" w14:textId="77777777" w:rsidR="00941CF4" w:rsidRDefault="00941CF4"/>
    <w:p w14:paraId="2D0F0820" w14:textId="77777777" w:rsidR="00941CF4" w:rsidRDefault="00000000">
      <w:pPr>
        <w:pStyle w:val="BodyText"/>
        <w:jc w:val="both"/>
      </w:pPr>
      <w:r>
        <w:t>Note: This applied research paper uses internal project guidelines, dashboard implementation artifacts, and dashboard screenshots as primary evidence. External references should be expanded if the paper is later converted into a peer-reviewed journal-style manuscript.</w:t>
      </w:r>
    </w:p>
    <w:p w14:paraId="34B78632" w14:textId="77777777" w:rsidR="00941CF4" w:rsidRDefault="00000000">
      <w:r>
        <w:br w:type="page"/>
      </w:r>
    </w:p>
    <w:p w14:paraId="7FA40C71" w14:textId="77777777" w:rsidR="00941CF4" w:rsidRDefault="00000000">
      <w:pPr>
        <w:pStyle w:val="Heading1"/>
      </w:pPr>
      <w:r>
        <w:lastRenderedPageBreak/>
        <w:t>18. Appendix</w:t>
      </w:r>
    </w:p>
    <w:p w14:paraId="537E5AEA" w14:textId="77777777" w:rsidR="00941CF4" w:rsidRDefault="00000000">
      <w:pPr>
        <w:pStyle w:val="Heading2"/>
      </w:pPr>
      <w:r>
        <w:t>18.1 KPI Formula Register</w:t>
      </w:r>
    </w:p>
    <w:tbl>
      <w:tblPr>
        <w:tblW w:w="0" w:type="auto"/>
        <w:jc w:val="center"/>
        <w:tblLook w:val="04A0" w:firstRow="1" w:lastRow="0" w:firstColumn="1" w:lastColumn="0" w:noHBand="0" w:noVBand="1"/>
      </w:tblPr>
      <w:tblGrid>
        <w:gridCol w:w="2880"/>
        <w:gridCol w:w="4032"/>
        <w:gridCol w:w="3168"/>
      </w:tblGrid>
      <w:tr w:rsidR="00941CF4" w14:paraId="24A6B9E3" w14:textId="77777777">
        <w:trPr>
          <w:tblHeade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31729342" w14:textId="77777777" w:rsidR="00941CF4" w:rsidRDefault="00000000">
            <w:pPr>
              <w:spacing w:after="0"/>
            </w:pPr>
            <w:r>
              <w:rPr>
                <w:b/>
                <w:color w:val="FFFFFF"/>
                <w:sz w:val="17"/>
              </w:rPr>
              <w:t>KPI</w:t>
            </w:r>
          </w:p>
        </w:tc>
        <w:tc>
          <w:tcPr>
            <w:tcW w:w="4032"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13881310" w14:textId="77777777" w:rsidR="00941CF4" w:rsidRDefault="00000000">
            <w:pPr>
              <w:spacing w:after="0"/>
            </w:pPr>
            <w:r>
              <w:rPr>
                <w:b/>
                <w:color w:val="FFFFFF"/>
                <w:sz w:val="17"/>
              </w:rPr>
              <w:t>Formula</w:t>
            </w:r>
          </w:p>
        </w:tc>
        <w:tc>
          <w:tcPr>
            <w:tcW w:w="3168"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664FF63F" w14:textId="77777777" w:rsidR="00941CF4" w:rsidRDefault="00000000">
            <w:pPr>
              <w:spacing w:after="0"/>
            </w:pPr>
            <w:r>
              <w:rPr>
                <w:b/>
                <w:color w:val="FFFFFF"/>
                <w:sz w:val="17"/>
              </w:rPr>
              <w:t>Decision Use</w:t>
            </w:r>
          </w:p>
        </w:tc>
      </w:tr>
      <w:tr w:rsidR="00941CF4" w14:paraId="6C678C0C" w14:textId="77777777">
        <w:trPr>
          <w:jc w:val="center"/>
        </w:trPr>
        <w:tc>
          <w:tcPr>
            <w:tcW w:w="2880" w:type="dxa"/>
            <w:shd w:val="clear" w:color="auto" w:fill="FFFFFF"/>
          </w:tcPr>
          <w:p w14:paraId="2B35FBA1" w14:textId="77777777" w:rsidR="00941CF4" w:rsidRDefault="00000000">
            <w:pPr>
              <w:spacing w:after="0"/>
            </w:pPr>
            <w:r>
              <w:rPr>
                <w:sz w:val="16"/>
              </w:rPr>
              <w:t>Engagement Retention Ratio</w:t>
            </w:r>
          </w:p>
        </w:tc>
        <w:tc>
          <w:tcPr>
            <w:tcW w:w="4032" w:type="dxa"/>
            <w:shd w:val="clear" w:color="auto" w:fill="FFFFFF"/>
          </w:tcPr>
          <w:p w14:paraId="510311E0" w14:textId="77777777" w:rsidR="00941CF4" w:rsidRDefault="00000000">
            <w:pPr>
              <w:spacing w:after="0"/>
            </w:pPr>
            <w:r>
              <w:rPr>
                <w:sz w:val="16"/>
              </w:rPr>
              <w:t>Active Member Retention Rate / Inactive Member Retention Rate</w:t>
            </w:r>
          </w:p>
        </w:tc>
        <w:tc>
          <w:tcPr>
            <w:tcW w:w="3168" w:type="dxa"/>
            <w:shd w:val="clear" w:color="auto" w:fill="FFFFFF"/>
          </w:tcPr>
          <w:p w14:paraId="7DD195AA" w14:textId="77777777" w:rsidR="00941CF4" w:rsidRDefault="00000000">
            <w:pPr>
              <w:spacing w:after="0"/>
            </w:pPr>
            <w:r>
              <w:rPr>
                <w:sz w:val="16"/>
              </w:rPr>
              <w:t>Compare active vs inactive retention quality.</w:t>
            </w:r>
          </w:p>
        </w:tc>
      </w:tr>
      <w:tr w:rsidR="00941CF4" w14:paraId="0141CB00" w14:textId="77777777">
        <w:trPr>
          <w:jc w:val="center"/>
        </w:trPr>
        <w:tc>
          <w:tcPr>
            <w:tcW w:w="2880" w:type="dxa"/>
            <w:shd w:val="clear" w:color="auto" w:fill="F5F7FA"/>
          </w:tcPr>
          <w:p w14:paraId="5B749AC6" w14:textId="77777777" w:rsidR="00941CF4" w:rsidRDefault="00000000">
            <w:pPr>
              <w:spacing w:after="0"/>
            </w:pPr>
            <w:r>
              <w:rPr>
                <w:sz w:val="16"/>
              </w:rPr>
              <w:t>Product Depth Index</w:t>
            </w:r>
          </w:p>
        </w:tc>
        <w:tc>
          <w:tcPr>
            <w:tcW w:w="4032" w:type="dxa"/>
            <w:shd w:val="clear" w:color="auto" w:fill="F5F7FA"/>
          </w:tcPr>
          <w:p w14:paraId="236285DB" w14:textId="77777777" w:rsidR="00941CF4" w:rsidRDefault="00000000">
            <w:pPr>
              <w:spacing w:after="0"/>
            </w:pPr>
            <w:r>
              <w:rPr>
                <w:sz w:val="16"/>
              </w:rPr>
              <w:t>Retained Avg NumOfProducts / Overall Avg NumOfProducts x 100</w:t>
            </w:r>
          </w:p>
        </w:tc>
        <w:tc>
          <w:tcPr>
            <w:tcW w:w="3168" w:type="dxa"/>
            <w:shd w:val="clear" w:color="auto" w:fill="F5F7FA"/>
          </w:tcPr>
          <w:p w14:paraId="15B5F9EE" w14:textId="77777777" w:rsidR="00941CF4" w:rsidRDefault="00000000">
            <w:pPr>
              <w:spacing w:after="0"/>
            </w:pPr>
            <w:r>
              <w:rPr>
                <w:sz w:val="16"/>
              </w:rPr>
              <w:t>Assess whether retained customers hold deeper product relationships.</w:t>
            </w:r>
          </w:p>
        </w:tc>
      </w:tr>
      <w:tr w:rsidR="00941CF4" w14:paraId="3C0EB3BC" w14:textId="77777777">
        <w:trPr>
          <w:jc w:val="center"/>
        </w:trPr>
        <w:tc>
          <w:tcPr>
            <w:tcW w:w="2880" w:type="dxa"/>
            <w:shd w:val="clear" w:color="auto" w:fill="FFFFFF"/>
          </w:tcPr>
          <w:p w14:paraId="54156091" w14:textId="77777777" w:rsidR="00941CF4" w:rsidRDefault="00000000">
            <w:pPr>
              <w:spacing w:after="0"/>
            </w:pPr>
            <w:r>
              <w:rPr>
                <w:sz w:val="16"/>
              </w:rPr>
              <w:t>High-Balance Disengagement Rate</w:t>
            </w:r>
          </w:p>
        </w:tc>
        <w:tc>
          <w:tcPr>
            <w:tcW w:w="4032" w:type="dxa"/>
            <w:shd w:val="clear" w:color="auto" w:fill="FFFFFF"/>
          </w:tcPr>
          <w:p w14:paraId="532682E7" w14:textId="77777777" w:rsidR="00941CF4" w:rsidRDefault="00000000">
            <w:pPr>
              <w:spacing w:after="0"/>
            </w:pPr>
            <w:r>
              <w:rPr>
                <w:sz w:val="16"/>
              </w:rPr>
              <w:t>High Value Disengaged Customers / High Value Customers x 100</w:t>
            </w:r>
          </w:p>
        </w:tc>
        <w:tc>
          <w:tcPr>
            <w:tcW w:w="3168" w:type="dxa"/>
            <w:shd w:val="clear" w:color="auto" w:fill="FFFFFF"/>
          </w:tcPr>
          <w:p w14:paraId="0778B043" w14:textId="77777777" w:rsidR="00941CF4" w:rsidRDefault="00000000">
            <w:pPr>
              <w:spacing w:after="0"/>
            </w:pPr>
            <w:r>
              <w:rPr>
                <w:sz w:val="16"/>
              </w:rPr>
              <w:t>Detect premium customers who are valuable but behaviorally weak.</w:t>
            </w:r>
          </w:p>
        </w:tc>
      </w:tr>
      <w:tr w:rsidR="00941CF4" w14:paraId="5681C37A" w14:textId="77777777">
        <w:trPr>
          <w:jc w:val="center"/>
        </w:trPr>
        <w:tc>
          <w:tcPr>
            <w:tcW w:w="2880" w:type="dxa"/>
            <w:shd w:val="clear" w:color="auto" w:fill="F5F7FA"/>
          </w:tcPr>
          <w:p w14:paraId="1B121262" w14:textId="77777777" w:rsidR="00941CF4" w:rsidRDefault="00000000">
            <w:pPr>
              <w:spacing w:after="0"/>
            </w:pPr>
            <w:r>
              <w:rPr>
                <w:sz w:val="16"/>
              </w:rPr>
              <w:t>Credit Card Stickiness Score</w:t>
            </w:r>
          </w:p>
        </w:tc>
        <w:tc>
          <w:tcPr>
            <w:tcW w:w="4032" w:type="dxa"/>
            <w:shd w:val="clear" w:color="auto" w:fill="F5F7FA"/>
          </w:tcPr>
          <w:p w14:paraId="1F580056" w14:textId="77777777" w:rsidR="00941CF4" w:rsidRDefault="00000000">
            <w:pPr>
              <w:spacing w:after="0"/>
            </w:pPr>
            <w:r>
              <w:rPr>
                <w:sz w:val="16"/>
              </w:rPr>
              <w:t>Retention Rate among customers with a credit card</w:t>
            </w:r>
          </w:p>
        </w:tc>
        <w:tc>
          <w:tcPr>
            <w:tcW w:w="3168" w:type="dxa"/>
            <w:shd w:val="clear" w:color="auto" w:fill="F5F7FA"/>
          </w:tcPr>
          <w:p w14:paraId="0E11A8B4" w14:textId="77777777" w:rsidR="00941CF4" w:rsidRDefault="00000000">
            <w:pPr>
              <w:spacing w:after="0"/>
            </w:pPr>
            <w:r>
              <w:rPr>
                <w:sz w:val="16"/>
              </w:rPr>
              <w:t>Evaluate whether card ownership is associated with customer stickiness.</w:t>
            </w:r>
          </w:p>
        </w:tc>
      </w:tr>
      <w:tr w:rsidR="00941CF4" w14:paraId="574256E5" w14:textId="77777777">
        <w:trPr>
          <w:jc w:val="center"/>
        </w:trPr>
        <w:tc>
          <w:tcPr>
            <w:tcW w:w="2880" w:type="dxa"/>
            <w:shd w:val="clear" w:color="auto" w:fill="FFFFFF"/>
          </w:tcPr>
          <w:p w14:paraId="4B35011A" w14:textId="77777777" w:rsidR="00941CF4" w:rsidRDefault="00000000">
            <w:pPr>
              <w:spacing w:after="0"/>
            </w:pPr>
            <w:r>
              <w:rPr>
                <w:sz w:val="16"/>
              </w:rPr>
              <w:t>Relationship Strength Index</w:t>
            </w:r>
          </w:p>
        </w:tc>
        <w:tc>
          <w:tcPr>
            <w:tcW w:w="4032" w:type="dxa"/>
            <w:shd w:val="clear" w:color="auto" w:fill="FFFFFF"/>
          </w:tcPr>
          <w:p w14:paraId="4B781DDC" w14:textId="77777777" w:rsidR="00941CF4" w:rsidRDefault="00000000">
            <w:pPr>
              <w:spacing w:after="0"/>
            </w:pPr>
            <w:r>
              <w:rPr>
                <w:sz w:val="16"/>
              </w:rPr>
              <w:t>Average Relationship_Strength_Index</w:t>
            </w:r>
          </w:p>
        </w:tc>
        <w:tc>
          <w:tcPr>
            <w:tcW w:w="3168" w:type="dxa"/>
            <w:shd w:val="clear" w:color="auto" w:fill="FFFFFF"/>
          </w:tcPr>
          <w:p w14:paraId="5A1E4B79" w14:textId="77777777" w:rsidR="00941CF4" w:rsidRDefault="00000000">
            <w:pPr>
              <w:spacing w:after="0"/>
            </w:pPr>
            <w:r>
              <w:rPr>
                <w:sz w:val="16"/>
              </w:rPr>
              <w:t>Summarize customer relationship quality across the filtered base.</w:t>
            </w:r>
          </w:p>
        </w:tc>
      </w:tr>
    </w:tbl>
    <w:p w14:paraId="270C6549" w14:textId="77777777" w:rsidR="00941CF4" w:rsidRDefault="00941CF4"/>
    <w:p w14:paraId="2196700C" w14:textId="77777777" w:rsidR="00941CF4" w:rsidRDefault="00000000">
      <w:pPr>
        <w:pStyle w:val="Heading2"/>
      </w:pPr>
      <w:r>
        <w:t>18.2 Figure Register</w:t>
      </w:r>
    </w:p>
    <w:tbl>
      <w:tblPr>
        <w:tblW w:w="0" w:type="auto"/>
        <w:jc w:val="center"/>
        <w:tblLook w:val="04A0" w:firstRow="1" w:lastRow="0" w:firstColumn="1" w:lastColumn="0" w:noHBand="0" w:noVBand="1"/>
      </w:tblPr>
      <w:tblGrid>
        <w:gridCol w:w="1440"/>
        <w:gridCol w:w="2592"/>
        <w:gridCol w:w="6048"/>
      </w:tblGrid>
      <w:tr w:rsidR="00941CF4" w14:paraId="68720016" w14:textId="77777777">
        <w:trPr>
          <w:tblHeader/>
          <w:jc w:val="center"/>
        </w:trPr>
        <w:tc>
          <w:tcPr>
            <w:tcW w:w="1440"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23553DA0" w14:textId="77777777" w:rsidR="00941CF4" w:rsidRDefault="00000000">
            <w:pPr>
              <w:spacing w:after="0"/>
            </w:pPr>
            <w:r>
              <w:rPr>
                <w:b/>
                <w:color w:val="FFFFFF"/>
                <w:sz w:val="17"/>
              </w:rPr>
              <w:t>Figure</w:t>
            </w:r>
          </w:p>
        </w:tc>
        <w:tc>
          <w:tcPr>
            <w:tcW w:w="2592"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1829DE9F" w14:textId="77777777" w:rsidR="00941CF4" w:rsidRDefault="00000000">
            <w:pPr>
              <w:spacing w:after="0"/>
            </w:pPr>
            <w:r>
              <w:rPr>
                <w:b/>
                <w:color w:val="FFFFFF"/>
                <w:sz w:val="17"/>
              </w:rPr>
              <w:t>Evidence Source</w:t>
            </w:r>
          </w:p>
        </w:tc>
        <w:tc>
          <w:tcPr>
            <w:tcW w:w="6048"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194E35C8" w14:textId="77777777" w:rsidR="00941CF4" w:rsidRDefault="00000000">
            <w:pPr>
              <w:spacing w:after="0"/>
            </w:pPr>
            <w:r>
              <w:rPr>
                <w:b/>
                <w:color w:val="FFFFFF"/>
                <w:sz w:val="17"/>
              </w:rPr>
              <w:t>Research Placement</w:t>
            </w:r>
          </w:p>
        </w:tc>
      </w:tr>
      <w:tr w:rsidR="00941CF4" w14:paraId="2DFA2D8E" w14:textId="77777777">
        <w:trPr>
          <w:jc w:val="center"/>
        </w:trPr>
        <w:tc>
          <w:tcPr>
            <w:tcW w:w="1440" w:type="dxa"/>
            <w:shd w:val="clear" w:color="auto" w:fill="FFFFFF"/>
          </w:tcPr>
          <w:p w14:paraId="787A424D" w14:textId="77777777" w:rsidR="00941CF4" w:rsidRDefault="00000000">
            <w:pPr>
              <w:spacing w:after="0"/>
            </w:pPr>
            <w:r>
              <w:rPr>
                <w:sz w:val="16"/>
              </w:rPr>
              <w:t>Figure 1</w:t>
            </w:r>
          </w:p>
        </w:tc>
        <w:tc>
          <w:tcPr>
            <w:tcW w:w="2592" w:type="dxa"/>
            <w:shd w:val="clear" w:color="auto" w:fill="FFFFFF"/>
          </w:tcPr>
          <w:p w14:paraId="054E7CE9" w14:textId="77777777" w:rsidR="00941CF4" w:rsidRDefault="00000000">
            <w:pPr>
              <w:spacing w:after="0"/>
            </w:pPr>
            <w:r>
              <w:rPr>
                <w:sz w:val="16"/>
              </w:rPr>
              <w:t>Screenshot 1</w:t>
            </w:r>
          </w:p>
        </w:tc>
        <w:tc>
          <w:tcPr>
            <w:tcW w:w="6048" w:type="dxa"/>
            <w:shd w:val="clear" w:color="auto" w:fill="FFFFFF"/>
          </w:tcPr>
          <w:p w14:paraId="2F1AB0B7" w14:textId="77777777" w:rsidR="00941CF4" w:rsidRDefault="00000000">
            <w:pPr>
              <w:spacing w:after="0"/>
            </w:pPr>
            <w:r>
              <w:rPr>
                <w:sz w:val="16"/>
              </w:rPr>
              <w:t>KPI Cards</w:t>
            </w:r>
          </w:p>
        </w:tc>
      </w:tr>
      <w:tr w:rsidR="00941CF4" w14:paraId="71333778" w14:textId="77777777">
        <w:trPr>
          <w:jc w:val="center"/>
        </w:trPr>
        <w:tc>
          <w:tcPr>
            <w:tcW w:w="1440" w:type="dxa"/>
            <w:shd w:val="clear" w:color="auto" w:fill="F5F7FA"/>
          </w:tcPr>
          <w:p w14:paraId="71B26897" w14:textId="77777777" w:rsidR="00941CF4" w:rsidRDefault="00000000">
            <w:pPr>
              <w:spacing w:after="0"/>
            </w:pPr>
            <w:r>
              <w:rPr>
                <w:sz w:val="16"/>
              </w:rPr>
              <w:t>Figure 2</w:t>
            </w:r>
          </w:p>
        </w:tc>
        <w:tc>
          <w:tcPr>
            <w:tcW w:w="2592" w:type="dxa"/>
            <w:shd w:val="clear" w:color="auto" w:fill="F5F7FA"/>
          </w:tcPr>
          <w:p w14:paraId="6463580C" w14:textId="77777777" w:rsidR="00941CF4" w:rsidRDefault="00000000">
            <w:pPr>
              <w:spacing w:after="0"/>
            </w:pPr>
            <w:r>
              <w:rPr>
                <w:sz w:val="16"/>
              </w:rPr>
              <w:t>Screenshot 2</w:t>
            </w:r>
          </w:p>
        </w:tc>
        <w:tc>
          <w:tcPr>
            <w:tcW w:w="6048" w:type="dxa"/>
            <w:shd w:val="clear" w:color="auto" w:fill="F5F7FA"/>
          </w:tcPr>
          <w:p w14:paraId="5235B37A" w14:textId="77777777" w:rsidR="00941CF4" w:rsidRDefault="00000000">
            <w:pPr>
              <w:spacing w:after="0"/>
            </w:pPr>
            <w:r>
              <w:rPr>
                <w:sz w:val="16"/>
              </w:rPr>
              <w:t>Engagement Overview</w:t>
            </w:r>
          </w:p>
        </w:tc>
      </w:tr>
      <w:tr w:rsidR="00941CF4" w14:paraId="128F818B" w14:textId="77777777">
        <w:trPr>
          <w:jc w:val="center"/>
        </w:trPr>
        <w:tc>
          <w:tcPr>
            <w:tcW w:w="1440" w:type="dxa"/>
            <w:shd w:val="clear" w:color="auto" w:fill="FFFFFF"/>
          </w:tcPr>
          <w:p w14:paraId="54E3E2DD" w14:textId="77777777" w:rsidR="00941CF4" w:rsidRDefault="00000000">
            <w:pPr>
              <w:spacing w:after="0"/>
            </w:pPr>
            <w:r>
              <w:rPr>
                <w:sz w:val="16"/>
              </w:rPr>
              <w:t>Figure 3</w:t>
            </w:r>
          </w:p>
        </w:tc>
        <w:tc>
          <w:tcPr>
            <w:tcW w:w="2592" w:type="dxa"/>
            <w:shd w:val="clear" w:color="auto" w:fill="FFFFFF"/>
          </w:tcPr>
          <w:p w14:paraId="45832442" w14:textId="77777777" w:rsidR="00941CF4" w:rsidRDefault="00000000">
            <w:pPr>
              <w:spacing w:after="0"/>
            </w:pPr>
            <w:r>
              <w:rPr>
                <w:sz w:val="16"/>
              </w:rPr>
              <w:t>Screenshot 1</w:t>
            </w:r>
          </w:p>
        </w:tc>
        <w:tc>
          <w:tcPr>
            <w:tcW w:w="6048" w:type="dxa"/>
            <w:shd w:val="clear" w:color="auto" w:fill="FFFFFF"/>
          </w:tcPr>
          <w:p w14:paraId="5312C800" w14:textId="77777777" w:rsidR="00941CF4" w:rsidRDefault="00000000">
            <w:pPr>
              <w:spacing w:after="0"/>
            </w:pPr>
            <w:r>
              <w:rPr>
                <w:sz w:val="16"/>
              </w:rPr>
              <w:t>KPI Formula Reference</w:t>
            </w:r>
          </w:p>
        </w:tc>
      </w:tr>
      <w:tr w:rsidR="00941CF4" w14:paraId="389772C0" w14:textId="77777777">
        <w:trPr>
          <w:jc w:val="center"/>
        </w:trPr>
        <w:tc>
          <w:tcPr>
            <w:tcW w:w="1440" w:type="dxa"/>
            <w:shd w:val="clear" w:color="auto" w:fill="F5F7FA"/>
          </w:tcPr>
          <w:p w14:paraId="2669674C" w14:textId="77777777" w:rsidR="00941CF4" w:rsidRDefault="00000000">
            <w:pPr>
              <w:spacing w:after="0"/>
            </w:pPr>
            <w:r>
              <w:rPr>
                <w:sz w:val="16"/>
              </w:rPr>
              <w:t>Figure 4</w:t>
            </w:r>
          </w:p>
        </w:tc>
        <w:tc>
          <w:tcPr>
            <w:tcW w:w="2592" w:type="dxa"/>
            <w:shd w:val="clear" w:color="auto" w:fill="F5F7FA"/>
          </w:tcPr>
          <w:p w14:paraId="34AC921F" w14:textId="77777777" w:rsidR="00941CF4" w:rsidRDefault="00000000">
            <w:pPr>
              <w:spacing w:after="0"/>
            </w:pPr>
            <w:r>
              <w:rPr>
                <w:sz w:val="16"/>
              </w:rPr>
              <w:t>Screenshot 2</w:t>
            </w:r>
          </w:p>
        </w:tc>
        <w:tc>
          <w:tcPr>
            <w:tcW w:w="6048" w:type="dxa"/>
            <w:shd w:val="clear" w:color="auto" w:fill="F5F7FA"/>
          </w:tcPr>
          <w:p w14:paraId="5B6E7BFD" w14:textId="77777777" w:rsidR="00941CF4" w:rsidRDefault="00000000">
            <w:pPr>
              <w:spacing w:after="0"/>
            </w:pPr>
            <w:r>
              <w:rPr>
                <w:sz w:val="16"/>
              </w:rPr>
              <w:t>Engagement Retention Snapshot</w:t>
            </w:r>
          </w:p>
        </w:tc>
      </w:tr>
      <w:tr w:rsidR="00941CF4" w14:paraId="7B243D72" w14:textId="77777777">
        <w:trPr>
          <w:jc w:val="center"/>
        </w:trPr>
        <w:tc>
          <w:tcPr>
            <w:tcW w:w="1440" w:type="dxa"/>
            <w:shd w:val="clear" w:color="auto" w:fill="FFFFFF"/>
          </w:tcPr>
          <w:p w14:paraId="251A016C" w14:textId="77777777" w:rsidR="00941CF4" w:rsidRDefault="00000000">
            <w:pPr>
              <w:spacing w:after="0"/>
            </w:pPr>
            <w:r>
              <w:rPr>
                <w:sz w:val="16"/>
              </w:rPr>
              <w:t>Figure 5</w:t>
            </w:r>
          </w:p>
        </w:tc>
        <w:tc>
          <w:tcPr>
            <w:tcW w:w="2592" w:type="dxa"/>
            <w:shd w:val="clear" w:color="auto" w:fill="FFFFFF"/>
          </w:tcPr>
          <w:p w14:paraId="71B5659F" w14:textId="77777777" w:rsidR="00941CF4" w:rsidRDefault="00000000">
            <w:pPr>
              <w:spacing w:after="0"/>
            </w:pPr>
            <w:r>
              <w:rPr>
                <w:sz w:val="16"/>
              </w:rPr>
              <w:t>Screenshot 6</w:t>
            </w:r>
          </w:p>
        </w:tc>
        <w:tc>
          <w:tcPr>
            <w:tcW w:w="6048" w:type="dxa"/>
            <w:shd w:val="clear" w:color="auto" w:fill="FFFFFF"/>
          </w:tcPr>
          <w:p w14:paraId="57087959" w14:textId="77777777" w:rsidR="00941CF4" w:rsidRDefault="00000000">
            <w:pPr>
              <w:spacing w:after="0"/>
            </w:pPr>
            <w:r>
              <w:rPr>
                <w:sz w:val="16"/>
              </w:rPr>
              <w:t>Product Utilization Snapshot</w:t>
            </w:r>
          </w:p>
        </w:tc>
      </w:tr>
      <w:tr w:rsidR="00941CF4" w14:paraId="4F68C2F4" w14:textId="77777777">
        <w:trPr>
          <w:jc w:val="center"/>
        </w:trPr>
        <w:tc>
          <w:tcPr>
            <w:tcW w:w="1440" w:type="dxa"/>
            <w:shd w:val="clear" w:color="auto" w:fill="F5F7FA"/>
          </w:tcPr>
          <w:p w14:paraId="385630C1" w14:textId="77777777" w:rsidR="00941CF4" w:rsidRDefault="00000000">
            <w:pPr>
              <w:spacing w:after="0"/>
            </w:pPr>
            <w:r>
              <w:rPr>
                <w:sz w:val="16"/>
              </w:rPr>
              <w:t>Figure 6</w:t>
            </w:r>
          </w:p>
        </w:tc>
        <w:tc>
          <w:tcPr>
            <w:tcW w:w="2592" w:type="dxa"/>
            <w:shd w:val="clear" w:color="auto" w:fill="F5F7FA"/>
          </w:tcPr>
          <w:p w14:paraId="5D993D25" w14:textId="77777777" w:rsidR="00941CF4" w:rsidRDefault="00000000">
            <w:pPr>
              <w:spacing w:after="0"/>
            </w:pPr>
            <w:r>
              <w:rPr>
                <w:sz w:val="16"/>
              </w:rPr>
              <w:t>Screenshot 11</w:t>
            </w:r>
          </w:p>
        </w:tc>
        <w:tc>
          <w:tcPr>
            <w:tcW w:w="6048" w:type="dxa"/>
            <w:shd w:val="clear" w:color="auto" w:fill="F5F7FA"/>
          </w:tcPr>
          <w:p w14:paraId="5ACB96E5" w14:textId="77777777" w:rsidR="00941CF4" w:rsidRDefault="00000000">
            <w:pPr>
              <w:spacing w:after="0"/>
            </w:pPr>
            <w:r>
              <w:rPr>
                <w:sz w:val="16"/>
              </w:rPr>
              <w:t>High-Value Disengaged Snapshot</w:t>
            </w:r>
          </w:p>
        </w:tc>
      </w:tr>
      <w:tr w:rsidR="00941CF4" w14:paraId="6B2BA75D" w14:textId="77777777">
        <w:trPr>
          <w:jc w:val="center"/>
        </w:trPr>
        <w:tc>
          <w:tcPr>
            <w:tcW w:w="1440" w:type="dxa"/>
            <w:shd w:val="clear" w:color="auto" w:fill="FFFFFF"/>
          </w:tcPr>
          <w:p w14:paraId="010BFCD6" w14:textId="77777777" w:rsidR="00941CF4" w:rsidRDefault="00000000">
            <w:pPr>
              <w:spacing w:after="0"/>
            </w:pPr>
            <w:r>
              <w:rPr>
                <w:sz w:val="16"/>
              </w:rPr>
              <w:t>Figure 7</w:t>
            </w:r>
          </w:p>
        </w:tc>
        <w:tc>
          <w:tcPr>
            <w:tcW w:w="2592" w:type="dxa"/>
            <w:shd w:val="clear" w:color="auto" w:fill="FFFFFF"/>
          </w:tcPr>
          <w:p w14:paraId="43EF4A53" w14:textId="77777777" w:rsidR="00941CF4" w:rsidRDefault="00000000">
            <w:pPr>
              <w:spacing w:after="0"/>
            </w:pPr>
            <w:r>
              <w:rPr>
                <w:sz w:val="16"/>
              </w:rPr>
              <w:t>Screenshot 16</w:t>
            </w:r>
          </w:p>
        </w:tc>
        <w:tc>
          <w:tcPr>
            <w:tcW w:w="6048" w:type="dxa"/>
            <w:shd w:val="clear" w:color="auto" w:fill="FFFFFF"/>
          </w:tcPr>
          <w:p w14:paraId="4E032EEA" w14:textId="77777777" w:rsidR="00941CF4" w:rsidRDefault="00000000">
            <w:pPr>
              <w:spacing w:after="0"/>
            </w:pPr>
            <w:r>
              <w:rPr>
                <w:sz w:val="16"/>
              </w:rPr>
              <w:t>Retention Strength Snapshot</w:t>
            </w:r>
          </w:p>
        </w:tc>
      </w:tr>
      <w:tr w:rsidR="00941CF4" w14:paraId="3B3989DA" w14:textId="77777777">
        <w:trPr>
          <w:jc w:val="center"/>
        </w:trPr>
        <w:tc>
          <w:tcPr>
            <w:tcW w:w="1440" w:type="dxa"/>
            <w:shd w:val="clear" w:color="auto" w:fill="F5F7FA"/>
          </w:tcPr>
          <w:p w14:paraId="04C08B42" w14:textId="77777777" w:rsidR="00941CF4" w:rsidRDefault="00000000">
            <w:pPr>
              <w:spacing w:after="0"/>
            </w:pPr>
            <w:r>
              <w:rPr>
                <w:sz w:val="16"/>
              </w:rPr>
              <w:t>Figure 8</w:t>
            </w:r>
          </w:p>
        </w:tc>
        <w:tc>
          <w:tcPr>
            <w:tcW w:w="2592" w:type="dxa"/>
            <w:shd w:val="clear" w:color="auto" w:fill="F5F7FA"/>
          </w:tcPr>
          <w:p w14:paraId="69AB08D0" w14:textId="77777777" w:rsidR="00941CF4" w:rsidRDefault="00000000">
            <w:pPr>
              <w:spacing w:after="0"/>
            </w:pPr>
            <w:r>
              <w:rPr>
                <w:sz w:val="16"/>
              </w:rPr>
              <w:t>Screenshot 3</w:t>
            </w:r>
          </w:p>
        </w:tc>
        <w:tc>
          <w:tcPr>
            <w:tcW w:w="6048" w:type="dxa"/>
            <w:shd w:val="clear" w:color="auto" w:fill="F5F7FA"/>
          </w:tcPr>
          <w:p w14:paraId="617E0959" w14:textId="77777777" w:rsidR="00941CF4" w:rsidRDefault="00000000">
            <w:pPr>
              <w:spacing w:after="0"/>
            </w:pPr>
            <w:r>
              <w:rPr>
                <w:sz w:val="16"/>
              </w:rPr>
              <w:t>Engagement Outcome Split</w:t>
            </w:r>
          </w:p>
        </w:tc>
      </w:tr>
      <w:tr w:rsidR="00941CF4" w14:paraId="1949DD77" w14:textId="77777777">
        <w:trPr>
          <w:jc w:val="center"/>
        </w:trPr>
        <w:tc>
          <w:tcPr>
            <w:tcW w:w="1440" w:type="dxa"/>
            <w:shd w:val="clear" w:color="auto" w:fill="FFFFFF"/>
          </w:tcPr>
          <w:p w14:paraId="296A46F7" w14:textId="77777777" w:rsidR="00941CF4" w:rsidRDefault="00000000">
            <w:pPr>
              <w:spacing w:after="0"/>
            </w:pPr>
            <w:r>
              <w:rPr>
                <w:sz w:val="16"/>
              </w:rPr>
              <w:t>Figure 9</w:t>
            </w:r>
          </w:p>
        </w:tc>
        <w:tc>
          <w:tcPr>
            <w:tcW w:w="2592" w:type="dxa"/>
            <w:shd w:val="clear" w:color="auto" w:fill="FFFFFF"/>
          </w:tcPr>
          <w:p w14:paraId="6D31323E" w14:textId="77777777" w:rsidR="00941CF4" w:rsidRDefault="00000000">
            <w:pPr>
              <w:spacing w:after="0"/>
            </w:pPr>
            <w:r>
              <w:rPr>
                <w:sz w:val="16"/>
              </w:rPr>
              <w:t>Screenshot 4</w:t>
            </w:r>
          </w:p>
        </w:tc>
        <w:tc>
          <w:tcPr>
            <w:tcW w:w="6048" w:type="dxa"/>
            <w:shd w:val="clear" w:color="auto" w:fill="FFFFFF"/>
          </w:tcPr>
          <w:p w14:paraId="13615D6D" w14:textId="77777777" w:rsidR="00941CF4" w:rsidRDefault="00000000">
            <w:pPr>
              <w:spacing w:after="0"/>
            </w:pPr>
            <w:r>
              <w:rPr>
                <w:sz w:val="16"/>
              </w:rPr>
              <w:t>Churn Contribution Share</w:t>
            </w:r>
          </w:p>
        </w:tc>
      </w:tr>
      <w:tr w:rsidR="00941CF4" w14:paraId="7C7E554B" w14:textId="77777777">
        <w:trPr>
          <w:jc w:val="center"/>
        </w:trPr>
        <w:tc>
          <w:tcPr>
            <w:tcW w:w="1440" w:type="dxa"/>
            <w:shd w:val="clear" w:color="auto" w:fill="F5F7FA"/>
          </w:tcPr>
          <w:p w14:paraId="41C1E0EB" w14:textId="77777777" w:rsidR="00941CF4" w:rsidRDefault="00000000">
            <w:pPr>
              <w:spacing w:after="0"/>
            </w:pPr>
            <w:r>
              <w:rPr>
                <w:sz w:val="16"/>
              </w:rPr>
              <w:t>Figure 10</w:t>
            </w:r>
          </w:p>
        </w:tc>
        <w:tc>
          <w:tcPr>
            <w:tcW w:w="2592" w:type="dxa"/>
            <w:shd w:val="clear" w:color="auto" w:fill="F5F7FA"/>
          </w:tcPr>
          <w:p w14:paraId="45DE642C" w14:textId="77777777" w:rsidR="00941CF4" w:rsidRDefault="00000000">
            <w:pPr>
              <w:spacing w:after="0"/>
            </w:pPr>
            <w:r>
              <w:rPr>
                <w:sz w:val="16"/>
              </w:rPr>
              <w:t>Screenshot 5</w:t>
            </w:r>
          </w:p>
        </w:tc>
        <w:tc>
          <w:tcPr>
            <w:tcW w:w="6048" w:type="dxa"/>
            <w:shd w:val="clear" w:color="auto" w:fill="F5F7FA"/>
          </w:tcPr>
          <w:p w14:paraId="7FB5CCCA" w14:textId="77777777" w:rsidR="00941CF4" w:rsidRDefault="00000000">
            <w:pPr>
              <w:spacing w:after="0"/>
            </w:pPr>
            <w:r>
              <w:rPr>
                <w:sz w:val="16"/>
              </w:rPr>
              <w:t>Engagement x Retention Risk Matrix</w:t>
            </w:r>
          </w:p>
        </w:tc>
      </w:tr>
      <w:tr w:rsidR="00941CF4" w14:paraId="5D0E15E3" w14:textId="77777777">
        <w:trPr>
          <w:jc w:val="center"/>
        </w:trPr>
        <w:tc>
          <w:tcPr>
            <w:tcW w:w="1440" w:type="dxa"/>
            <w:shd w:val="clear" w:color="auto" w:fill="FFFFFF"/>
          </w:tcPr>
          <w:p w14:paraId="159B1E74" w14:textId="77777777" w:rsidR="00941CF4" w:rsidRDefault="00000000">
            <w:pPr>
              <w:spacing w:after="0"/>
            </w:pPr>
            <w:r>
              <w:rPr>
                <w:sz w:val="16"/>
              </w:rPr>
              <w:t>Figure 11</w:t>
            </w:r>
          </w:p>
        </w:tc>
        <w:tc>
          <w:tcPr>
            <w:tcW w:w="2592" w:type="dxa"/>
            <w:shd w:val="clear" w:color="auto" w:fill="FFFFFF"/>
          </w:tcPr>
          <w:p w14:paraId="7AEBF385" w14:textId="77777777" w:rsidR="00941CF4" w:rsidRDefault="00000000">
            <w:pPr>
              <w:spacing w:after="0"/>
            </w:pPr>
            <w:r>
              <w:rPr>
                <w:sz w:val="16"/>
              </w:rPr>
              <w:t>Screenshot 7</w:t>
            </w:r>
          </w:p>
        </w:tc>
        <w:tc>
          <w:tcPr>
            <w:tcW w:w="6048" w:type="dxa"/>
            <w:shd w:val="clear" w:color="auto" w:fill="FFFFFF"/>
          </w:tcPr>
          <w:p w14:paraId="48EA3C0A" w14:textId="77777777" w:rsidR="00941CF4" w:rsidRDefault="00000000">
            <w:pPr>
              <w:spacing w:after="0"/>
            </w:pPr>
            <w:r>
              <w:rPr>
                <w:sz w:val="16"/>
              </w:rPr>
              <w:t>Product Count Impact</w:t>
            </w:r>
          </w:p>
        </w:tc>
      </w:tr>
      <w:tr w:rsidR="00941CF4" w14:paraId="2AE5A43C" w14:textId="77777777">
        <w:trPr>
          <w:jc w:val="center"/>
        </w:trPr>
        <w:tc>
          <w:tcPr>
            <w:tcW w:w="1440" w:type="dxa"/>
            <w:shd w:val="clear" w:color="auto" w:fill="F5F7FA"/>
          </w:tcPr>
          <w:p w14:paraId="006A7F88" w14:textId="77777777" w:rsidR="00941CF4" w:rsidRDefault="00000000">
            <w:pPr>
              <w:spacing w:after="0"/>
            </w:pPr>
            <w:r>
              <w:rPr>
                <w:sz w:val="16"/>
              </w:rPr>
              <w:t>Figure 12</w:t>
            </w:r>
          </w:p>
        </w:tc>
        <w:tc>
          <w:tcPr>
            <w:tcW w:w="2592" w:type="dxa"/>
            <w:shd w:val="clear" w:color="auto" w:fill="F5F7FA"/>
          </w:tcPr>
          <w:p w14:paraId="10AB449F" w14:textId="77777777" w:rsidR="00941CF4" w:rsidRDefault="00000000">
            <w:pPr>
              <w:spacing w:after="0"/>
            </w:pPr>
            <w:r>
              <w:rPr>
                <w:sz w:val="16"/>
              </w:rPr>
              <w:t>Screenshot 8</w:t>
            </w:r>
          </w:p>
        </w:tc>
        <w:tc>
          <w:tcPr>
            <w:tcW w:w="6048" w:type="dxa"/>
            <w:shd w:val="clear" w:color="auto" w:fill="F5F7FA"/>
          </w:tcPr>
          <w:p w14:paraId="157454CB" w14:textId="77777777" w:rsidR="00941CF4" w:rsidRDefault="00000000">
            <w:pPr>
              <w:spacing w:after="0"/>
            </w:pPr>
            <w:r>
              <w:rPr>
                <w:sz w:val="16"/>
              </w:rPr>
              <w:t>Single vs Multi-Product Split</w:t>
            </w:r>
          </w:p>
        </w:tc>
      </w:tr>
      <w:tr w:rsidR="00941CF4" w14:paraId="3F974AA6" w14:textId="77777777">
        <w:trPr>
          <w:jc w:val="center"/>
        </w:trPr>
        <w:tc>
          <w:tcPr>
            <w:tcW w:w="1440" w:type="dxa"/>
            <w:shd w:val="clear" w:color="auto" w:fill="FFFFFF"/>
          </w:tcPr>
          <w:p w14:paraId="46DA61A2" w14:textId="77777777" w:rsidR="00941CF4" w:rsidRDefault="00000000">
            <w:pPr>
              <w:spacing w:after="0"/>
            </w:pPr>
            <w:r>
              <w:rPr>
                <w:sz w:val="16"/>
              </w:rPr>
              <w:t>Figure 13</w:t>
            </w:r>
          </w:p>
        </w:tc>
        <w:tc>
          <w:tcPr>
            <w:tcW w:w="2592" w:type="dxa"/>
            <w:shd w:val="clear" w:color="auto" w:fill="FFFFFF"/>
          </w:tcPr>
          <w:p w14:paraId="42E05F27" w14:textId="77777777" w:rsidR="00941CF4" w:rsidRDefault="00000000">
            <w:pPr>
              <w:spacing w:after="0"/>
            </w:pPr>
            <w:r>
              <w:rPr>
                <w:sz w:val="16"/>
              </w:rPr>
              <w:t>Screenshot 9</w:t>
            </w:r>
          </w:p>
        </w:tc>
        <w:tc>
          <w:tcPr>
            <w:tcW w:w="6048" w:type="dxa"/>
            <w:shd w:val="clear" w:color="auto" w:fill="FFFFFF"/>
          </w:tcPr>
          <w:p w14:paraId="34AF2E7D" w14:textId="77777777" w:rsidR="00941CF4" w:rsidRDefault="00000000">
            <w:pPr>
              <w:spacing w:after="0"/>
            </w:pPr>
            <w:r>
              <w:rPr>
                <w:sz w:val="16"/>
              </w:rPr>
              <w:t>Product Relationship Bubble Map</w:t>
            </w:r>
          </w:p>
        </w:tc>
      </w:tr>
      <w:tr w:rsidR="00941CF4" w14:paraId="3D18C2FF" w14:textId="77777777">
        <w:trPr>
          <w:jc w:val="center"/>
        </w:trPr>
        <w:tc>
          <w:tcPr>
            <w:tcW w:w="1440" w:type="dxa"/>
            <w:shd w:val="clear" w:color="auto" w:fill="F5F7FA"/>
          </w:tcPr>
          <w:p w14:paraId="2A17A8F5" w14:textId="77777777" w:rsidR="00941CF4" w:rsidRDefault="00000000">
            <w:pPr>
              <w:spacing w:after="0"/>
            </w:pPr>
            <w:r>
              <w:rPr>
                <w:sz w:val="16"/>
              </w:rPr>
              <w:t>Figure 14</w:t>
            </w:r>
          </w:p>
        </w:tc>
        <w:tc>
          <w:tcPr>
            <w:tcW w:w="2592" w:type="dxa"/>
            <w:shd w:val="clear" w:color="auto" w:fill="F5F7FA"/>
          </w:tcPr>
          <w:p w14:paraId="68B992FF" w14:textId="77777777" w:rsidR="00941CF4" w:rsidRDefault="00000000">
            <w:pPr>
              <w:spacing w:after="0"/>
            </w:pPr>
            <w:r>
              <w:rPr>
                <w:sz w:val="16"/>
              </w:rPr>
              <w:t>Screenshot 10</w:t>
            </w:r>
          </w:p>
        </w:tc>
        <w:tc>
          <w:tcPr>
            <w:tcW w:w="6048" w:type="dxa"/>
            <w:shd w:val="clear" w:color="auto" w:fill="F5F7FA"/>
          </w:tcPr>
          <w:p w14:paraId="3249323B" w14:textId="77777777" w:rsidR="00941CF4" w:rsidRDefault="00000000">
            <w:pPr>
              <w:spacing w:after="0"/>
            </w:pPr>
            <w:r>
              <w:rPr>
                <w:sz w:val="16"/>
              </w:rPr>
              <w:t>Product Depth Risk Matrix</w:t>
            </w:r>
          </w:p>
        </w:tc>
      </w:tr>
      <w:tr w:rsidR="00941CF4" w14:paraId="3A0AC92A" w14:textId="77777777">
        <w:trPr>
          <w:jc w:val="center"/>
        </w:trPr>
        <w:tc>
          <w:tcPr>
            <w:tcW w:w="1440" w:type="dxa"/>
            <w:shd w:val="clear" w:color="auto" w:fill="FFFFFF"/>
          </w:tcPr>
          <w:p w14:paraId="79FD8800" w14:textId="77777777" w:rsidR="00941CF4" w:rsidRDefault="00000000">
            <w:pPr>
              <w:spacing w:after="0"/>
            </w:pPr>
            <w:r>
              <w:rPr>
                <w:sz w:val="16"/>
              </w:rPr>
              <w:t>Figure 15</w:t>
            </w:r>
          </w:p>
        </w:tc>
        <w:tc>
          <w:tcPr>
            <w:tcW w:w="2592" w:type="dxa"/>
            <w:shd w:val="clear" w:color="auto" w:fill="FFFFFF"/>
          </w:tcPr>
          <w:p w14:paraId="0E576043" w14:textId="77777777" w:rsidR="00941CF4" w:rsidRDefault="00000000">
            <w:pPr>
              <w:spacing w:after="0"/>
            </w:pPr>
            <w:r>
              <w:rPr>
                <w:sz w:val="16"/>
              </w:rPr>
              <w:t>Screenshot 12</w:t>
            </w:r>
          </w:p>
        </w:tc>
        <w:tc>
          <w:tcPr>
            <w:tcW w:w="6048" w:type="dxa"/>
            <w:shd w:val="clear" w:color="auto" w:fill="FFFFFF"/>
          </w:tcPr>
          <w:p w14:paraId="4914B259" w14:textId="77777777" w:rsidR="00941CF4" w:rsidRDefault="00000000">
            <w:pPr>
              <w:spacing w:after="0"/>
            </w:pPr>
            <w:r>
              <w:rPr>
                <w:sz w:val="16"/>
              </w:rPr>
              <w:t>High-Value Segment Mix</w:t>
            </w:r>
          </w:p>
        </w:tc>
      </w:tr>
      <w:tr w:rsidR="00941CF4" w14:paraId="7BD927DB" w14:textId="77777777">
        <w:trPr>
          <w:jc w:val="center"/>
        </w:trPr>
        <w:tc>
          <w:tcPr>
            <w:tcW w:w="1440" w:type="dxa"/>
            <w:shd w:val="clear" w:color="auto" w:fill="F5F7FA"/>
          </w:tcPr>
          <w:p w14:paraId="4AD41903" w14:textId="77777777" w:rsidR="00941CF4" w:rsidRDefault="00000000">
            <w:pPr>
              <w:spacing w:after="0"/>
            </w:pPr>
            <w:r>
              <w:rPr>
                <w:sz w:val="16"/>
              </w:rPr>
              <w:t>Figure 16</w:t>
            </w:r>
          </w:p>
        </w:tc>
        <w:tc>
          <w:tcPr>
            <w:tcW w:w="2592" w:type="dxa"/>
            <w:shd w:val="clear" w:color="auto" w:fill="F5F7FA"/>
          </w:tcPr>
          <w:p w14:paraId="45D0703D" w14:textId="77777777" w:rsidR="00941CF4" w:rsidRDefault="00000000">
            <w:pPr>
              <w:spacing w:after="0"/>
            </w:pPr>
            <w:r>
              <w:rPr>
                <w:sz w:val="16"/>
              </w:rPr>
              <w:t>Screenshot 13</w:t>
            </w:r>
          </w:p>
        </w:tc>
        <w:tc>
          <w:tcPr>
            <w:tcW w:w="6048" w:type="dxa"/>
            <w:shd w:val="clear" w:color="auto" w:fill="F5F7FA"/>
          </w:tcPr>
          <w:p w14:paraId="686EC06E" w14:textId="77777777" w:rsidR="00941CF4" w:rsidRDefault="00000000">
            <w:pPr>
              <w:spacing w:after="0"/>
            </w:pPr>
            <w:r>
              <w:rPr>
                <w:sz w:val="16"/>
              </w:rPr>
              <w:t>Balance Exposure</w:t>
            </w:r>
          </w:p>
        </w:tc>
      </w:tr>
      <w:tr w:rsidR="00941CF4" w14:paraId="1825C008" w14:textId="77777777">
        <w:trPr>
          <w:jc w:val="center"/>
        </w:trPr>
        <w:tc>
          <w:tcPr>
            <w:tcW w:w="1440" w:type="dxa"/>
            <w:shd w:val="clear" w:color="auto" w:fill="FFFFFF"/>
          </w:tcPr>
          <w:p w14:paraId="54DAEBFA" w14:textId="77777777" w:rsidR="00941CF4" w:rsidRDefault="00000000">
            <w:pPr>
              <w:spacing w:after="0"/>
            </w:pPr>
            <w:r>
              <w:rPr>
                <w:sz w:val="16"/>
              </w:rPr>
              <w:t>Figure 17</w:t>
            </w:r>
          </w:p>
        </w:tc>
        <w:tc>
          <w:tcPr>
            <w:tcW w:w="2592" w:type="dxa"/>
            <w:shd w:val="clear" w:color="auto" w:fill="FFFFFF"/>
          </w:tcPr>
          <w:p w14:paraId="6D9BB38E" w14:textId="77777777" w:rsidR="00941CF4" w:rsidRDefault="00000000">
            <w:pPr>
              <w:spacing w:after="0"/>
            </w:pPr>
            <w:r>
              <w:rPr>
                <w:sz w:val="16"/>
              </w:rPr>
              <w:t>Screenshot 14</w:t>
            </w:r>
          </w:p>
        </w:tc>
        <w:tc>
          <w:tcPr>
            <w:tcW w:w="6048" w:type="dxa"/>
            <w:shd w:val="clear" w:color="auto" w:fill="FFFFFF"/>
          </w:tcPr>
          <w:p w14:paraId="09443158" w14:textId="77777777" w:rsidR="00941CF4" w:rsidRDefault="00000000">
            <w:pPr>
              <w:spacing w:after="0"/>
            </w:pPr>
            <w:r>
              <w:rPr>
                <w:sz w:val="16"/>
              </w:rPr>
              <w:t>Salary-Balance Mismatch Bubble Map</w:t>
            </w:r>
          </w:p>
        </w:tc>
      </w:tr>
      <w:tr w:rsidR="00941CF4" w14:paraId="5B091663" w14:textId="77777777">
        <w:trPr>
          <w:jc w:val="center"/>
        </w:trPr>
        <w:tc>
          <w:tcPr>
            <w:tcW w:w="1440" w:type="dxa"/>
            <w:shd w:val="clear" w:color="auto" w:fill="F5F7FA"/>
          </w:tcPr>
          <w:p w14:paraId="7B44BC2F" w14:textId="77777777" w:rsidR="00941CF4" w:rsidRDefault="00000000">
            <w:pPr>
              <w:spacing w:after="0"/>
            </w:pPr>
            <w:r>
              <w:rPr>
                <w:sz w:val="16"/>
              </w:rPr>
              <w:t>Figure 18</w:t>
            </w:r>
          </w:p>
        </w:tc>
        <w:tc>
          <w:tcPr>
            <w:tcW w:w="2592" w:type="dxa"/>
            <w:shd w:val="clear" w:color="auto" w:fill="F5F7FA"/>
          </w:tcPr>
          <w:p w14:paraId="16F449A4" w14:textId="77777777" w:rsidR="00941CF4" w:rsidRDefault="00000000">
            <w:pPr>
              <w:spacing w:after="0"/>
            </w:pPr>
            <w:r>
              <w:rPr>
                <w:sz w:val="16"/>
              </w:rPr>
              <w:t>Screenshot 15</w:t>
            </w:r>
          </w:p>
        </w:tc>
        <w:tc>
          <w:tcPr>
            <w:tcW w:w="6048" w:type="dxa"/>
            <w:shd w:val="clear" w:color="auto" w:fill="F5F7FA"/>
          </w:tcPr>
          <w:p w14:paraId="34B9E814" w14:textId="77777777" w:rsidR="00941CF4" w:rsidRDefault="00000000">
            <w:pPr>
              <w:spacing w:after="0"/>
            </w:pPr>
            <w:r>
              <w:rPr>
                <w:sz w:val="16"/>
              </w:rPr>
              <w:t>High-Value Retention Risk Matrix</w:t>
            </w:r>
          </w:p>
        </w:tc>
      </w:tr>
      <w:tr w:rsidR="00941CF4" w14:paraId="2421E4FA" w14:textId="77777777">
        <w:trPr>
          <w:jc w:val="center"/>
        </w:trPr>
        <w:tc>
          <w:tcPr>
            <w:tcW w:w="1440" w:type="dxa"/>
            <w:shd w:val="clear" w:color="auto" w:fill="FFFFFF"/>
          </w:tcPr>
          <w:p w14:paraId="06ACCCFA" w14:textId="77777777" w:rsidR="00941CF4" w:rsidRDefault="00000000">
            <w:pPr>
              <w:spacing w:after="0"/>
            </w:pPr>
            <w:r>
              <w:rPr>
                <w:sz w:val="16"/>
              </w:rPr>
              <w:t>Figure 19</w:t>
            </w:r>
          </w:p>
        </w:tc>
        <w:tc>
          <w:tcPr>
            <w:tcW w:w="2592" w:type="dxa"/>
            <w:shd w:val="clear" w:color="auto" w:fill="FFFFFF"/>
          </w:tcPr>
          <w:p w14:paraId="2E4053B6" w14:textId="77777777" w:rsidR="00941CF4" w:rsidRDefault="00000000">
            <w:pPr>
              <w:spacing w:after="0"/>
            </w:pPr>
            <w:r>
              <w:rPr>
                <w:sz w:val="16"/>
              </w:rPr>
              <w:t>Screenshot 17</w:t>
            </w:r>
          </w:p>
        </w:tc>
        <w:tc>
          <w:tcPr>
            <w:tcW w:w="6048" w:type="dxa"/>
            <w:shd w:val="clear" w:color="auto" w:fill="FFFFFF"/>
          </w:tcPr>
          <w:p w14:paraId="74D82C21" w14:textId="77777777" w:rsidR="00941CF4" w:rsidRDefault="00000000">
            <w:pPr>
              <w:spacing w:after="0"/>
            </w:pPr>
            <w:r>
              <w:rPr>
                <w:sz w:val="16"/>
              </w:rPr>
              <w:t>Retention Score Distribution</w:t>
            </w:r>
          </w:p>
        </w:tc>
      </w:tr>
      <w:tr w:rsidR="00941CF4" w14:paraId="0E360165" w14:textId="77777777">
        <w:trPr>
          <w:jc w:val="center"/>
        </w:trPr>
        <w:tc>
          <w:tcPr>
            <w:tcW w:w="1440" w:type="dxa"/>
            <w:shd w:val="clear" w:color="auto" w:fill="F5F7FA"/>
          </w:tcPr>
          <w:p w14:paraId="435A0F61" w14:textId="77777777" w:rsidR="00941CF4" w:rsidRDefault="00000000">
            <w:pPr>
              <w:spacing w:after="0"/>
            </w:pPr>
            <w:r>
              <w:rPr>
                <w:sz w:val="16"/>
              </w:rPr>
              <w:t>Figure 20</w:t>
            </w:r>
          </w:p>
        </w:tc>
        <w:tc>
          <w:tcPr>
            <w:tcW w:w="2592" w:type="dxa"/>
            <w:shd w:val="clear" w:color="auto" w:fill="F5F7FA"/>
          </w:tcPr>
          <w:p w14:paraId="710CDDCB" w14:textId="77777777" w:rsidR="00941CF4" w:rsidRDefault="00000000">
            <w:pPr>
              <w:spacing w:after="0"/>
            </w:pPr>
            <w:r>
              <w:rPr>
                <w:sz w:val="16"/>
              </w:rPr>
              <w:t>Screenshot 18</w:t>
            </w:r>
          </w:p>
        </w:tc>
        <w:tc>
          <w:tcPr>
            <w:tcW w:w="6048" w:type="dxa"/>
            <w:shd w:val="clear" w:color="auto" w:fill="F5F7FA"/>
          </w:tcPr>
          <w:p w14:paraId="15A5A19F" w14:textId="77777777" w:rsidR="00941CF4" w:rsidRDefault="00000000">
            <w:pPr>
              <w:spacing w:after="0"/>
            </w:pPr>
            <w:r>
              <w:rPr>
                <w:sz w:val="16"/>
              </w:rPr>
              <w:t>Relationship Strength Distribution</w:t>
            </w:r>
          </w:p>
        </w:tc>
      </w:tr>
      <w:tr w:rsidR="00941CF4" w14:paraId="5862577A" w14:textId="77777777">
        <w:trPr>
          <w:jc w:val="center"/>
        </w:trPr>
        <w:tc>
          <w:tcPr>
            <w:tcW w:w="1440" w:type="dxa"/>
            <w:shd w:val="clear" w:color="auto" w:fill="FFFFFF"/>
          </w:tcPr>
          <w:p w14:paraId="48E02EBF" w14:textId="77777777" w:rsidR="00941CF4" w:rsidRDefault="00000000">
            <w:pPr>
              <w:spacing w:after="0"/>
            </w:pPr>
            <w:r>
              <w:rPr>
                <w:sz w:val="16"/>
              </w:rPr>
              <w:t>Figure 21</w:t>
            </w:r>
          </w:p>
        </w:tc>
        <w:tc>
          <w:tcPr>
            <w:tcW w:w="2592" w:type="dxa"/>
            <w:shd w:val="clear" w:color="auto" w:fill="FFFFFF"/>
          </w:tcPr>
          <w:p w14:paraId="5B6E31EC" w14:textId="77777777" w:rsidR="00941CF4" w:rsidRDefault="00000000">
            <w:pPr>
              <w:spacing w:after="0"/>
            </w:pPr>
            <w:r>
              <w:rPr>
                <w:sz w:val="16"/>
              </w:rPr>
              <w:t>Screenshot 19</w:t>
            </w:r>
          </w:p>
        </w:tc>
        <w:tc>
          <w:tcPr>
            <w:tcW w:w="6048" w:type="dxa"/>
            <w:shd w:val="clear" w:color="auto" w:fill="FFFFFF"/>
          </w:tcPr>
          <w:p w14:paraId="2D7E1116" w14:textId="77777777" w:rsidR="00941CF4" w:rsidRDefault="00000000">
            <w:pPr>
              <w:spacing w:after="0"/>
            </w:pPr>
            <w:r>
              <w:rPr>
                <w:sz w:val="16"/>
              </w:rPr>
              <w:t>Relationship vs Retention Strength Map</w:t>
            </w:r>
          </w:p>
        </w:tc>
      </w:tr>
      <w:tr w:rsidR="00941CF4" w14:paraId="3001CA9F" w14:textId="77777777">
        <w:trPr>
          <w:jc w:val="center"/>
        </w:trPr>
        <w:tc>
          <w:tcPr>
            <w:tcW w:w="1440" w:type="dxa"/>
            <w:shd w:val="clear" w:color="auto" w:fill="F5F7FA"/>
          </w:tcPr>
          <w:p w14:paraId="4FC2BF08" w14:textId="77777777" w:rsidR="00941CF4" w:rsidRDefault="00000000">
            <w:pPr>
              <w:spacing w:after="0"/>
            </w:pPr>
            <w:r>
              <w:rPr>
                <w:sz w:val="16"/>
              </w:rPr>
              <w:t>Figure 22</w:t>
            </w:r>
          </w:p>
        </w:tc>
        <w:tc>
          <w:tcPr>
            <w:tcW w:w="2592" w:type="dxa"/>
            <w:shd w:val="clear" w:color="auto" w:fill="F5F7FA"/>
          </w:tcPr>
          <w:p w14:paraId="7D277C54" w14:textId="77777777" w:rsidR="00941CF4" w:rsidRDefault="00000000">
            <w:pPr>
              <w:spacing w:after="0"/>
            </w:pPr>
            <w:r>
              <w:rPr>
                <w:sz w:val="16"/>
              </w:rPr>
              <w:t>Screenshot 20</w:t>
            </w:r>
          </w:p>
        </w:tc>
        <w:tc>
          <w:tcPr>
            <w:tcW w:w="6048" w:type="dxa"/>
            <w:shd w:val="clear" w:color="auto" w:fill="F5F7FA"/>
          </w:tcPr>
          <w:p w14:paraId="6ED9AE54" w14:textId="77777777" w:rsidR="00941CF4" w:rsidRDefault="00000000">
            <w:pPr>
              <w:spacing w:after="0"/>
            </w:pPr>
            <w:r>
              <w:rPr>
                <w:sz w:val="16"/>
              </w:rPr>
              <w:t>Retention Tier Churn Risk Ranking</w:t>
            </w:r>
          </w:p>
        </w:tc>
      </w:tr>
    </w:tbl>
    <w:p w14:paraId="4FC70436" w14:textId="77777777" w:rsidR="00941CF4" w:rsidRDefault="00941CF4"/>
    <w:p w14:paraId="20F96C47" w14:textId="77777777" w:rsidR="00941CF4" w:rsidRDefault="00000000">
      <w:pPr>
        <w:pStyle w:val="Heading2"/>
      </w:pPr>
      <w:r>
        <w:t>18.3 Dashboard Module Register</w:t>
      </w:r>
    </w:p>
    <w:tbl>
      <w:tblPr>
        <w:tblW w:w="0" w:type="auto"/>
        <w:jc w:val="center"/>
        <w:tblLook w:val="04A0" w:firstRow="1" w:lastRow="0" w:firstColumn="1" w:lastColumn="0" w:noHBand="0" w:noVBand="1"/>
      </w:tblPr>
      <w:tblGrid>
        <w:gridCol w:w="3744"/>
        <w:gridCol w:w="2160"/>
        <w:gridCol w:w="4176"/>
      </w:tblGrid>
      <w:tr w:rsidR="00941CF4" w14:paraId="200EC4CC" w14:textId="77777777">
        <w:trPr>
          <w:tblHeader/>
          <w:jc w:val="center"/>
        </w:trPr>
        <w:tc>
          <w:tcPr>
            <w:tcW w:w="3744"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1BBB9F69" w14:textId="77777777" w:rsidR="00941CF4" w:rsidRDefault="00000000">
            <w:pPr>
              <w:spacing w:after="0"/>
            </w:pPr>
            <w:r>
              <w:rPr>
                <w:b/>
                <w:color w:val="FFFFFF"/>
                <w:sz w:val="17"/>
              </w:rPr>
              <w:t>Dashboard Module</w:t>
            </w:r>
          </w:p>
        </w:tc>
        <w:tc>
          <w:tcPr>
            <w:tcW w:w="2160"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07DF3ACB" w14:textId="77777777" w:rsidR="00941CF4" w:rsidRDefault="00000000">
            <w:pPr>
              <w:spacing w:after="0"/>
            </w:pPr>
            <w:r>
              <w:rPr>
                <w:b/>
                <w:color w:val="FFFFFF"/>
                <w:sz w:val="17"/>
              </w:rPr>
              <w:t>Required by Guidelines</w:t>
            </w:r>
          </w:p>
        </w:tc>
        <w:tc>
          <w:tcPr>
            <w:tcW w:w="4176"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19DF2157" w14:textId="77777777" w:rsidR="00941CF4" w:rsidRDefault="00000000">
            <w:pPr>
              <w:spacing w:after="0"/>
            </w:pPr>
            <w:r>
              <w:rPr>
                <w:b/>
                <w:color w:val="FFFFFF"/>
                <w:sz w:val="17"/>
              </w:rPr>
              <w:t>Research Section</w:t>
            </w:r>
          </w:p>
        </w:tc>
      </w:tr>
      <w:tr w:rsidR="00941CF4" w14:paraId="3230FA9C" w14:textId="77777777">
        <w:trPr>
          <w:jc w:val="center"/>
        </w:trPr>
        <w:tc>
          <w:tcPr>
            <w:tcW w:w="3744" w:type="dxa"/>
            <w:shd w:val="clear" w:color="auto" w:fill="FFFFFF"/>
          </w:tcPr>
          <w:p w14:paraId="71A096CE" w14:textId="77777777" w:rsidR="00941CF4" w:rsidRDefault="00000000">
            <w:pPr>
              <w:spacing w:after="0"/>
            </w:pPr>
            <w:r>
              <w:rPr>
                <w:sz w:val="16"/>
              </w:rPr>
              <w:t>Engagement vs Churn Overview</w:t>
            </w:r>
          </w:p>
        </w:tc>
        <w:tc>
          <w:tcPr>
            <w:tcW w:w="2160" w:type="dxa"/>
            <w:shd w:val="clear" w:color="auto" w:fill="FFFFFF"/>
          </w:tcPr>
          <w:p w14:paraId="38C64EBA" w14:textId="77777777" w:rsidR="00941CF4" w:rsidRDefault="00000000">
            <w:pPr>
              <w:spacing w:after="0"/>
            </w:pPr>
            <w:r>
              <w:rPr>
                <w:sz w:val="16"/>
              </w:rPr>
              <w:t>Yes</w:t>
            </w:r>
          </w:p>
        </w:tc>
        <w:tc>
          <w:tcPr>
            <w:tcW w:w="4176" w:type="dxa"/>
            <w:shd w:val="clear" w:color="auto" w:fill="FFFFFF"/>
          </w:tcPr>
          <w:p w14:paraId="2AC71302" w14:textId="77777777" w:rsidR="00941CF4" w:rsidRDefault="00000000">
            <w:pPr>
              <w:spacing w:after="0"/>
            </w:pPr>
            <w:r>
              <w:rPr>
                <w:sz w:val="16"/>
              </w:rPr>
              <w:t>Results Section 11.1 and EDA Section 10.1</w:t>
            </w:r>
          </w:p>
        </w:tc>
      </w:tr>
      <w:tr w:rsidR="00941CF4" w14:paraId="5C80E0CB" w14:textId="77777777">
        <w:trPr>
          <w:jc w:val="center"/>
        </w:trPr>
        <w:tc>
          <w:tcPr>
            <w:tcW w:w="3744" w:type="dxa"/>
            <w:shd w:val="clear" w:color="auto" w:fill="F5F7FA"/>
          </w:tcPr>
          <w:p w14:paraId="1C0B0612" w14:textId="77777777" w:rsidR="00941CF4" w:rsidRDefault="00000000">
            <w:pPr>
              <w:spacing w:after="0"/>
            </w:pPr>
            <w:r>
              <w:rPr>
                <w:sz w:val="16"/>
              </w:rPr>
              <w:t>Product Utilization Impact Analysis</w:t>
            </w:r>
          </w:p>
        </w:tc>
        <w:tc>
          <w:tcPr>
            <w:tcW w:w="2160" w:type="dxa"/>
            <w:shd w:val="clear" w:color="auto" w:fill="F5F7FA"/>
          </w:tcPr>
          <w:p w14:paraId="6DF49A62" w14:textId="77777777" w:rsidR="00941CF4" w:rsidRDefault="00000000">
            <w:pPr>
              <w:spacing w:after="0"/>
            </w:pPr>
            <w:r>
              <w:rPr>
                <w:sz w:val="16"/>
              </w:rPr>
              <w:t>Yes</w:t>
            </w:r>
          </w:p>
        </w:tc>
        <w:tc>
          <w:tcPr>
            <w:tcW w:w="4176" w:type="dxa"/>
            <w:shd w:val="clear" w:color="auto" w:fill="F5F7FA"/>
          </w:tcPr>
          <w:p w14:paraId="5BD38422" w14:textId="77777777" w:rsidR="00941CF4" w:rsidRDefault="00000000">
            <w:pPr>
              <w:spacing w:after="0"/>
            </w:pPr>
            <w:r>
              <w:rPr>
                <w:sz w:val="16"/>
              </w:rPr>
              <w:t>Results Section 11.2 and EDA Section 10.2</w:t>
            </w:r>
          </w:p>
        </w:tc>
      </w:tr>
      <w:tr w:rsidR="00941CF4" w14:paraId="1B916123" w14:textId="77777777">
        <w:trPr>
          <w:jc w:val="center"/>
        </w:trPr>
        <w:tc>
          <w:tcPr>
            <w:tcW w:w="3744" w:type="dxa"/>
            <w:shd w:val="clear" w:color="auto" w:fill="FFFFFF"/>
          </w:tcPr>
          <w:p w14:paraId="573CC0C8" w14:textId="77777777" w:rsidR="00941CF4" w:rsidRDefault="00000000">
            <w:pPr>
              <w:spacing w:after="0"/>
            </w:pPr>
            <w:r>
              <w:rPr>
                <w:sz w:val="16"/>
              </w:rPr>
              <w:t>High-Value Disengaged Customer Detector</w:t>
            </w:r>
          </w:p>
        </w:tc>
        <w:tc>
          <w:tcPr>
            <w:tcW w:w="2160" w:type="dxa"/>
            <w:shd w:val="clear" w:color="auto" w:fill="FFFFFF"/>
          </w:tcPr>
          <w:p w14:paraId="50BCAE38" w14:textId="77777777" w:rsidR="00941CF4" w:rsidRDefault="00000000">
            <w:pPr>
              <w:spacing w:after="0"/>
            </w:pPr>
            <w:r>
              <w:rPr>
                <w:sz w:val="16"/>
              </w:rPr>
              <w:t>Yes</w:t>
            </w:r>
          </w:p>
        </w:tc>
        <w:tc>
          <w:tcPr>
            <w:tcW w:w="4176" w:type="dxa"/>
            <w:shd w:val="clear" w:color="auto" w:fill="FFFFFF"/>
          </w:tcPr>
          <w:p w14:paraId="717473F5" w14:textId="77777777" w:rsidR="00941CF4" w:rsidRDefault="00000000">
            <w:pPr>
              <w:spacing w:after="0"/>
            </w:pPr>
            <w:r>
              <w:rPr>
                <w:sz w:val="16"/>
              </w:rPr>
              <w:t>Results Section 11.3 and Findings</w:t>
            </w:r>
          </w:p>
        </w:tc>
      </w:tr>
      <w:tr w:rsidR="00941CF4" w14:paraId="7C899012" w14:textId="77777777">
        <w:trPr>
          <w:jc w:val="center"/>
        </w:trPr>
        <w:tc>
          <w:tcPr>
            <w:tcW w:w="3744" w:type="dxa"/>
            <w:shd w:val="clear" w:color="auto" w:fill="F5F7FA"/>
          </w:tcPr>
          <w:p w14:paraId="33483B2E" w14:textId="77777777" w:rsidR="00941CF4" w:rsidRDefault="00000000">
            <w:pPr>
              <w:spacing w:after="0"/>
            </w:pPr>
            <w:r>
              <w:rPr>
                <w:sz w:val="16"/>
              </w:rPr>
              <w:t>Retention Strength Scoring Panels</w:t>
            </w:r>
          </w:p>
        </w:tc>
        <w:tc>
          <w:tcPr>
            <w:tcW w:w="2160" w:type="dxa"/>
            <w:shd w:val="clear" w:color="auto" w:fill="F5F7FA"/>
          </w:tcPr>
          <w:p w14:paraId="751327C7" w14:textId="77777777" w:rsidR="00941CF4" w:rsidRDefault="00000000">
            <w:pPr>
              <w:spacing w:after="0"/>
            </w:pPr>
            <w:r>
              <w:rPr>
                <w:sz w:val="16"/>
              </w:rPr>
              <w:t>Yes</w:t>
            </w:r>
          </w:p>
        </w:tc>
        <w:tc>
          <w:tcPr>
            <w:tcW w:w="4176" w:type="dxa"/>
            <w:shd w:val="clear" w:color="auto" w:fill="F5F7FA"/>
          </w:tcPr>
          <w:p w14:paraId="7AE9F5D9" w14:textId="77777777" w:rsidR="00941CF4" w:rsidRDefault="00000000">
            <w:pPr>
              <w:spacing w:after="0"/>
            </w:pPr>
            <w:r>
              <w:rPr>
                <w:sz w:val="16"/>
              </w:rPr>
              <w:t>Results Section 11.4 and Recommendations</w:t>
            </w:r>
          </w:p>
        </w:tc>
      </w:tr>
    </w:tbl>
    <w:p w14:paraId="446907B0" w14:textId="77777777" w:rsidR="00941CF4" w:rsidRDefault="00941CF4"/>
    <w:p w14:paraId="0C58BC3D" w14:textId="77777777" w:rsidR="00941CF4" w:rsidRDefault="00000000">
      <w:pPr>
        <w:pStyle w:val="Heading2"/>
      </w:pPr>
      <w:r>
        <w:t>18.4 Publication Metadata</w:t>
      </w:r>
    </w:p>
    <w:tbl>
      <w:tblPr>
        <w:tblW w:w="0" w:type="auto"/>
        <w:jc w:val="center"/>
        <w:tblLook w:val="04A0" w:firstRow="1" w:lastRow="0" w:firstColumn="1" w:lastColumn="0" w:noHBand="0" w:noVBand="1"/>
      </w:tblPr>
      <w:tblGrid>
        <w:gridCol w:w="3168"/>
        <w:gridCol w:w="6912"/>
      </w:tblGrid>
      <w:tr w:rsidR="00941CF4" w14:paraId="79ADD45E" w14:textId="77777777">
        <w:trPr>
          <w:tblHeade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433A26B5" w14:textId="77777777" w:rsidR="00941CF4" w:rsidRDefault="00000000">
            <w:pPr>
              <w:spacing w:after="0"/>
            </w:pPr>
            <w:r>
              <w:rPr>
                <w:b/>
                <w:color w:val="FFFFFF"/>
                <w:sz w:val="17"/>
              </w:rPr>
              <w:t>Metadata Field</w:t>
            </w:r>
          </w:p>
        </w:tc>
        <w:tc>
          <w:tcPr>
            <w:tcW w:w="6912"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28EBD096" w14:textId="77777777" w:rsidR="00941CF4" w:rsidRDefault="00000000">
            <w:pPr>
              <w:spacing w:after="0"/>
            </w:pPr>
            <w:r>
              <w:rPr>
                <w:b/>
                <w:color w:val="FFFFFF"/>
                <w:sz w:val="17"/>
              </w:rPr>
              <w:t>Value</w:t>
            </w:r>
          </w:p>
        </w:tc>
      </w:tr>
      <w:tr w:rsidR="00941CF4" w14:paraId="00883DF2" w14:textId="77777777">
        <w:trPr>
          <w:jc w:val="center"/>
        </w:trPr>
        <w:tc>
          <w:tcPr>
            <w:tcW w:w="3168" w:type="dxa"/>
            <w:shd w:val="clear" w:color="auto" w:fill="FFFFFF"/>
          </w:tcPr>
          <w:p w14:paraId="1CB91E1A" w14:textId="77777777" w:rsidR="00941CF4" w:rsidRDefault="00000000">
            <w:pPr>
              <w:spacing w:after="0"/>
            </w:pPr>
            <w:r>
              <w:rPr>
                <w:sz w:val="16"/>
              </w:rPr>
              <w:t>Author</w:t>
            </w:r>
          </w:p>
        </w:tc>
        <w:tc>
          <w:tcPr>
            <w:tcW w:w="6912" w:type="dxa"/>
            <w:shd w:val="clear" w:color="auto" w:fill="FFFFFF"/>
          </w:tcPr>
          <w:p w14:paraId="04C479FB" w14:textId="77777777" w:rsidR="00941CF4" w:rsidRDefault="00000000">
            <w:pPr>
              <w:spacing w:after="0"/>
            </w:pPr>
            <w:r>
              <w:rPr>
                <w:sz w:val="16"/>
              </w:rPr>
              <w:t>Mohit Gupta</w:t>
            </w:r>
          </w:p>
        </w:tc>
      </w:tr>
      <w:tr w:rsidR="00941CF4" w14:paraId="51D96683" w14:textId="77777777">
        <w:trPr>
          <w:jc w:val="center"/>
        </w:trPr>
        <w:tc>
          <w:tcPr>
            <w:tcW w:w="3168" w:type="dxa"/>
            <w:shd w:val="clear" w:color="auto" w:fill="F5F7FA"/>
          </w:tcPr>
          <w:p w14:paraId="05BD2364" w14:textId="77777777" w:rsidR="00941CF4" w:rsidRDefault="00000000">
            <w:pPr>
              <w:spacing w:after="0"/>
            </w:pPr>
            <w:r>
              <w:rPr>
                <w:sz w:val="16"/>
              </w:rPr>
              <w:t>Research Paper Title</w:t>
            </w:r>
          </w:p>
        </w:tc>
        <w:tc>
          <w:tcPr>
            <w:tcW w:w="6912" w:type="dxa"/>
            <w:shd w:val="clear" w:color="auto" w:fill="F5F7FA"/>
          </w:tcPr>
          <w:p w14:paraId="440368D4" w14:textId="77777777" w:rsidR="00941CF4" w:rsidRDefault="00000000">
            <w:pPr>
              <w:spacing w:after="0"/>
            </w:pPr>
            <w:r>
              <w:rPr>
                <w:sz w:val="16"/>
              </w:rPr>
              <w:t>Customer Engagement &amp; Product Utilization Analytics for Retention Strategy</w:t>
            </w:r>
          </w:p>
        </w:tc>
      </w:tr>
      <w:tr w:rsidR="00941CF4" w14:paraId="3DB2290B" w14:textId="77777777">
        <w:trPr>
          <w:jc w:val="center"/>
        </w:trPr>
        <w:tc>
          <w:tcPr>
            <w:tcW w:w="3168" w:type="dxa"/>
            <w:shd w:val="clear" w:color="auto" w:fill="FFFFFF"/>
          </w:tcPr>
          <w:p w14:paraId="1C3E93D9" w14:textId="77777777" w:rsidR="00941CF4" w:rsidRDefault="00000000">
            <w:pPr>
              <w:spacing w:after="0"/>
            </w:pPr>
            <w:r>
              <w:rPr>
                <w:sz w:val="16"/>
              </w:rPr>
              <w:t>Project Domain</w:t>
            </w:r>
          </w:p>
        </w:tc>
        <w:tc>
          <w:tcPr>
            <w:tcW w:w="6912" w:type="dxa"/>
            <w:shd w:val="clear" w:color="auto" w:fill="FFFFFF"/>
          </w:tcPr>
          <w:p w14:paraId="27BAA0A9" w14:textId="77777777" w:rsidR="00941CF4" w:rsidRDefault="00000000">
            <w:pPr>
              <w:spacing w:after="0"/>
            </w:pPr>
            <w:r>
              <w:rPr>
                <w:sz w:val="16"/>
              </w:rPr>
              <w:t>Banking retention analytics / customer churn analytics</w:t>
            </w:r>
          </w:p>
        </w:tc>
      </w:tr>
      <w:tr w:rsidR="00941CF4" w14:paraId="16784BFD" w14:textId="77777777">
        <w:trPr>
          <w:jc w:val="center"/>
        </w:trPr>
        <w:tc>
          <w:tcPr>
            <w:tcW w:w="3168" w:type="dxa"/>
            <w:shd w:val="clear" w:color="auto" w:fill="F5F7FA"/>
          </w:tcPr>
          <w:p w14:paraId="76DD66EE" w14:textId="77777777" w:rsidR="00941CF4" w:rsidRDefault="00000000">
            <w:pPr>
              <w:spacing w:after="0"/>
            </w:pPr>
            <w:r>
              <w:rPr>
                <w:sz w:val="16"/>
              </w:rPr>
              <w:t>Recommended Keywords</w:t>
            </w:r>
          </w:p>
        </w:tc>
        <w:tc>
          <w:tcPr>
            <w:tcW w:w="6912" w:type="dxa"/>
            <w:shd w:val="clear" w:color="auto" w:fill="F5F7FA"/>
          </w:tcPr>
          <w:p w14:paraId="26C2B3CB" w14:textId="77777777" w:rsidR="00941CF4" w:rsidRDefault="00000000">
            <w:pPr>
              <w:spacing w:after="0"/>
            </w:pPr>
            <w:r>
              <w:rPr>
                <w:sz w:val="16"/>
              </w:rPr>
              <w:t>customer retention analytics; banking churn analysis; product utilization; high-value disengagement; relationship strength scoring; Streamlit dashboard</w:t>
            </w:r>
          </w:p>
        </w:tc>
      </w:tr>
      <w:tr w:rsidR="00941CF4" w14:paraId="4F9B68E8" w14:textId="77777777">
        <w:trPr>
          <w:jc w:val="center"/>
        </w:trPr>
        <w:tc>
          <w:tcPr>
            <w:tcW w:w="3168" w:type="dxa"/>
            <w:shd w:val="clear" w:color="auto" w:fill="FFFFFF"/>
          </w:tcPr>
          <w:p w14:paraId="2007E933" w14:textId="77777777" w:rsidR="00941CF4" w:rsidRDefault="00000000">
            <w:pPr>
              <w:spacing w:after="0"/>
            </w:pPr>
            <w:r>
              <w:rPr>
                <w:sz w:val="16"/>
              </w:rPr>
              <w:t>Recommended Repository Assets</w:t>
            </w:r>
          </w:p>
        </w:tc>
        <w:tc>
          <w:tcPr>
            <w:tcW w:w="6912" w:type="dxa"/>
            <w:shd w:val="clear" w:color="auto" w:fill="FFFFFF"/>
          </w:tcPr>
          <w:p w14:paraId="6A8A1D85" w14:textId="77777777" w:rsidR="00941CF4" w:rsidRDefault="00000000">
            <w:pPr>
              <w:spacing w:after="0"/>
            </w:pPr>
            <w:r>
              <w:rPr>
                <w:sz w:val="16"/>
              </w:rPr>
              <w:t xml:space="preserve">Research paper DOCX/PDF, dashboard app.py, project guidelines, screenshots, processed </w:t>
            </w:r>
            <w:r>
              <w:rPr>
                <w:sz w:val="16"/>
              </w:rPr>
              <w:lastRenderedPageBreak/>
              <w:t>dataset summary, README, requirements.txt</w:t>
            </w:r>
          </w:p>
        </w:tc>
      </w:tr>
      <w:tr w:rsidR="00941CF4" w14:paraId="151461A9" w14:textId="77777777">
        <w:trPr>
          <w:jc w:val="center"/>
        </w:trPr>
        <w:tc>
          <w:tcPr>
            <w:tcW w:w="3168" w:type="dxa"/>
            <w:shd w:val="clear" w:color="auto" w:fill="F5F7FA"/>
          </w:tcPr>
          <w:p w14:paraId="18147436" w14:textId="77777777" w:rsidR="00941CF4" w:rsidRDefault="00000000">
            <w:pPr>
              <w:spacing w:after="0"/>
            </w:pPr>
            <w:r>
              <w:rPr>
                <w:sz w:val="16"/>
              </w:rPr>
              <w:lastRenderedPageBreak/>
              <w:t>Source Integrity Note</w:t>
            </w:r>
          </w:p>
        </w:tc>
        <w:tc>
          <w:tcPr>
            <w:tcW w:w="6912" w:type="dxa"/>
            <w:shd w:val="clear" w:color="auto" w:fill="F5F7FA"/>
          </w:tcPr>
          <w:p w14:paraId="63BAEC9E" w14:textId="77777777" w:rsidR="00941CF4" w:rsidRDefault="00000000">
            <w:pPr>
              <w:spacing w:after="0"/>
            </w:pPr>
            <w:r>
              <w:rPr>
                <w:sz w:val="16"/>
              </w:rPr>
              <w:t>Metrics and visuals are based on the uploaded project guidelines, app.py implementation, and 20 dashboard screenshots provided for this research paper.</w:t>
            </w:r>
          </w:p>
        </w:tc>
      </w:tr>
    </w:tbl>
    <w:p w14:paraId="49F35853" w14:textId="77777777" w:rsidR="00941CF4" w:rsidRDefault="00941CF4"/>
    <w:p w14:paraId="17905061" w14:textId="77777777" w:rsidR="00941CF4" w:rsidRDefault="00000000">
      <w:pPr>
        <w:pStyle w:val="Heading2"/>
      </w:pPr>
      <w:r>
        <w:t>18.5 Repository Packaging Checklist</w:t>
      </w:r>
    </w:p>
    <w:tbl>
      <w:tblPr>
        <w:tblW w:w="0" w:type="auto"/>
        <w:jc w:val="center"/>
        <w:tblLook w:val="04A0" w:firstRow="1" w:lastRow="0" w:firstColumn="1" w:lastColumn="0" w:noHBand="0" w:noVBand="1"/>
      </w:tblPr>
      <w:tblGrid>
        <w:gridCol w:w="2880"/>
        <w:gridCol w:w="3744"/>
        <w:gridCol w:w="3456"/>
      </w:tblGrid>
      <w:tr w:rsidR="00941CF4" w14:paraId="6F08E7E9" w14:textId="77777777">
        <w:trPr>
          <w:tblHeade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1668661E" w14:textId="77777777" w:rsidR="00941CF4" w:rsidRDefault="00000000">
            <w:pPr>
              <w:spacing w:after="0"/>
            </w:pPr>
            <w:r>
              <w:rPr>
                <w:b/>
                <w:color w:val="FFFFFF"/>
                <w:sz w:val="17"/>
              </w:rPr>
              <w:t>Asset</w:t>
            </w:r>
          </w:p>
        </w:tc>
        <w:tc>
          <w:tcPr>
            <w:tcW w:w="3744"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3E224E50" w14:textId="77777777" w:rsidR="00941CF4" w:rsidRDefault="00000000">
            <w:pPr>
              <w:spacing w:after="0"/>
            </w:pPr>
            <w:r>
              <w:rPr>
                <w:b/>
                <w:color w:val="FFFFFF"/>
                <w:sz w:val="17"/>
              </w:rPr>
              <w:t>Purpose</w:t>
            </w:r>
          </w:p>
        </w:tc>
        <w:tc>
          <w:tcPr>
            <w:tcW w:w="3456" w:type="dxa"/>
            <w:tcBorders>
              <w:top w:val="single" w:sz="6" w:space="0" w:color="CBD5E1"/>
              <w:left w:val="single" w:sz="6" w:space="0" w:color="CBD5E1"/>
              <w:bottom w:val="single" w:sz="6" w:space="0" w:color="CBD5E1"/>
              <w:right w:val="single" w:sz="6" w:space="0" w:color="CBD5E1"/>
            </w:tcBorders>
            <w:shd w:val="clear" w:color="auto" w:fill="001F3F"/>
            <w:vAlign w:val="center"/>
          </w:tcPr>
          <w:p w14:paraId="45231C7E" w14:textId="77777777" w:rsidR="00941CF4" w:rsidRDefault="00000000">
            <w:pPr>
              <w:spacing w:after="0"/>
            </w:pPr>
            <w:r>
              <w:rPr>
                <w:b/>
                <w:color w:val="FFFFFF"/>
                <w:sz w:val="17"/>
              </w:rPr>
              <w:t>Status Recommendation</w:t>
            </w:r>
          </w:p>
        </w:tc>
      </w:tr>
      <w:tr w:rsidR="00941CF4" w14:paraId="4CF9C221" w14:textId="77777777">
        <w:trPr>
          <w:jc w:val="center"/>
        </w:trPr>
        <w:tc>
          <w:tcPr>
            <w:tcW w:w="2880" w:type="dxa"/>
            <w:shd w:val="clear" w:color="auto" w:fill="FFFFFF"/>
          </w:tcPr>
          <w:p w14:paraId="43B5C331" w14:textId="77777777" w:rsidR="00941CF4" w:rsidRDefault="00000000">
            <w:pPr>
              <w:spacing w:after="0"/>
            </w:pPr>
            <w:r>
              <w:rPr>
                <w:sz w:val="16"/>
              </w:rPr>
              <w:t>Research paper DOCX and PDF</w:t>
            </w:r>
          </w:p>
        </w:tc>
        <w:tc>
          <w:tcPr>
            <w:tcW w:w="3744" w:type="dxa"/>
            <w:shd w:val="clear" w:color="auto" w:fill="FFFFFF"/>
          </w:tcPr>
          <w:p w14:paraId="2F0DF7DB" w14:textId="77777777" w:rsidR="00941CF4" w:rsidRDefault="00000000">
            <w:pPr>
              <w:spacing w:after="0"/>
            </w:pPr>
            <w:r>
              <w:rPr>
                <w:sz w:val="16"/>
              </w:rPr>
              <w:t>Main publication artifact for review and upload.</w:t>
            </w:r>
          </w:p>
        </w:tc>
        <w:tc>
          <w:tcPr>
            <w:tcW w:w="3456" w:type="dxa"/>
            <w:shd w:val="clear" w:color="auto" w:fill="FFFFFF"/>
          </w:tcPr>
          <w:p w14:paraId="45EA6A38" w14:textId="77777777" w:rsidR="00941CF4" w:rsidRDefault="00000000">
            <w:pPr>
              <w:spacing w:after="0"/>
            </w:pPr>
            <w:r>
              <w:rPr>
                <w:sz w:val="16"/>
              </w:rPr>
              <w:t>Include final version only.</w:t>
            </w:r>
          </w:p>
        </w:tc>
      </w:tr>
      <w:tr w:rsidR="00941CF4" w14:paraId="2642FDAA" w14:textId="77777777">
        <w:trPr>
          <w:jc w:val="center"/>
        </w:trPr>
        <w:tc>
          <w:tcPr>
            <w:tcW w:w="2880" w:type="dxa"/>
            <w:shd w:val="clear" w:color="auto" w:fill="F5F7FA"/>
          </w:tcPr>
          <w:p w14:paraId="24995963" w14:textId="77777777" w:rsidR="00941CF4" w:rsidRDefault="00000000">
            <w:pPr>
              <w:spacing w:after="0"/>
            </w:pPr>
            <w:r>
              <w:rPr>
                <w:sz w:val="16"/>
              </w:rPr>
              <w:t>Dashboard app.py</w:t>
            </w:r>
          </w:p>
        </w:tc>
        <w:tc>
          <w:tcPr>
            <w:tcW w:w="3744" w:type="dxa"/>
            <w:shd w:val="clear" w:color="auto" w:fill="F5F7FA"/>
          </w:tcPr>
          <w:p w14:paraId="2A06E5EF" w14:textId="77777777" w:rsidR="00941CF4" w:rsidRDefault="00000000">
            <w:pPr>
              <w:spacing w:after="0"/>
            </w:pPr>
            <w:r>
              <w:rPr>
                <w:sz w:val="16"/>
              </w:rPr>
              <w:t>Reproducible dashboard implementation.</w:t>
            </w:r>
          </w:p>
        </w:tc>
        <w:tc>
          <w:tcPr>
            <w:tcW w:w="3456" w:type="dxa"/>
            <w:shd w:val="clear" w:color="auto" w:fill="F5F7FA"/>
          </w:tcPr>
          <w:p w14:paraId="65AFD9CA" w14:textId="77777777" w:rsidR="00941CF4" w:rsidRDefault="00000000">
            <w:pPr>
              <w:spacing w:after="0"/>
            </w:pPr>
            <w:r>
              <w:rPr>
                <w:sz w:val="16"/>
              </w:rPr>
              <w:t>Include with requirements.txt and README.</w:t>
            </w:r>
          </w:p>
        </w:tc>
      </w:tr>
      <w:tr w:rsidR="00941CF4" w14:paraId="0C0D809A" w14:textId="77777777">
        <w:trPr>
          <w:jc w:val="center"/>
        </w:trPr>
        <w:tc>
          <w:tcPr>
            <w:tcW w:w="2880" w:type="dxa"/>
            <w:shd w:val="clear" w:color="auto" w:fill="FFFFFF"/>
          </w:tcPr>
          <w:p w14:paraId="730A3015" w14:textId="77777777" w:rsidR="00941CF4" w:rsidRDefault="00000000">
            <w:pPr>
              <w:spacing w:after="0"/>
            </w:pPr>
            <w:r>
              <w:rPr>
                <w:sz w:val="16"/>
              </w:rPr>
              <w:t>Project Guidelines</w:t>
            </w:r>
          </w:p>
        </w:tc>
        <w:tc>
          <w:tcPr>
            <w:tcW w:w="3744" w:type="dxa"/>
            <w:shd w:val="clear" w:color="auto" w:fill="FFFFFF"/>
          </w:tcPr>
          <w:p w14:paraId="68E380D9" w14:textId="77777777" w:rsidR="00941CF4" w:rsidRDefault="00000000">
            <w:pPr>
              <w:spacing w:after="0"/>
            </w:pPr>
            <w:r>
              <w:rPr>
                <w:sz w:val="16"/>
              </w:rPr>
              <w:t>Business problem and project requirements.</w:t>
            </w:r>
          </w:p>
        </w:tc>
        <w:tc>
          <w:tcPr>
            <w:tcW w:w="3456" w:type="dxa"/>
            <w:shd w:val="clear" w:color="auto" w:fill="FFFFFF"/>
          </w:tcPr>
          <w:p w14:paraId="7AD30255" w14:textId="77777777" w:rsidR="00941CF4" w:rsidRDefault="00000000">
            <w:pPr>
              <w:spacing w:after="0"/>
            </w:pPr>
            <w:r>
              <w:rPr>
                <w:sz w:val="16"/>
              </w:rPr>
              <w:t>Reference as source artifact.</w:t>
            </w:r>
          </w:p>
        </w:tc>
      </w:tr>
      <w:tr w:rsidR="00941CF4" w14:paraId="17C531DB" w14:textId="77777777">
        <w:trPr>
          <w:jc w:val="center"/>
        </w:trPr>
        <w:tc>
          <w:tcPr>
            <w:tcW w:w="2880" w:type="dxa"/>
            <w:shd w:val="clear" w:color="auto" w:fill="F5F7FA"/>
          </w:tcPr>
          <w:p w14:paraId="7D0B4206" w14:textId="77777777" w:rsidR="00941CF4" w:rsidRDefault="00000000">
            <w:pPr>
              <w:spacing w:after="0"/>
            </w:pPr>
            <w:r>
              <w:rPr>
                <w:sz w:val="16"/>
              </w:rPr>
              <w:t>Screenshot evidence pack</w:t>
            </w:r>
          </w:p>
        </w:tc>
        <w:tc>
          <w:tcPr>
            <w:tcW w:w="3744" w:type="dxa"/>
            <w:shd w:val="clear" w:color="auto" w:fill="F5F7FA"/>
          </w:tcPr>
          <w:p w14:paraId="33F0D538" w14:textId="77777777" w:rsidR="00941CF4" w:rsidRDefault="00000000">
            <w:pPr>
              <w:spacing w:after="0"/>
            </w:pPr>
            <w:r>
              <w:rPr>
                <w:sz w:val="16"/>
              </w:rPr>
              <w:t>Dashboard visual evidence used in the paper.</w:t>
            </w:r>
          </w:p>
        </w:tc>
        <w:tc>
          <w:tcPr>
            <w:tcW w:w="3456" w:type="dxa"/>
            <w:shd w:val="clear" w:color="auto" w:fill="F5F7FA"/>
          </w:tcPr>
          <w:p w14:paraId="393094B2" w14:textId="77777777" w:rsidR="00941CF4" w:rsidRDefault="00000000">
            <w:pPr>
              <w:spacing w:after="0"/>
            </w:pPr>
            <w:r>
              <w:rPr>
                <w:sz w:val="16"/>
              </w:rPr>
              <w:t>Store in a clearly named folder.</w:t>
            </w:r>
          </w:p>
        </w:tc>
      </w:tr>
      <w:tr w:rsidR="00941CF4" w14:paraId="0D4B579D" w14:textId="77777777">
        <w:trPr>
          <w:jc w:val="center"/>
        </w:trPr>
        <w:tc>
          <w:tcPr>
            <w:tcW w:w="2880" w:type="dxa"/>
            <w:shd w:val="clear" w:color="auto" w:fill="FFFFFF"/>
          </w:tcPr>
          <w:p w14:paraId="03165316" w14:textId="77777777" w:rsidR="00941CF4" w:rsidRDefault="00000000">
            <w:pPr>
              <w:spacing w:after="0"/>
            </w:pPr>
            <w:r>
              <w:rPr>
                <w:sz w:val="16"/>
              </w:rPr>
              <w:t>Processed dataset summary</w:t>
            </w:r>
          </w:p>
        </w:tc>
        <w:tc>
          <w:tcPr>
            <w:tcW w:w="3744" w:type="dxa"/>
            <w:shd w:val="clear" w:color="auto" w:fill="FFFFFF"/>
          </w:tcPr>
          <w:p w14:paraId="0A7E3322" w14:textId="77777777" w:rsidR="00941CF4" w:rsidRDefault="00000000">
            <w:pPr>
              <w:spacing w:after="0"/>
            </w:pPr>
            <w:r>
              <w:rPr>
                <w:sz w:val="16"/>
              </w:rPr>
              <w:t>Explains derived variables and master dataset fields.</w:t>
            </w:r>
          </w:p>
        </w:tc>
        <w:tc>
          <w:tcPr>
            <w:tcW w:w="3456" w:type="dxa"/>
            <w:shd w:val="clear" w:color="auto" w:fill="FFFFFF"/>
          </w:tcPr>
          <w:p w14:paraId="267C656A" w14:textId="77777777" w:rsidR="00941CF4" w:rsidRDefault="00000000">
            <w:pPr>
              <w:spacing w:after="0"/>
            </w:pPr>
            <w:r>
              <w:rPr>
                <w:sz w:val="16"/>
              </w:rPr>
              <w:t>Include if dataset sharing is allowed.</w:t>
            </w:r>
          </w:p>
        </w:tc>
      </w:tr>
      <w:tr w:rsidR="00941CF4" w14:paraId="70E8D97D" w14:textId="77777777">
        <w:trPr>
          <w:jc w:val="center"/>
        </w:trPr>
        <w:tc>
          <w:tcPr>
            <w:tcW w:w="2880" w:type="dxa"/>
            <w:shd w:val="clear" w:color="auto" w:fill="F5F7FA"/>
          </w:tcPr>
          <w:p w14:paraId="1E6CCA89" w14:textId="77777777" w:rsidR="00941CF4" w:rsidRDefault="00000000">
            <w:pPr>
              <w:spacing w:after="0"/>
            </w:pPr>
            <w:r>
              <w:rPr>
                <w:sz w:val="16"/>
              </w:rPr>
              <w:t>README file</w:t>
            </w:r>
          </w:p>
        </w:tc>
        <w:tc>
          <w:tcPr>
            <w:tcW w:w="3744" w:type="dxa"/>
            <w:shd w:val="clear" w:color="auto" w:fill="F5F7FA"/>
          </w:tcPr>
          <w:p w14:paraId="4EA2B735" w14:textId="77777777" w:rsidR="00941CF4" w:rsidRDefault="00000000">
            <w:pPr>
              <w:spacing w:after="0"/>
            </w:pPr>
            <w:r>
              <w:rPr>
                <w:sz w:val="16"/>
              </w:rPr>
              <w:t>Public-facing project explanation.</w:t>
            </w:r>
          </w:p>
        </w:tc>
        <w:tc>
          <w:tcPr>
            <w:tcW w:w="3456" w:type="dxa"/>
            <w:shd w:val="clear" w:color="auto" w:fill="F5F7FA"/>
          </w:tcPr>
          <w:p w14:paraId="535B4EBF" w14:textId="77777777" w:rsidR="00941CF4" w:rsidRDefault="00000000">
            <w:pPr>
              <w:spacing w:after="0"/>
            </w:pPr>
            <w:r>
              <w:rPr>
                <w:sz w:val="16"/>
              </w:rPr>
              <w:t>Summarize problem, KPIs, dashboard modules, and key findings.</w:t>
            </w:r>
          </w:p>
        </w:tc>
      </w:tr>
    </w:tbl>
    <w:p w14:paraId="2FEC8407" w14:textId="77777777" w:rsidR="00941CF4" w:rsidRDefault="00941CF4"/>
    <w:tbl>
      <w:tblPr>
        <w:tblW w:w="0" w:type="auto"/>
        <w:jc w:val="center"/>
        <w:tblLook w:val="04A0" w:firstRow="1" w:lastRow="0" w:firstColumn="1" w:lastColumn="0" w:noHBand="0" w:noVBand="1"/>
      </w:tblPr>
      <w:tblGrid>
        <w:gridCol w:w="10656"/>
      </w:tblGrid>
      <w:tr w:rsidR="00941CF4" w14:paraId="685F7E7E" w14:textId="77777777">
        <w:trPr>
          <w:tblHeader/>
          <w:jc w:val="center"/>
        </w:trPr>
        <w:tc>
          <w:tcPr>
            <w:tcW w:w="10656" w:type="dxa"/>
            <w:tcBorders>
              <w:top w:val="single" w:sz="6" w:space="0" w:color="BBD0EA"/>
              <w:left w:val="single" w:sz="6" w:space="0" w:color="BBD0EA"/>
              <w:bottom w:val="single" w:sz="6" w:space="0" w:color="BBD0EA"/>
              <w:right w:val="single" w:sz="6" w:space="0" w:color="BBD0EA"/>
            </w:tcBorders>
            <w:shd w:val="clear" w:color="auto" w:fill="EAF2FB"/>
          </w:tcPr>
          <w:p w14:paraId="1F91BE83" w14:textId="77777777" w:rsidR="00941CF4" w:rsidRDefault="00000000">
            <w:pPr>
              <w:spacing w:after="80"/>
            </w:pPr>
            <w:r>
              <w:rPr>
                <w:b/>
                <w:color w:val="001F3F"/>
                <w:sz w:val="21"/>
              </w:rPr>
              <w:t>Final source integrity statement</w:t>
            </w:r>
          </w:p>
          <w:p w14:paraId="35466362" w14:textId="77777777" w:rsidR="00941CF4" w:rsidRDefault="00000000">
            <w:pPr>
              <w:spacing w:after="0"/>
            </w:pPr>
            <w:r>
              <w:rPr>
                <w:sz w:val="19"/>
              </w:rPr>
              <w:t>The document intentionally separates dashboard evidence from causal claims. The metrics, charts, and recommendations are based on the uploaded dashboard artifacts and should be read as applied decision-support evidence for retention strategy design.</w:t>
            </w:r>
          </w:p>
        </w:tc>
      </w:tr>
    </w:tbl>
    <w:p w14:paraId="32848416" w14:textId="77777777" w:rsidR="00941CF4" w:rsidRDefault="00941CF4"/>
    <w:sectPr w:rsidR="00941CF4" w:rsidSect="00034616">
      <w:headerReference w:type="default" r:id="rId28"/>
      <w:footerReference w:type="default" r:id="rId29"/>
      <w:pgSz w:w="12240" w:h="15840"/>
      <w:pgMar w:top="792" w:right="792" w:bottom="792" w:left="79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43F16" w14:textId="77777777" w:rsidR="00BB3AF5" w:rsidRDefault="00BB3AF5">
      <w:pPr>
        <w:spacing w:after="0" w:line="240" w:lineRule="auto"/>
      </w:pPr>
      <w:r>
        <w:separator/>
      </w:r>
    </w:p>
  </w:endnote>
  <w:endnote w:type="continuationSeparator" w:id="0">
    <w:p w14:paraId="2E53F2A6" w14:textId="77777777" w:rsidR="00BB3AF5" w:rsidRDefault="00BB3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4FCCE" w14:textId="77777777" w:rsidR="00941CF4" w:rsidRDefault="00000000">
    <w:pPr>
      <w:pStyle w:val="Footer"/>
      <w:jc w:val="center"/>
    </w:pPr>
    <w:r>
      <w:rPr>
        <w:color w:val="596579"/>
        <w:sz w:val="17"/>
      </w:rPr>
      <w:t xml:space="preserve">Mohit Gupta | Data Analytics Research Paper | Page </w:t>
    </w:r>
    <w:r>
      <w:fldChar w:fldCharType="begin"/>
    </w:r>
    <w:r>
      <w:instrText>PAGE</w:instrText>
    </w:r>
    <w:r w:rsidR="00AE19FB">
      <w:fldChar w:fldCharType="separate"/>
    </w:r>
    <w:r w:rsidR="00AE19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F982E" w14:textId="77777777" w:rsidR="00BB3AF5" w:rsidRDefault="00BB3AF5">
      <w:pPr>
        <w:spacing w:after="0" w:line="240" w:lineRule="auto"/>
      </w:pPr>
      <w:r>
        <w:separator/>
      </w:r>
    </w:p>
  </w:footnote>
  <w:footnote w:type="continuationSeparator" w:id="0">
    <w:p w14:paraId="20F41CFF" w14:textId="77777777" w:rsidR="00BB3AF5" w:rsidRDefault="00BB3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EB394" w14:textId="77777777" w:rsidR="00941CF4" w:rsidRDefault="00000000">
    <w:pPr>
      <w:pStyle w:val="Header"/>
      <w:jc w:val="center"/>
    </w:pPr>
    <w:r>
      <w:rPr>
        <w:color w:val="596579"/>
        <w:sz w:val="17"/>
      </w:rPr>
      <w:t>Customer Engagement &amp; Product Utilization Analytics for Retention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4452691">
    <w:abstractNumId w:val="8"/>
  </w:num>
  <w:num w:numId="2" w16cid:durableId="1342123769">
    <w:abstractNumId w:val="6"/>
  </w:num>
  <w:num w:numId="3" w16cid:durableId="1663049592">
    <w:abstractNumId w:val="5"/>
  </w:num>
  <w:num w:numId="4" w16cid:durableId="1396125137">
    <w:abstractNumId w:val="4"/>
  </w:num>
  <w:num w:numId="5" w16cid:durableId="276790879">
    <w:abstractNumId w:val="7"/>
  </w:num>
  <w:num w:numId="6" w16cid:durableId="440685653">
    <w:abstractNumId w:val="3"/>
  </w:num>
  <w:num w:numId="7" w16cid:durableId="565411160">
    <w:abstractNumId w:val="2"/>
  </w:num>
  <w:num w:numId="8" w16cid:durableId="544025827">
    <w:abstractNumId w:val="1"/>
  </w:num>
  <w:num w:numId="9" w16cid:durableId="301468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E98"/>
    <w:rsid w:val="0029639D"/>
    <w:rsid w:val="00326F90"/>
    <w:rsid w:val="00941CF4"/>
    <w:rsid w:val="00AA1D8D"/>
    <w:rsid w:val="00AE19FB"/>
    <w:rsid w:val="00B47730"/>
    <w:rsid w:val="00BB3AF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111E16"/>
  <w14:defaultImageDpi w14:val="300"/>
  <w15:docId w15:val="{E5AA4864-82DD-4291-8026-A15BE62B1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61A33"/>
      <w:sz w:val="20"/>
    </w:rPr>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b/>
      <w:bCs/>
      <w:color w:val="001F3F"/>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001F3F"/>
      <w:sz w:val="29"/>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color w:val="0B5CAD"/>
      <w:sz w:val="25"/>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b/>
      <w:bCs/>
      <w:i/>
      <w:iCs/>
      <w:color w:val="0B5CA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1F3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657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7809</Words>
  <Characters>44515</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Engagement &amp; Product Utilization Analytics for Retention Strategy</dc:title>
  <dc:subject>Banking retention analytics research paper</dc:subject>
  <dc:creator>Mohit Gupta</dc:creator>
  <cp:keywords>customer retention analytics, banking churn, product utilization, engagement analytics, high-value disengagement, retention strength scoring, Streamlit dashboard, Python, Plotly</cp:keywords>
  <dc:description>Final polished 10/10 research paper with safe-mode layout fixes, governance matrices, screenshot evidence, render verification, and accessibility cleanup.</dc:description>
  <cp:lastModifiedBy>Mohit Gupta</cp:lastModifiedBy>
  <cp:revision>2</cp:revision>
  <dcterms:created xsi:type="dcterms:W3CDTF">2026-06-20T00:00:00Z</dcterms:created>
  <dcterms:modified xsi:type="dcterms:W3CDTF">2026-06-20T02:58:00Z</dcterms:modified>
  <cp:category>Research Paper</cp:category>
</cp:coreProperties>
</file>