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0C49" w14:textId="77777777" w:rsidR="003D1DEF" w:rsidRDefault="00000000">
      <w:pPr>
        <w:jc w:val="center"/>
      </w:pPr>
      <w:r>
        <w:rPr>
          <w:b/>
          <w:color w:val="0B1F3A"/>
          <w:sz w:val="50"/>
        </w:rPr>
        <w:t>System Capacity &amp; Care Load Analytics</w:t>
      </w:r>
      <w:r>
        <w:rPr>
          <w:b/>
          <w:color w:val="0B1F3A"/>
          <w:sz w:val="50"/>
        </w:rPr>
        <w:br/>
        <w:t>for Unaccompanied Children</w:t>
      </w:r>
    </w:p>
    <w:p w14:paraId="4143339F" w14:textId="77777777" w:rsidR="003D1DEF" w:rsidRDefault="00000000">
      <w:pPr>
        <w:jc w:val="center"/>
      </w:pPr>
      <w:r>
        <w:rPr>
          <w:b/>
          <w:color w:val="0F766E"/>
          <w:sz w:val="26"/>
        </w:rPr>
        <w:t>A Dashboard-Based Healthcare Capacity, Intake Pressure, Backlog Monitoring, and Operational Stress Study</w:t>
      </w:r>
    </w:p>
    <w:tbl>
      <w:tblPr>
        <w:tblStyle w:val="TableGrid"/>
        <w:tblW w:w="0" w:type="auto"/>
        <w:tblLook w:val="04A0" w:firstRow="1" w:lastRow="0" w:firstColumn="1" w:lastColumn="0" w:noHBand="0" w:noVBand="1"/>
      </w:tblPr>
      <w:tblGrid>
        <w:gridCol w:w="10037"/>
      </w:tblGrid>
      <w:tr w:rsidR="003D1DEF" w14:paraId="480C4F49" w14:textId="77777777">
        <w:trPr>
          <w:tblHeader/>
        </w:trPr>
        <w:tc>
          <w:tcPr>
            <w:tcW w:w="10037" w:type="dxa"/>
            <w:shd w:val="clear" w:color="auto" w:fill="EAF8F6"/>
            <w:tcMar>
              <w:top w:w="120" w:type="dxa"/>
              <w:left w:w="120" w:type="dxa"/>
              <w:bottom w:w="120" w:type="dxa"/>
              <w:right w:w="120" w:type="dxa"/>
            </w:tcMar>
          </w:tcPr>
          <w:p w14:paraId="4A203234" w14:textId="77777777" w:rsidR="003D1DEF" w:rsidRDefault="00000000">
            <w:r>
              <w:rPr>
                <w:b/>
                <w:color w:val="0F766E"/>
                <w:sz w:val="20"/>
              </w:rPr>
              <w:t>Research Paper Scope</w:t>
            </w:r>
          </w:p>
          <w:p w14:paraId="5032CDC1" w14:textId="77777777" w:rsidR="003D1DEF" w:rsidRDefault="00000000">
            <w:r>
              <w:rPr>
                <w:sz w:val="20"/>
              </w:rPr>
              <w:t>This research paper converts the System Capacity &amp; Care Load Analytics dashboard into a structured healthcare capacity analytics report. It evaluates CBP custody, HHS care load, transfer flow, discharge relief, net intake pressure, backlog accumulation, stress classification, and operational decision priorities across the UAC care pipeline.</w:t>
            </w:r>
          </w:p>
        </w:tc>
      </w:tr>
    </w:tbl>
    <w:p w14:paraId="1B4A8C1F" w14:textId="77777777" w:rsidR="003D1DEF" w:rsidRDefault="003D1DEF"/>
    <w:tbl>
      <w:tblPr>
        <w:tblStyle w:val="TableGrid"/>
        <w:tblW w:w="0" w:type="auto"/>
        <w:jc w:val="center"/>
        <w:tblLook w:val="04A0" w:firstRow="1" w:lastRow="0" w:firstColumn="1" w:lastColumn="0" w:noHBand="0" w:noVBand="1"/>
      </w:tblPr>
      <w:tblGrid>
        <w:gridCol w:w="2592"/>
        <w:gridCol w:w="6912"/>
      </w:tblGrid>
      <w:tr w:rsidR="003D1DEF" w14:paraId="3D1F4658" w14:textId="77777777">
        <w:trPr>
          <w:tblHeader/>
          <w:jc w:val="center"/>
        </w:trPr>
        <w:tc>
          <w:tcPr>
            <w:tcW w:w="2592" w:type="dxa"/>
            <w:shd w:val="clear" w:color="auto" w:fill="0B3D5C"/>
            <w:tcMar>
              <w:top w:w="80" w:type="dxa"/>
              <w:left w:w="80" w:type="dxa"/>
              <w:bottom w:w="80" w:type="dxa"/>
              <w:right w:w="80" w:type="dxa"/>
            </w:tcMar>
            <w:vAlign w:val="center"/>
          </w:tcPr>
          <w:p w14:paraId="15EE4A9F" w14:textId="77777777" w:rsidR="003D1DEF" w:rsidRDefault="00000000">
            <w:r>
              <w:rPr>
                <w:b/>
                <w:color w:val="FFFFFF"/>
                <w:sz w:val="18"/>
              </w:rPr>
              <w:t>Document Element</w:t>
            </w:r>
          </w:p>
        </w:tc>
        <w:tc>
          <w:tcPr>
            <w:tcW w:w="6912" w:type="dxa"/>
            <w:shd w:val="clear" w:color="auto" w:fill="0B3D5C"/>
            <w:tcMar>
              <w:top w:w="80" w:type="dxa"/>
              <w:left w:w="80" w:type="dxa"/>
              <w:bottom w:w="80" w:type="dxa"/>
              <w:right w:w="80" w:type="dxa"/>
            </w:tcMar>
            <w:vAlign w:val="center"/>
          </w:tcPr>
          <w:p w14:paraId="71B16291" w14:textId="77777777" w:rsidR="003D1DEF" w:rsidRDefault="00000000">
            <w:r>
              <w:rPr>
                <w:b/>
                <w:color w:val="FFFFFF"/>
                <w:sz w:val="18"/>
              </w:rPr>
              <w:t>Details</w:t>
            </w:r>
          </w:p>
        </w:tc>
      </w:tr>
      <w:tr w:rsidR="003D1DEF" w14:paraId="71FE4E8C" w14:textId="77777777">
        <w:trPr>
          <w:jc w:val="center"/>
        </w:trPr>
        <w:tc>
          <w:tcPr>
            <w:tcW w:w="2592" w:type="dxa"/>
            <w:shd w:val="clear" w:color="auto" w:fill="F7FAFC"/>
            <w:tcMar>
              <w:top w:w="80" w:type="dxa"/>
              <w:left w:w="80" w:type="dxa"/>
              <w:bottom w:w="80" w:type="dxa"/>
              <w:right w:w="80" w:type="dxa"/>
            </w:tcMar>
            <w:vAlign w:val="center"/>
          </w:tcPr>
          <w:p w14:paraId="73DA6692" w14:textId="77777777" w:rsidR="003D1DEF" w:rsidRDefault="00000000">
            <w:r>
              <w:rPr>
                <w:sz w:val="18"/>
              </w:rPr>
              <w:t>Author</w:t>
            </w:r>
          </w:p>
        </w:tc>
        <w:tc>
          <w:tcPr>
            <w:tcW w:w="6912" w:type="dxa"/>
            <w:shd w:val="clear" w:color="auto" w:fill="F7FAFC"/>
            <w:tcMar>
              <w:top w:w="80" w:type="dxa"/>
              <w:left w:w="80" w:type="dxa"/>
              <w:bottom w:w="80" w:type="dxa"/>
              <w:right w:w="80" w:type="dxa"/>
            </w:tcMar>
            <w:vAlign w:val="center"/>
          </w:tcPr>
          <w:p w14:paraId="1C9DEF9E" w14:textId="77777777" w:rsidR="003D1DEF" w:rsidRDefault="00000000">
            <w:r>
              <w:rPr>
                <w:sz w:val="18"/>
              </w:rPr>
              <w:t>Mohit Gupta</w:t>
            </w:r>
          </w:p>
        </w:tc>
      </w:tr>
      <w:tr w:rsidR="003D1DEF" w14:paraId="007086E8" w14:textId="77777777">
        <w:trPr>
          <w:jc w:val="center"/>
        </w:trPr>
        <w:tc>
          <w:tcPr>
            <w:tcW w:w="2592" w:type="dxa"/>
            <w:shd w:val="clear" w:color="auto" w:fill="FFFFFF"/>
            <w:tcMar>
              <w:top w:w="80" w:type="dxa"/>
              <w:left w:w="80" w:type="dxa"/>
              <w:bottom w:w="80" w:type="dxa"/>
              <w:right w:w="80" w:type="dxa"/>
            </w:tcMar>
            <w:vAlign w:val="center"/>
          </w:tcPr>
          <w:p w14:paraId="44183C02" w14:textId="77777777" w:rsidR="003D1DEF" w:rsidRDefault="00000000">
            <w:r>
              <w:rPr>
                <w:sz w:val="18"/>
              </w:rPr>
              <w:t>Project Domain</w:t>
            </w:r>
          </w:p>
        </w:tc>
        <w:tc>
          <w:tcPr>
            <w:tcW w:w="6912" w:type="dxa"/>
            <w:shd w:val="clear" w:color="auto" w:fill="FFFFFF"/>
            <w:tcMar>
              <w:top w:w="80" w:type="dxa"/>
              <w:left w:w="80" w:type="dxa"/>
              <w:bottom w:w="80" w:type="dxa"/>
              <w:right w:w="80" w:type="dxa"/>
            </w:tcMar>
            <w:vAlign w:val="center"/>
          </w:tcPr>
          <w:p w14:paraId="70C2E8F9" w14:textId="77777777" w:rsidR="003D1DEF" w:rsidRDefault="00000000">
            <w:r>
              <w:rPr>
                <w:sz w:val="18"/>
              </w:rPr>
              <w:t>Healthcare capacity analytics, public-sector operations analytics, and dashboard-based system load monitoring</w:t>
            </w:r>
          </w:p>
        </w:tc>
      </w:tr>
      <w:tr w:rsidR="003D1DEF" w14:paraId="5DD5DE2A" w14:textId="77777777">
        <w:trPr>
          <w:jc w:val="center"/>
        </w:trPr>
        <w:tc>
          <w:tcPr>
            <w:tcW w:w="2592" w:type="dxa"/>
            <w:shd w:val="clear" w:color="auto" w:fill="F7FAFC"/>
            <w:tcMar>
              <w:top w:w="80" w:type="dxa"/>
              <w:left w:w="80" w:type="dxa"/>
              <w:bottom w:w="80" w:type="dxa"/>
              <w:right w:w="80" w:type="dxa"/>
            </w:tcMar>
            <w:vAlign w:val="center"/>
          </w:tcPr>
          <w:p w14:paraId="77F41BDD" w14:textId="77777777" w:rsidR="003D1DEF" w:rsidRDefault="00000000">
            <w:r>
              <w:rPr>
                <w:sz w:val="18"/>
              </w:rPr>
              <w:t>Analytical Scope</w:t>
            </w:r>
          </w:p>
        </w:tc>
        <w:tc>
          <w:tcPr>
            <w:tcW w:w="6912" w:type="dxa"/>
            <w:shd w:val="clear" w:color="auto" w:fill="F7FAFC"/>
            <w:tcMar>
              <w:top w:w="80" w:type="dxa"/>
              <w:left w:w="80" w:type="dxa"/>
              <w:bottom w:w="80" w:type="dxa"/>
              <w:right w:w="80" w:type="dxa"/>
            </w:tcMar>
            <w:vAlign w:val="center"/>
          </w:tcPr>
          <w:p w14:paraId="6ADDE638" w14:textId="77777777" w:rsidR="003D1DEF" w:rsidRDefault="00000000">
            <w:r>
              <w:rPr>
                <w:sz w:val="18"/>
              </w:rPr>
              <w:t>CBP custody, HHS care load, transfer-discharge balance, backlog accumulation, volatility, stress levels, and pressure drivers</w:t>
            </w:r>
          </w:p>
        </w:tc>
      </w:tr>
      <w:tr w:rsidR="003D1DEF" w14:paraId="376D8B39" w14:textId="77777777">
        <w:trPr>
          <w:jc w:val="center"/>
        </w:trPr>
        <w:tc>
          <w:tcPr>
            <w:tcW w:w="2592" w:type="dxa"/>
            <w:shd w:val="clear" w:color="auto" w:fill="FFFFFF"/>
            <w:tcMar>
              <w:top w:w="80" w:type="dxa"/>
              <w:left w:w="80" w:type="dxa"/>
              <w:bottom w:w="80" w:type="dxa"/>
              <w:right w:w="80" w:type="dxa"/>
            </w:tcMar>
            <w:vAlign w:val="center"/>
          </w:tcPr>
          <w:p w14:paraId="70B8D9C8" w14:textId="77777777" w:rsidR="003D1DEF" w:rsidRDefault="00000000">
            <w:r>
              <w:rPr>
                <w:sz w:val="18"/>
              </w:rPr>
              <w:t>Tools Used</w:t>
            </w:r>
          </w:p>
        </w:tc>
        <w:tc>
          <w:tcPr>
            <w:tcW w:w="6912" w:type="dxa"/>
            <w:shd w:val="clear" w:color="auto" w:fill="FFFFFF"/>
            <w:tcMar>
              <w:top w:w="80" w:type="dxa"/>
              <w:left w:w="80" w:type="dxa"/>
              <w:bottom w:w="80" w:type="dxa"/>
              <w:right w:w="80" w:type="dxa"/>
            </w:tcMar>
            <w:vAlign w:val="center"/>
          </w:tcPr>
          <w:p w14:paraId="7E87B667" w14:textId="77777777" w:rsidR="003D1DEF" w:rsidRDefault="00000000">
            <w:r>
              <w:rPr>
                <w:sz w:val="18"/>
              </w:rPr>
              <w:t>Python, Pandas, NumPy, Plotly, Streamlit, CSV-based processed datasets</w:t>
            </w:r>
          </w:p>
        </w:tc>
      </w:tr>
      <w:tr w:rsidR="003D1DEF" w14:paraId="34BE9B1C" w14:textId="77777777">
        <w:trPr>
          <w:jc w:val="center"/>
        </w:trPr>
        <w:tc>
          <w:tcPr>
            <w:tcW w:w="2592" w:type="dxa"/>
            <w:shd w:val="clear" w:color="auto" w:fill="F7FAFC"/>
            <w:tcMar>
              <w:top w:w="80" w:type="dxa"/>
              <w:left w:w="80" w:type="dxa"/>
              <w:bottom w:w="80" w:type="dxa"/>
              <w:right w:w="80" w:type="dxa"/>
            </w:tcMar>
            <w:vAlign w:val="center"/>
          </w:tcPr>
          <w:p w14:paraId="0082E2A7" w14:textId="77777777" w:rsidR="003D1DEF" w:rsidRDefault="00000000">
            <w:r>
              <w:rPr>
                <w:sz w:val="18"/>
              </w:rPr>
              <w:t>Prepared For</w:t>
            </w:r>
          </w:p>
        </w:tc>
        <w:tc>
          <w:tcPr>
            <w:tcW w:w="6912" w:type="dxa"/>
            <w:shd w:val="clear" w:color="auto" w:fill="F7FAFC"/>
            <w:tcMar>
              <w:top w:w="80" w:type="dxa"/>
              <w:left w:w="80" w:type="dxa"/>
              <w:bottom w:w="80" w:type="dxa"/>
              <w:right w:w="80" w:type="dxa"/>
            </w:tcMar>
            <w:vAlign w:val="center"/>
          </w:tcPr>
          <w:p w14:paraId="383DC515" w14:textId="609ED85E" w:rsidR="003D1DEF" w:rsidRDefault="00000000">
            <w:r>
              <w:rPr>
                <w:sz w:val="18"/>
              </w:rPr>
              <w:t>Portfolio, research repository, and professional data analytics project submission</w:t>
            </w:r>
          </w:p>
        </w:tc>
      </w:tr>
      <w:tr w:rsidR="003D1DEF" w14:paraId="2E159402" w14:textId="77777777">
        <w:trPr>
          <w:jc w:val="center"/>
        </w:trPr>
        <w:tc>
          <w:tcPr>
            <w:tcW w:w="2592" w:type="dxa"/>
            <w:shd w:val="clear" w:color="auto" w:fill="FFFFFF"/>
            <w:tcMar>
              <w:top w:w="80" w:type="dxa"/>
              <w:left w:w="80" w:type="dxa"/>
              <w:bottom w:w="80" w:type="dxa"/>
              <w:right w:w="80" w:type="dxa"/>
            </w:tcMar>
            <w:vAlign w:val="center"/>
          </w:tcPr>
          <w:p w14:paraId="0F51565E" w14:textId="77777777" w:rsidR="003D1DEF" w:rsidRDefault="00000000">
            <w:r>
              <w:rPr>
                <w:sz w:val="18"/>
              </w:rPr>
              <w:t>Prepared Date</w:t>
            </w:r>
          </w:p>
        </w:tc>
        <w:tc>
          <w:tcPr>
            <w:tcW w:w="6912" w:type="dxa"/>
            <w:shd w:val="clear" w:color="auto" w:fill="FFFFFF"/>
            <w:tcMar>
              <w:top w:w="80" w:type="dxa"/>
              <w:left w:w="80" w:type="dxa"/>
              <w:bottom w:w="80" w:type="dxa"/>
              <w:right w:w="80" w:type="dxa"/>
            </w:tcMar>
            <w:vAlign w:val="center"/>
          </w:tcPr>
          <w:p w14:paraId="3E6B1BC8" w14:textId="77777777" w:rsidR="003D1DEF" w:rsidRDefault="00000000">
            <w:r>
              <w:rPr>
                <w:sz w:val="18"/>
              </w:rPr>
              <w:t>June 2026</w:t>
            </w:r>
          </w:p>
        </w:tc>
      </w:tr>
      <w:tr w:rsidR="003D1DEF" w14:paraId="60C93695" w14:textId="77777777">
        <w:trPr>
          <w:jc w:val="center"/>
        </w:trPr>
        <w:tc>
          <w:tcPr>
            <w:tcW w:w="2592" w:type="dxa"/>
            <w:shd w:val="clear" w:color="auto" w:fill="F7FAFC"/>
            <w:tcMar>
              <w:top w:w="80" w:type="dxa"/>
              <w:left w:w="80" w:type="dxa"/>
              <w:bottom w:w="80" w:type="dxa"/>
              <w:right w:w="80" w:type="dxa"/>
            </w:tcMar>
            <w:vAlign w:val="center"/>
          </w:tcPr>
          <w:p w14:paraId="0CDBEE17" w14:textId="79DB90E9" w:rsidR="003D1DEF" w:rsidRDefault="00356984">
            <w:r>
              <w:rPr>
                <w:sz w:val="18"/>
              </w:rPr>
              <w:t>Company</w:t>
            </w:r>
          </w:p>
        </w:tc>
        <w:tc>
          <w:tcPr>
            <w:tcW w:w="6912" w:type="dxa"/>
            <w:shd w:val="clear" w:color="auto" w:fill="F7FAFC"/>
            <w:tcMar>
              <w:top w:w="80" w:type="dxa"/>
              <w:left w:w="80" w:type="dxa"/>
              <w:bottom w:w="80" w:type="dxa"/>
              <w:right w:w="80" w:type="dxa"/>
            </w:tcMar>
            <w:vAlign w:val="center"/>
          </w:tcPr>
          <w:p w14:paraId="6C49A844" w14:textId="3CC4E789" w:rsidR="003D1DEF" w:rsidRDefault="00356984">
            <w:r w:rsidRPr="00356984">
              <w:rPr>
                <w:sz w:val="18"/>
                <w:szCs w:val="24"/>
              </w:rPr>
              <w:t>Unified Mentor Private Ltd</w:t>
            </w:r>
          </w:p>
        </w:tc>
      </w:tr>
    </w:tbl>
    <w:p w14:paraId="223FD1F7" w14:textId="77777777" w:rsidR="003D1DEF" w:rsidRDefault="003D1DEF"/>
    <w:tbl>
      <w:tblPr>
        <w:tblStyle w:val="TableGrid"/>
        <w:tblW w:w="0" w:type="auto"/>
        <w:jc w:val="center"/>
        <w:tblLook w:val="04A0" w:firstRow="1" w:lastRow="0" w:firstColumn="1" w:lastColumn="0" w:noHBand="0" w:noVBand="1"/>
      </w:tblPr>
      <w:tblGrid>
        <w:gridCol w:w="2592"/>
        <w:gridCol w:w="2016"/>
        <w:gridCol w:w="5472"/>
      </w:tblGrid>
      <w:tr w:rsidR="003D1DEF" w14:paraId="0EBDE9B1" w14:textId="77777777">
        <w:trPr>
          <w:tblHeader/>
          <w:jc w:val="center"/>
        </w:trPr>
        <w:tc>
          <w:tcPr>
            <w:tcW w:w="2592" w:type="dxa"/>
            <w:shd w:val="clear" w:color="auto" w:fill="0B3D5C"/>
            <w:tcMar>
              <w:top w:w="80" w:type="dxa"/>
              <w:left w:w="80" w:type="dxa"/>
              <w:bottom w:w="80" w:type="dxa"/>
              <w:right w:w="80" w:type="dxa"/>
            </w:tcMar>
            <w:vAlign w:val="center"/>
          </w:tcPr>
          <w:p w14:paraId="0566B06C" w14:textId="77777777" w:rsidR="003D1DEF" w:rsidRDefault="00000000">
            <w:r>
              <w:rPr>
                <w:b/>
                <w:color w:val="FFFFFF"/>
                <w:sz w:val="17"/>
              </w:rPr>
              <w:t>Core KPI</w:t>
            </w:r>
          </w:p>
        </w:tc>
        <w:tc>
          <w:tcPr>
            <w:tcW w:w="2016" w:type="dxa"/>
            <w:shd w:val="clear" w:color="auto" w:fill="0B3D5C"/>
            <w:tcMar>
              <w:top w:w="80" w:type="dxa"/>
              <w:left w:w="80" w:type="dxa"/>
              <w:bottom w:w="80" w:type="dxa"/>
              <w:right w:w="80" w:type="dxa"/>
            </w:tcMar>
            <w:vAlign w:val="center"/>
          </w:tcPr>
          <w:p w14:paraId="4F8AE1D8" w14:textId="77777777" w:rsidR="003D1DEF" w:rsidRDefault="00000000">
            <w:r>
              <w:rPr>
                <w:b/>
                <w:color w:val="FFFFFF"/>
                <w:sz w:val="17"/>
              </w:rPr>
              <w:t>Observed Value</w:t>
            </w:r>
          </w:p>
        </w:tc>
        <w:tc>
          <w:tcPr>
            <w:tcW w:w="5472" w:type="dxa"/>
            <w:shd w:val="clear" w:color="auto" w:fill="0B3D5C"/>
            <w:tcMar>
              <w:top w:w="80" w:type="dxa"/>
              <w:left w:w="80" w:type="dxa"/>
              <w:bottom w:w="80" w:type="dxa"/>
              <w:right w:w="80" w:type="dxa"/>
            </w:tcMar>
            <w:vAlign w:val="center"/>
          </w:tcPr>
          <w:p w14:paraId="1E0707AB" w14:textId="77777777" w:rsidR="003D1DEF" w:rsidRDefault="00000000">
            <w:r>
              <w:rPr>
                <w:b/>
                <w:color w:val="FFFFFF"/>
                <w:sz w:val="17"/>
              </w:rPr>
              <w:t>Executive Meaning</w:t>
            </w:r>
          </w:p>
        </w:tc>
      </w:tr>
      <w:tr w:rsidR="003D1DEF" w14:paraId="5A831B38" w14:textId="77777777">
        <w:trPr>
          <w:jc w:val="center"/>
        </w:trPr>
        <w:tc>
          <w:tcPr>
            <w:tcW w:w="2592" w:type="dxa"/>
            <w:shd w:val="clear" w:color="auto" w:fill="F7FAFC"/>
            <w:tcMar>
              <w:top w:w="80" w:type="dxa"/>
              <w:left w:w="80" w:type="dxa"/>
              <w:bottom w:w="80" w:type="dxa"/>
              <w:right w:w="80" w:type="dxa"/>
            </w:tcMar>
            <w:vAlign w:val="center"/>
          </w:tcPr>
          <w:p w14:paraId="26BAD21E" w14:textId="77777777" w:rsidR="003D1DEF" w:rsidRDefault="00000000">
            <w:r>
              <w:rPr>
                <w:sz w:val="17"/>
              </w:rPr>
              <w:t>Total Children Under Care</w:t>
            </w:r>
          </w:p>
        </w:tc>
        <w:tc>
          <w:tcPr>
            <w:tcW w:w="2016" w:type="dxa"/>
            <w:shd w:val="clear" w:color="auto" w:fill="F7FAFC"/>
            <w:tcMar>
              <w:top w:w="80" w:type="dxa"/>
              <w:left w:w="80" w:type="dxa"/>
              <w:bottom w:w="80" w:type="dxa"/>
              <w:right w:w="80" w:type="dxa"/>
            </w:tcMar>
            <w:vAlign w:val="center"/>
          </w:tcPr>
          <w:p w14:paraId="681B7FD2" w14:textId="77777777" w:rsidR="003D1DEF" w:rsidRDefault="00000000">
            <w:r>
              <w:rPr>
                <w:sz w:val="17"/>
              </w:rPr>
              <w:t>2,502</w:t>
            </w:r>
          </w:p>
        </w:tc>
        <w:tc>
          <w:tcPr>
            <w:tcW w:w="5472" w:type="dxa"/>
            <w:shd w:val="clear" w:color="auto" w:fill="F7FAFC"/>
            <w:tcMar>
              <w:top w:w="80" w:type="dxa"/>
              <w:left w:w="80" w:type="dxa"/>
              <w:bottom w:w="80" w:type="dxa"/>
              <w:right w:w="80" w:type="dxa"/>
            </w:tcMar>
            <w:vAlign w:val="center"/>
          </w:tcPr>
          <w:p w14:paraId="02037A9A" w14:textId="77777777" w:rsidR="003D1DEF" w:rsidRDefault="00000000">
            <w:r>
              <w:rPr>
                <w:sz w:val="17"/>
              </w:rPr>
              <w:t>Current system-wide responsibility across CBP custody and HHS care.</w:t>
            </w:r>
          </w:p>
        </w:tc>
      </w:tr>
      <w:tr w:rsidR="003D1DEF" w14:paraId="259BB129" w14:textId="77777777">
        <w:trPr>
          <w:jc w:val="center"/>
        </w:trPr>
        <w:tc>
          <w:tcPr>
            <w:tcW w:w="2592" w:type="dxa"/>
            <w:shd w:val="clear" w:color="auto" w:fill="FFFFFF"/>
            <w:tcMar>
              <w:top w:w="80" w:type="dxa"/>
              <w:left w:w="80" w:type="dxa"/>
              <w:bottom w:w="80" w:type="dxa"/>
              <w:right w:w="80" w:type="dxa"/>
            </w:tcMar>
            <w:vAlign w:val="center"/>
          </w:tcPr>
          <w:p w14:paraId="72B812CD" w14:textId="77777777" w:rsidR="003D1DEF" w:rsidRDefault="00000000">
            <w:r>
              <w:rPr>
                <w:sz w:val="17"/>
              </w:rPr>
              <w:t>Net Intake Pressure</w:t>
            </w:r>
          </w:p>
        </w:tc>
        <w:tc>
          <w:tcPr>
            <w:tcW w:w="2016" w:type="dxa"/>
            <w:shd w:val="clear" w:color="auto" w:fill="FFFFFF"/>
            <w:tcMar>
              <w:top w:w="80" w:type="dxa"/>
              <w:left w:w="80" w:type="dxa"/>
              <w:bottom w:w="80" w:type="dxa"/>
              <w:right w:w="80" w:type="dxa"/>
            </w:tcMar>
            <w:vAlign w:val="center"/>
          </w:tcPr>
          <w:p w14:paraId="1AB6430D" w14:textId="77777777" w:rsidR="003D1DEF" w:rsidRDefault="00000000">
            <w:r>
              <w:rPr>
                <w:sz w:val="17"/>
              </w:rPr>
              <w:t>-44.7 / day</w:t>
            </w:r>
          </w:p>
        </w:tc>
        <w:tc>
          <w:tcPr>
            <w:tcW w:w="5472" w:type="dxa"/>
            <w:shd w:val="clear" w:color="auto" w:fill="FFFFFF"/>
            <w:tcMar>
              <w:top w:w="80" w:type="dxa"/>
              <w:left w:w="80" w:type="dxa"/>
              <w:bottom w:w="80" w:type="dxa"/>
              <w:right w:w="80" w:type="dxa"/>
            </w:tcMar>
            <w:vAlign w:val="center"/>
          </w:tcPr>
          <w:p w14:paraId="5D3717DF" w14:textId="77777777" w:rsidR="003D1DEF" w:rsidRDefault="00000000">
            <w:r>
              <w:rPr>
                <w:sz w:val="17"/>
              </w:rPr>
              <w:t>Discharges are offsetting incoming transfers in the selected daily view.</w:t>
            </w:r>
          </w:p>
        </w:tc>
      </w:tr>
      <w:tr w:rsidR="003D1DEF" w14:paraId="4514DBEA" w14:textId="77777777">
        <w:trPr>
          <w:jc w:val="center"/>
        </w:trPr>
        <w:tc>
          <w:tcPr>
            <w:tcW w:w="2592" w:type="dxa"/>
            <w:shd w:val="clear" w:color="auto" w:fill="F7FAFC"/>
            <w:tcMar>
              <w:top w:w="80" w:type="dxa"/>
              <w:left w:w="80" w:type="dxa"/>
              <w:bottom w:w="80" w:type="dxa"/>
              <w:right w:w="80" w:type="dxa"/>
            </w:tcMar>
            <w:vAlign w:val="center"/>
          </w:tcPr>
          <w:p w14:paraId="60E841FE" w14:textId="77777777" w:rsidR="003D1DEF" w:rsidRDefault="00000000">
            <w:r>
              <w:rPr>
                <w:sz w:val="17"/>
              </w:rPr>
              <w:t>Discharge Offset Ratio</w:t>
            </w:r>
          </w:p>
        </w:tc>
        <w:tc>
          <w:tcPr>
            <w:tcW w:w="2016" w:type="dxa"/>
            <w:shd w:val="clear" w:color="auto" w:fill="F7FAFC"/>
            <w:tcMar>
              <w:top w:w="80" w:type="dxa"/>
              <w:left w:w="80" w:type="dxa"/>
              <w:bottom w:w="80" w:type="dxa"/>
              <w:right w:w="80" w:type="dxa"/>
            </w:tcMar>
            <w:vAlign w:val="center"/>
          </w:tcPr>
          <w:p w14:paraId="49388DC8" w14:textId="77777777" w:rsidR="003D1DEF" w:rsidRDefault="00000000">
            <w:r>
              <w:rPr>
                <w:sz w:val="17"/>
              </w:rPr>
              <w:t>1.35x</w:t>
            </w:r>
          </w:p>
        </w:tc>
        <w:tc>
          <w:tcPr>
            <w:tcW w:w="5472" w:type="dxa"/>
            <w:shd w:val="clear" w:color="auto" w:fill="F7FAFC"/>
            <w:tcMar>
              <w:top w:w="80" w:type="dxa"/>
              <w:left w:w="80" w:type="dxa"/>
              <w:bottom w:w="80" w:type="dxa"/>
              <w:right w:w="80" w:type="dxa"/>
            </w:tcMar>
            <w:vAlign w:val="center"/>
          </w:tcPr>
          <w:p w14:paraId="19A409B3" w14:textId="77777777" w:rsidR="003D1DEF" w:rsidRDefault="00000000">
            <w:r>
              <w:rPr>
                <w:sz w:val="17"/>
              </w:rPr>
              <w:t>HHS discharges exceed transfers into HHS, supporting a relief-ahead interpretation.</w:t>
            </w:r>
          </w:p>
        </w:tc>
      </w:tr>
      <w:tr w:rsidR="003D1DEF" w14:paraId="586797D3" w14:textId="77777777">
        <w:trPr>
          <w:jc w:val="center"/>
        </w:trPr>
        <w:tc>
          <w:tcPr>
            <w:tcW w:w="2592" w:type="dxa"/>
            <w:shd w:val="clear" w:color="auto" w:fill="FFFFFF"/>
            <w:tcMar>
              <w:top w:w="80" w:type="dxa"/>
              <w:left w:w="80" w:type="dxa"/>
              <w:bottom w:w="80" w:type="dxa"/>
              <w:right w:w="80" w:type="dxa"/>
            </w:tcMar>
            <w:vAlign w:val="center"/>
          </w:tcPr>
          <w:p w14:paraId="4C456936" w14:textId="77777777" w:rsidR="003D1DEF" w:rsidRDefault="00000000">
            <w:r>
              <w:rPr>
                <w:sz w:val="17"/>
              </w:rPr>
              <w:t>Care Load Volatility Index</w:t>
            </w:r>
          </w:p>
        </w:tc>
        <w:tc>
          <w:tcPr>
            <w:tcW w:w="2016" w:type="dxa"/>
            <w:shd w:val="clear" w:color="auto" w:fill="FFFFFF"/>
            <w:tcMar>
              <w:top w:w="80" w:type="dxa"/>
              <w:left w:w="80" w:type="dxa"/>
              <w:bottom w:w="80" w:type="dxa"/>
              <w:right w:w="80" w:type="dxa"/>
            </w:tcMar>
            <w:vAlign w:val="center"/>
          </w:tcPr>
          <w:p w14:paraId="1DE22837" w14:textId="77777777" w:rsidR="003D1DEF" w:rsidRDefault="00000000">
            <w:r>
              <w:rPr>
                <w:sz w:val="17"/>
              </w:rPr>
              <w:t>1.9%</w:t>
            </w:r>
          </w:p>
        </w:tc>
        <w:tc>
          <w:tcPr>
            <w:tcW w:w="5472" w:type="dxa"/>
            <w:shd w:val="clear" w:color="auto" w:fill="FFFFFF"/>
            <w:tcMar>
              <w:top w:w="80" w:type="dxa"/>
              <w:left w:w="80" w:type="dxa"/>
              <w:bottom w:w="80" w:type="dxa"/>
              <w:right w:w="80" w:type="dxa"/>
            </w:tcMar>
            <w:vAlign w:val="center"/>
          </w:tcPr>
          <w:p w14:paraId="082D9987" w14:textId="77777777" w:rsidR="003D1DEF" w:rsidRDefault="00000000">
            <w:r>
              <w:rPr>
                <w:sz w:val="17"/>
              </w:rPr>
              <w:t>Daily care load movement is stable under the selected view.</w:t>
            </w:r>
          </w:p>
        </w:tc>
      </w:tr>
      <w:tr w:rsidR="003D1DEF" w14:paraId="22252E48" w14:textId="77777777">
        <w:trPr>
          <w:jc w:val="center"/>
        </w:trPr>
        <w:tc>
          <w:tcPr>
            <w:tcW w:w="2592" w:type="dxa"/>
            <w:shd w:val="clear" w:color="auto" w:fill="F7FAFC"/>
            <w:tcMar>
              <w:top w:w="80" w:type="dxa"/>
              <w:left w:w="80" w:type="dxa"/>
              <w:bottom w:w="80" w:type="dxa"/>
              <w:right w:w="80" w:type="dxa"/>
            </w:tcMar>
            <w:vAlign w:val="center"/>
          </w:tcPr>
          <w:p w14:paraId="193853F2" w14:textId="77777777" w:rsidR="003D1DEF" w:rsidRDefault="00000000">
            <w:r>
              <w:rPr>
                <w:sz w:val="17"/>
              </w:rPr>
              <w:t>Backlog Accumulation Rate</w:t>
            </w:r>
          </w:p>
        </w:tc>
        <w:tc>
          <w:tcPr>
            <w:tcW w:w="2016" w:type="dxa"/>
            <w:shd w:val="clear" w:color="auto" w:fill="F7FAFC"/>
            <w:tcMar>
              <w:top w:w="80" w:type="dxa"/>
              <w:left w:w="80" w:type="dxa"/>
              <w:bottom w:w="80" w:type="dxa"/>
              <w:right w:w="80" w:type="dxa"/>
            </w:tcMar>
            <w:vAlign w:val="center"/>
          </w:tcPr>
          <w:p w14:paraId="20F919AC" w14:textId="77777777" w:rsidR="003D1DEF" w:rsidRDefault="00000000">
            <w:r>
              <w:rPr>
                <w:sz w:val="17"/>
              </w:rPr>
              <w:t>33.1%</w:t>
            </w:r>
          </w:p>
        </w:tc>
        <w:tc>
          <w:tcPr>
            <w:tcW w:w="5472" w:type="dxa"/>
            <w:shd w:val="clear" w:color="auto" w:fill="F7FAFC"/>
            <w:tcMar>
              <w:top w:w="80" w:type="dxa"/>
              <w:left w:w="80" w:type="dxa"/>
              <w:bottom w:w="80" w:type="dxa"/>
              <w:right w:w="80" w:type="dxa"/>
            </w:tcMar>
            <w:vAlign w:val="center"/>
          </w:tcPr>
          <w:p w14:paraId="0F5A9C27" w14:textId="77777777" w:rsidR="003D1DEF" w:rsidRDefault="00000000">
            <w:r>
              <w:rPr>
                <w:sz w:val="17"/>
              </w:rPr>
              <w:t>Positive net intake appears in roughly one-third of selected days, indicating controlled but present pressure windows.</w:t>
            </w:r>
          </w:p>
        </w:tc>
      </w:tr>
    </w:tbl>
    <w:p w14:paraId="076D36C8" w14:textId="77777777" w:rsidR="003D1DEF" w:rsidRDefault="003D1DEF"/>
    <w:p w14:paraId="03DB5A19" w14:textId="77777777" w:rsidR="003D1DEF" w:rsidRDefault="00000000">
      <w:r>
        <w:br w:type="page"/>
      </w:r>
    </w:p>
    <w:p w14:paraId="111C107B" w14:textId="77777777" w:rsidR="003D1DEF" w:rsidRDefault="00000000">
      <w:pPr>
        <w:pStyle w:val="Heading1"/>
        <w:spacing w:after="200"/>
      </w:pPr>
      <w:r>
        <w:rPr>
          <w:rFonts w:ascii="Calibri" w:hAnsi="Calibri"/>
          <w:color w:val="0B1F3A"/>
          <w:sz w:val="36"/>
        </w:rPr>
        <w:lastRenderedPageBreak/>
        <w:t>1. Executive Summary / Abstract</w:t>
      </w:r>
    </w:p>
    <w:p w14:paraId="7CB0F647" w14:textId="77777777" w:rsidR="003D1DEF" w:rsidRDefault="00000000">
      <w:pPr>
        <w:jc w:val="both"/>
      </w:pPr>
      <w:r>
        <w:t>This research paper presents a healthcare capacity analytics study for the System Capacity &amp; Care Load Analytics for Unaccompanied Children dashboard. The dashboard evaluates the operational movement of children through a CBP-to-HHS care pipeline, including CBP custody, transfer flow into HHS, active HHS care load, discharge relief, net intake pressure, backlog accumulation, and operational stress classification. The central purpose is to convert daily operational counts into decision-ready evidence for capacity monitoring, staffing awareness, shelter planning, discharge throughput review, and policy-aligned humanitarian response evaluation.</w:t>
      </w:r>
    </w:p>
    <w:p w14:paraId="2BE4F974" w14:textId="77777777" w:rsidR="003D1DEF" w:rsidRDefault="00000000">
      <w:pPr>
        <w:jc w:val="both"/>
      </w:pPr>
      <w:r>
        <w:t>The selected dashboard view shows a healthy and relief-oriented operating condition. Total Children Under Care is 2,502, Net Intake Pressure is -44.7 per day, the Discharge Offset Ratio is 1.35x, Care Load Volatility is 1.9%, and Backlog Accumulation is 33.1%. These values indicate that the system is not operating near its historical peak in the selected view and that discharges are currently offsetting transfers into HHS. However, controlled operating status should not be confused with the absence of monitoring need. The dashboard still identifies backlog pressure as a dominant risk signal, HHS care as the overwhelming downstream responsibility center, and daily strain pressure as the most frequent pressure driver.</w:t>
      </w:r>
    </w:p>
    <w:p w14:paraId="0A42B421" w14:textId="77777777" w:rsidR="003D1DEF" w:rsidRDefault="00000000">
      <w:pPr>
        <w:jc w:val="center"/>
      </w:pPr>
      <w:r>
        <w:rPr>
          <w:noProof/>
        </w:rPr>
        <w:drawing>
          <wp:inline distT="0" distB="0" distL="0" distR="0" wp14:anchorId="0B6D7CC3" wp14:editId="02580C67">
            <wp:extent cx="5989320" cy="2770276"/>
            <wp:effectExtent l="0" t="0" r="0" b="0"/>
            <wp:docPr id="1" name="Picture 1" descr="Five KPI cards showing Total Children Under Care 2,502, Net Intake Pressure -44.7 per day, Discharge Offset Ratio 1.35x, Care Load Volatility Index 1.9%, and Backlog Accumulation Rate 33.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jpg"/>
                    <pic:cNvPicPr/>
                  </pic:nvPicPr>
                  <pic:blipFill>
                    <a:blip r:embed="rId8"/>
                    <a:stretch>
                      <a:fillRect/>
                    </a:stretch>
                  </pic:blipFill>
                  <pic:spPr>
                    <a:xfrm>
                      <a:off x="0" y="0"/>
                      <a:ext cx="5989320" cy="2770276"/>
                    </a:xfrm>
                    <a:prstGeom prst="rect">
                      <a:avLst/>
                    </a:prstGeom>
                  </pic:spPr>
                </pic:pic>
              </a:graphicData>
            </a:graphic>
          </wp:inline>
        </w:drawing>
      </w:r>
    </w:p>
    <w:p w14:paraId="3C05196D" w14:textId="77777777" w:rsidR="003D1DEF" w:rsidRDefault="00000000">
      <w:pPr>
        <w:jc w:val="center"/>
      </w:pPr>
      <w:r>
        <w:rPr>
          <w:i/>
          <w:color w:val="475569"/>
          <w:sz w:val="18"/>
        </w:rPr>
        <w:t>Figure 1. Guideline capacity-monitoring KPI cards for the selected daily dashboard view.</w:t>
      </w:r>
    </w:p>
    <w:tbl>
      <w:tblPr>
        <w:tblStyle w:val="TableGrid"/>
        <w:tblW w:w="0" w:type="auto"/>
        <w:jc w:val="center"/>
        <w:tblLook w:val="04A0" w:firstRow="1" w:lastRow="0" w:firstColumn="1" w:lastColumn="0" w:noHBand="0" w:noVBand="1"/>
      </w:tblPr>
      <w:tblGrid>
        <w:gridCol w:w="2880"/>
        <w:gridCol w:w="3456"/>
        <w:gridCol w:w="3456"/>
      </w:tblGrid>
      <w:tr w:rsidR="003D1DEF" w14:paraId="3D731B72" w14:textId="77777777">
        <w:trPr>
          <w:tblHeader/>
          <w:jc w:val="center"/>
        </w:trPr>
        <w:tc>
          <w:tcPr>
            <w:tcW w:w="2880" w:type="dxa"/>
            <w:shd w:val="clear" w:color="auto" w:fill="0B3D5C"/>
            <w:tcMar>
              <w:top w:w="80" w:type="dxa"/>
              <w:left w:w="80" w:type="dxa"/>
              <w:bottom w:w="80" w:type="dxa"/>
              <w:right w:w="80" w:type="dxa"/>
            </w:tcMar>
            <w:vAlign w:val="center"/>
          </w:tcPr>
          <w:p w14:paraId="2AAD305C" w14:textId="77777777" w:rsidR="003D1DEF" w:rsidRDefault="00000000">
            <w:r>
              <w:rPr>
                <w:b/>
                <w:color w:val="FFFFFF"/>
                <w:sz w:val="17"/>
              </w:rPr>
              <w:t>Executive Question</w:t>
            </w:r>
          </w:p>
        </w:tc>
        <w:tc>
          <w:tcPr>
            <w:tcW w:w="3456" w:type="dxa"/>
            <w:shd w:val="clear" w:color="auto" w:fill="0B3D5C"/>
            <w:tcMar>
              <w:top w:w="80" w:type="dxa"/>
              <w:left w:w="80" w:type="dxa"/>
              <w:bottom w:w="80" w:type="dxa"/>
              <w:right w:w="80" w:type="dxa"/>
            </w:tcMar>
            <w:vAlign w:val="center"/>
          </w:tcPr>
          <w:p w14:paraId="5124F105" w14:textId="77777777" w:rsidR="003D1DEF" w:rsidRDefault="00000000">
            <w:r>
              <w:rPr>
                <w:b/>
                <w:color w:val="FFFFFF"/>
                <w:sz w:val="17"/>
              </w:rPr>
              <w:t>Dashboard Evidence</w:t>
            </w:r>
          </w:p>
        </w:tc>
        <w:tc>
          <w:tcPr>
            <w:tcW w:w="3456" w:type="dxa"/>
            <w:shd w:val="clear" w:color="auto" w:fill="0B3D5C"/>
            <w:tcMar>
              <w:top w:w="80" w:type="dxa"/>
              <w:left w:w="80" w:type="dxa"/>
              <w:bottom w:w="80" w:type="dxa"/>
              <w:right w:w="80" w:type="dxa"/>
            </w:tcMar>
            <w:vAlign w:val="center"/>
          </w:tcPr>
          <w:p w14:paraId="113F1E1E" w14:textId="77777777" w:rsidR="003D1DEF" w:rsidRDefault="00000000">
            <w:r>
              <w:rPr>
                <w:b/>
                <w:color w:val="FFFFFF"/>
                <w:sz w:val="17"/>
              </w:rPr>
              <w:t>Strategic Interpretation</w:t>
            </w:r>
          </w:p>
        </w:tc>
      </w:tr>
      <w:tr w:rsidR="003D1DEF" w14:paraId="65DC5333" w14:textId="77777777">
        <w:trPr>
          <w:jc w:val="center"/>
        </w:trPr>
        <w:tc>
          <w:tcPr>
            <w:tcW w:w="2880" w:type="dxa"/>
            <w:shd w:val="clear" w:color="auto" w:fill="F7FAFC"/>
            <w:tcMar>
              <w:top w:w="80" w:type="dxa"/>
              <w:left w:w="80" w:type="dxa"/>
              <w:bottom w:w="80" w:type="dxa"/>
              <w:right w:w="80" w:type="dxa"/>
            </w:tcMar>
            <w:vAlign w:val="center"/>
          </w:tcPr>
          <w:p w14:paraId="03F0C740" w14:textId="77777777" w:rsidR="003D1DEF" w:rsidRDefault="00000000">
            <w:r>
              <w:rPr>
                <w:sz w:val="17"/>
              </w:rPr>
              <w:t>Is the system currently under severe pressure?</w:t>
            </w:r>
          </w:p>
        </w:tc>
        <w:tc>
          <w:tcPr>
            <w:tcW w:w="3456" w:type="dxa"/>
            <w:shd w:val="clear" w:color="auto" w:fill="F7FAFC"/>
            <w:tcMar>
              <w:top w:w="80" w:type="dxa"/>
              <w:left w:w="80" w:type="dxa"/>
              <w:bottom w:w="80" w:type="dxa"/>
              <w:right w:w="80" w:type="dxa"/>
            </w:tcMar>
            <w:vAlign w:val="center"/>
          </w:tcPr>
          <w:p w14:paraId="471885C4" w14:textId="77777777" w:rsidR="003D1DEF" w:rsidRDefault="00000000">
            <w:r>
              <w:rPr>
                <w:sz w:val="17"/>
              </w:rPr>
              <w:t>Overall KPI health is 88.8/100 and no KPIs fall below the watch threshold.</w:t>
            </w:r>
          </w:p>
        </w:tc>
        <w:tc>
          <w:tcPr>
            <w:tcW w:w="3456" w:type="dxa"/>
            <w:shd w:val="clear" w:color="auto" w:fill="F7FAFC"/>
            <w:tcMar>
              <w:top w:w="80" w:type="dxa"/>
              <w:left w:w="80" w:type="dxa"/>
              <w:bottom w:w="80" w:type="dxa"/>
              <w:right w:w="80" w:type="dxa"/>
            </w:tcMar>
            <w:vAlign w:val="center"/>
          </w:tcPr>
          <w:p w14:paraId="12D08DCB" w14:textId="77777777" w:rsidR="003D1DEF" w:rsidRDefault="00000000">
            <w:r>
              <w:rPr>
                <w:sz w:val="17"/>
              </w:rPr>
              <w:t>The selected view is healthy, but monitoring remains necessary because historical stress categories still exist.</w:t>
            </w:r>
          </w:p>
        </w:tc>
      </w:tr>
      <w:tr w:rsidR="003D1DEF" w14:paraId="303EE683" w14:textId="77777777">
        <w:trPr>
          <w:jc w:val="center"/>
        </w:trPr>
        <w:tc>
          <w:tcPr>
            <w:tcW w:w="2880" w:type="dxa"/>
            <w:shd w:val="clear" w:color="auto" w:fill="FFFFFF"/>
            <w:tcMar>
              <w:top w:w="80" w:type="dxa"/>
              <w:left w:w="80" w:type="dxa"/>
              <w:bottom w:w="80" w:type="dxa"/>
              <w:right w:w="80" w:type="dxa"/>
            </w:tcMar>
            <w:vAlign w:val="center"/>
          </w:tcPr>
          <w:p w14:paraId="5070BD0B" w14:textId="77777777" w:rsidR="003D1DEF" w:rsidRDefault="00000000">
            <w:r>
              <w:rPr>
                <w:sz w:val="17"/>
              </w:rPr>
              <w:t>Are discharges relieving intake pressure?</w:t>
            </w:r>
          </w:p>
        </w:tc>
        <w:tc>
          <w:tcPr>
            <w:tcW w:w="3456" w:type="dxa"/>
            <w:shd w:val="clear" w:color="auto" w:fill="FFFFFF"/>
            <w:tcMar>
              <w:top w:w="80" w:type="dxa"/>
              <w:left w:w="80" w:type="dxa"/>
              <w:bottom w:w="80" w:type="dxa"/>
              <w:right w:w="80" w:type="dxa"/>
            </w:tcMar>
            <w:vAlign w:val="center"/>
          </w:tcPr>
          <w:p w14:paraId="10112FF5" w14:textId="77777777" w:rsidR="003D1DEF" w:rsidRDefault="00000000">
            <w:r>
              <w:rPr>
                <w:sz w:val="17"/>
              </w:rPr>
              <w:t>Net Intake Pressure is -44.7/day and Discharge Offset Ratio is 1.35x.</w:t>
            </w:r>
          </w:p>
        </w:tc>
        <w:tc>
          <w:tcPr>
            <w:tcW w:w="3456" w:type="dxa"/>
            <w:shd w:val="clear" w:color="auto" w:fill="FFFFFF"/>
            <w:tcMar>
              <w:top w:w="80" w:type="dxa"/>
              <w:left w:w="80" w:type="dxa"/>
              <w:bottom w:w="80" w:type="dxa"/>
              <w:right w:w="80" w:type="dxa"/>
            </w:tcMar>
            <w:vAlign w:val="center"/>
          </w:tcPr>
          <w:p w14:paraId="7E697F20" w14:textId="77777777" w:rsidR="003D1DEF" w:rsidRDefault="00000000">
            <w:r>
              <w:rPr>
                <w:sz w:val="17"/>
              </w:rPr>
              <w:t>Discharges exceed transfers into HHS in the selected view, producing a relief-oriented flow balance.</w:t>
            </w:r>
          </w:p>
        </w:tc>
      </w:tr>
      <w:tr w:rsidR="003D1DEF" w14:paraId="1A94F390" w14:textId="77777777">
        <w:trPr>
          <w:jc w:val="center"/>
        </w:trPr>
        <w:tc>
          <w:tcPr>
            <w:tcW w:w="2880" w:type="dxa"/>
            <w:shd w:val="clear" w:color="auto" w:fill="F7FAFC"/>
            <w:tcMar>
              <w:top w:w="80" w:type="dxa"/>
              <w:left w:w="80" w:type="dxa"/>
              <w:bottom w:w="80" w:type="dxa"/>
              <w:right w:w="80" w:type="dxa"/>
            </w:tcMar>
            <w:vAlign w:val="center"/>
          </w:tcPr>
          <w:p w14:paraId="781DFB0A" w14:textId="77777777" w:rsidR="003D1DEF" w:rsidRDefault="00000000">
            <w:r>
              <w:rPr>
                <w:sz w:val="17"/>
              </w:rPr>
              <w:t>Where is active responsibility concentrated?</w:t>
            </w:r>
          </w:p>
        </w:tc>
        <w:tc>
          <w:tcPr>
            <w:tcW w:w="3456" w:type="dxa"/>
            <w:shd w:val="clear" w:color="auto" w:fill="F7FAFC"/>
            <w:tcMar>
              <w:top w:w="80" w:type="dxa"/>
              <w:left w:w="80" w:type="dxa"/>
              <w:bottom w:w="80" w:type="dxa"/>
              <w:right w:w="80" w:type="dxa"/>
            </w:tcMar>
            <w:vAlign w:val="center"/>
          </w:tcPr>
          <w:p w14:paraId="3134AB77" w14:textId="77777777" w:rsidR="003D1DEF" w:rsidRDefault="00000000">
            <w:r>
              <w:rPr>
                <w:sz w:val="17"/>
              </w:rPr>
              <w:t>Latest HHS share is 99.3%, while latest CBP share is 0.719%.</w:t>
            </w:r>
          </w:p>
        </w:tc>
        <w:tc>
          <w:tcPr>
            <w:tcW w:w="3456" w:type="dxa"/>
            <w:shd w:val="clear" w:color="auto" w:fill="F7FAFC"/>
            <w:tcMar>
              <w:top w:w="80" w:type="dxa"/>
              <w:left w:w="80" w:type="dxa"/>
              <w:bottom w:w="80" w:type="dxa"/>
              <w:right w:w="80" w:type="dxa"/>
            </w:tcMar>
            <w:vAlign w:val="center"/>
          </w:tcPr>
          <w:p w14:paraId="4CA2BF62" w14:textId="77777777" w:rsidR="003D1DEF" w:rsidRDefault="00000000">
            <w:r>
              <w:rPr>
                <w:sz w:val="17"/>
              </w:rPr>
              <w:t>HHS downstream care, shelter, staffing, placement, and discharge operations are the main capacity-planning concern.</w:t>
            </w:r>
          </w:p>
        </w:tc>
      </w:tr>
      <w:tr w:rsidR="003D1DEF" w14:paraId="135ABA02" w14:textId="77777777">
        <w:trPr>
          <w:jc w:val="center"/>
        </w:trPr>
        <w:tc>
          <w:tcPr>
            <w:tcW w:w="2880" w:type="dxa"/>
            <w:shd w:val="clear" w:color="auto" w:fill="FFFFFF"/>
            <w:tcMar>
              <w:top w:w="80" w:type="dxa"/>
              <w:left w:w="80" w:type="dxa"/>
              <w:bottom w:w="80" w:type="dxa"/>
              <w:right w:w="80" w:type="dxa"/>
            </w:tcMar>
            <w:vAlign w:val="center"/>
          </w:tcPr>
          <w:p w14:paraId="5F50906F" w14:textId="77777777" w:rsidR="003D1DEF" w:rsidRDefault="00000000">
            <w:r>
              <w:rPr>
                <w:sz w:val="17"/>
              </w:rPr>
              <w:t>What is the main operational planning signal?</w:t>
            </w:r>
          </w:p>
        </w:tc>
        <w:tc>
          <w:tcPr>
            <w:tcW w:w="3456" w:type="dxa"/>
            <w:shd w:val="clear" w:color="auto" w:fill="FFFFFF"/>
            <w:tcMar>
              <w:top w:w="80" w:type="dxa"/>
              <w:left w:w="80" w:type="dxa"/>
              <w:bottom w:w="80" w:type="dxa"/>
              <w:right w:w="80" w:type="dxa"/>
            </w:tcMar>
            <w:vAlign w:val="center"/>
          </w:tcPr>
          <w:p w14:paraId="30C1EA36" w14:textId="77777777" w:rsidR="003D1DEF" w:rsidRDefault="00000000">
            <w:r>
              <w:rPr>
                <w:sz w:val="17"/>
              </w:rPr>
              <w:t>Primary Pressure Driver is Daily Strain Pressure.</w:t>
            </w:r>
          </w:p>
        </w:tc>
        <w:tc>
          <w:tcPr>
            <w:tcW w:w="3456" w:type="dxa"/>
            <w:shd w:val="clear" w:color="auto" w:fill="FFFFFF"/>
            <w:tcMar>
              <w:top w:w="80" w:type="dxa"/>
              <w:left w:w="80" w:type="dxa"/>
              <w:bottom w:w="80" w:type="dxa"/>
              <w:right w:w="80" w:type="dxa"/>
            </w:tcMar>
            <w:vAlign w:val="center"/>
          </w:tcPr>
          <w:p w14:paraId="1A42E513" w14:textId="77777777" w:rsidR="003D1DEF" w:rsidRDefault="00000000">
            <w:r>
              <w:rPr>
                <w:sz w:val="17"/>
              </w:rPr>
              <w:t>Routine strain management and prolonged-window monitoring matter more than sudden-spike response alone.</w:t>
            </w:r>
          </w:p>
        </w:tc>
      </w:tr>
    </w:tbl>
    <w:p w14:paraId="1A9EA9BB" w14:textId="77777777" w:rsidR="003D1DEF" w:rsidRDefault="003D1DEF"/>
    <w:p w14:paraId="53E23DF4" w14:textId="77777777" w:rsidR="003D1DEF" w:rsidRDefault="00000000">
      <w:pPr>
        <w:jc w:val="both"/>
      </w:pPr>
      <w:r>
        <w:t xml:space="preserve">The overall conclusion is that the dashboard successfully transforms UAC care-pipeline data into a structured operating intelligence system. Its strongest value is not a single number but the integration of stock metrics, flow </w:t>
      </w:r>
      <w:r>
        <w:lastRenderedPageBreak/>
        <w:t>metrics, pressure-period logic, stress classification, and executive decision support. This paper therefore positions the dashboard as a policy-aligned public-sector analytics framework rather than a simple data visualization exercise.</w:t>
      </w:r>
    </w:p>
    <w:p w14:paraId="296F9D5F" w14:textId="77777777" w:rsidR="003D1DEF" w:rsidRDefault="00000000">
      <w:pPr>
        <w:pStyle w:val="Heading2"/>
      </w:pPr>
      <w:r>
        <w:rPr>
          <w:rFonts w:ascii="Aptos" w:hAnsi="Aptos"/>
          <w:color w:val="0F766E"/>
        </w:rPr>
        <w:t>1.1 Executive Summary Key Takeaways</w:t>
      </w:r>
    </w:p>
    <w:p w14:paraId="39F51649" w14:textId="77777777" w:rsidR="003D1DEF" w:rsidRDefault="00000000">
      <w:r>
        <w:rPr>
          <w:rFonts w:ascii="Aptos" w:hAnsi="Aptos"/>
          <w:sz w:val="20"/>
        </w:rPr>
        <w:t>The executive interpretation is that current operating conditions are favorable, but not passive. The dashboard evidence shows relief-oriented transfer-discharge balance, low daily volatility, and controlled backlog accumulation, while also showing that HHS carries nearly all active downstream responsibility and that daily strain remains the most frequent pressure driver. For leadership, this means the correct posture is disciplined monitoring, not emergency escalation and not disengagement.</w:t>
      </w:r>
    </w:p>
    <w:tbl>
      <w:tblPr>
        <w:tblStyle w:val="TableGrid"/>
        <w:tblW w:w="0" w:type="auto"/>
        <w:jc w:val="center"/>
        <w:tblLook w:val="04A0" w:firstRow="1" w:lastRow="0" w:firstColumn="1" w:lastColumn="0" w:noHBand="0" w:noVBand="1"/>
      </w:tblPr>
      <w:tblGrid>
        <w:gridCol w:w="2304"/>
        <w:gridCol w:w="3600"/>
        <w:gridCol w:w="3600"/>
      </w:tblGrid>
      <w:tr w:rsidR="003D1DEF" w14:paraId="774A5186" w14:textId="77777777">
        <w:trPr>
          <w:tblHeader/>
          <w:jc w:val="center"/>
        </w:trPr>
        <w:tc>
          <w:tcPr>
            <w:tcW w:w="2304" w:type="dxa"/>
            <w:shd w:val="clear" w:color="auto" w:fill="0B3D56"/>
            <w:vAlign w:val="center"/>
          </w:tcPr>
          <w:p w14:paraId="0A64C105" w14:textId="77777777" w:rsidR="003D1DEF" w:rsidRDefault="00000000">
            <w:r>
              <w:rPr>
                <w:rFonts w:ascii="Aptos" w:hAnsi="Aptos"/>
                <w:b/>
                <w:color w:val="FFFFFF"/>
                <w:sz w:val="17"/>
              </w:rPr>
              <w:t>Executive Signal</w:t>
            </w:r>
          </w:p>
        </w:tc>
        <w:tc>
          <w:tcPr>
            <w:tcW w:w="3600" w:type="dxa"/>
            <w:shd w:val="clear" w:color="auto" w:fill="0B3D56"/>
            <w:vAlign w:val="center"/>
          </w:tcPr>
          <w:p w14:paraId="564D8FC4" w14:textId="77777777" w:rsidR="003D1DEF" w:rsidRDefault="00000000">
            <w:r>
              <w:rPr>
                <w:rFonts w:ascii="Aptos" w:hAnsi="Aptos"/>
                <w:b/>
                <w:color w:val="FFFFFF"/>
                <w:sz w:val="17"/>
              </w:rPr>
              <w:t>Evidence</w:t>
            </w:r>
          </w:p>
        </w:tc>
        <w:tc>
          <w:tcPr>
            <w:tcW w:w="3600" w:type="dxa"/>
            <w:shd w:val="clear" w:color="auto" w:fill="0B3D56"/>
            <w:vAlign w:val="center"/>
          </w:tcPr>
          <w:p w14:paraId="78913FD2" w14:textId="77777777" w:rsidR="003D1DEF" w:rsidRDefault="00000000">
            <w:r>
              <w:rPr>
                <w:rFonts w:ascii="Aptos" w:hAnsi="Aptos"/>
                <w:b/>
                <w:color w:val="FFFFFF"/>
                <w:sz w:val="17"/>
              </w:rPr>
              <w:t>Decision Meaning</w:t>
            </w:r>
          </w:p>
        </w:tc>
      </w:tr>
      <w:tr w:rsidR="003D1DEF" w14:paraId="70EAB8A7" w14:textId="77777777">
        <w:trPr>
          <w:jc w:val="center"/>
        </w:trPr>
        <w:tc>
          <w:tcPr>
            <w:tcW w:w="2304" w:type="dxa"/>
            <w:shd w:val="clear" w:color="auto" w:fill="F6F9FB"/>
            <w:vAlign w:val="center"/>
          </w:tcPr>
          <w:p w14:paraId="792673CB" w14:textId="77777777" w:rsidR="003D1DEF" w:rsidRDefault="00000000">
            <w:r>
              <w:rPr>
                <w:rFonts w:ascii="Aptos" w:hAnsi="Aptos"/>
                <w:sz w:val="17"/>
              </w:rPr>
              <w:t>Operating condition</w:t>
            </w:r>
          </w:p>
        </w:tc>
        <w:tc>
          <w:tcPr>
            <w:tcW w:w="3600" w:type="dxa"/>
            <w:shd w:val="clear" w:color="auto" w:fill="F6F9FB"/>
            <w:vAlign w:val="center"/>
          </w:tcPr>
          <w:p w14:paraId="53352529" w14:textId="77777777" w:rsidR="003D1DEF" w:rsidRDefault="00000000">
            <w:r>
              <w:rPr>
                <w:rFonts w:ascii="Aptos" w:hAnsi="Aptos"/>
                <w:sz w:val="17"/>
              </w:rPr>
              <w:t>KPI health 88.8/100; no watch KPIs in the selected daily view</w:t>
            </w:r>
          </w:p>
        </w:tc>
        <w:tc>
          <w:tcPr>
            <w:tcW w:w="3600" w:type="dxa"/>
            <w:shd w:val="clear" w:color="auto" w:fill="F6F9FB"/>
            <w:vAlign w:val="center"/>
          </w:tcPr>
          <w:p w14:paraId="38DF7DD2" w14:textId="77777777" w:rsidR="003D1DEF" w:rsidRDefault="00000000">
            <w:r>
              <w:rPr>
                <w:rFonts w:ascii="Aptos" w:hAnsi="Aptos"/>
                <w:sz w:val="17"/>
              </w:rPr>
              <w:t>Maintain routine executive monitoring and document stable conditions.</w:t>
            </w:r>
          </w:p>
        </w:tc>
      </w:tr>
      <w:tr w:rsidR="003D1DEF" w14:paraId="616EE239" w14:textId="77777777">
        <w:trPr>
          <w:jc w:val="center"/>
        </w:trPr>
        <w:tc>
          <w:tcPr>
            <w:tcW w:w="2304" w:type="dxa"/>
            <w:vAlign w:val="center"/>
          </w:tcPr>
          <w:p w14:paraId="77BAD6ED" w14:textId="77777777" w:rsidR="003D1DEF" w:rsidRDefault="00000000">
            <w:r>
              <w:rPr>
                <w:rFonts w:ascii="Aptos" w:hAnsi="Aptos"/>
                <w:sz w:val="17"/>
              </w:rPr>
              <w:t>Flow balance</w:t>
            </w:r>
          </w:p>
        </w:tc>
        <w:tc>
          <w:tcPr>
            <w:tcW w:w="3600" w:type="dxa"/>
            <w:vAlign w:val="center"/>
          </w:tcPr>
          <w:p w14:paraId="55D43077" w14:textId="77777777" w:rsidR="003D1DEF" w:rsidRDefault="00000000">
            <w:r>
              <w:rPr>
                <w:rFonts w:ascii="Aptos" w:hAnsi="Aptos"/>
                <w:sz w:val="17"/>
              </w:rPr>
              <w:t>Net Intake Pressure -44.7/day; Discharge Offset Ratio 1.35x</w:t>
            </w:r>
          </w:p>
        </w:tc>
        <w:tc>
          <w:tcPr>
            <w:tcW w:w="3600" w:type="dxa"/>
            <w:vAlign w:val="center"/>
          </w:tcPr>
          <w:p w14:paraId="48543480" w14:textId="77777777" w:rsidR="003D1DEF" w:rsidRDefault="00000000">
            <w:r>
              <w:rPr>
                <w:rFonts w:ascii="Aptos" w:hAnsi="Aptos"/>
                <w:sz w:val="17"/>
              </w:rPr>
              <w:t>Protect discharge throughput and sponsor-placement flow because these signals create relief.</w:t>
            </w:r>
          </w:p>
        </w:tc>
      </w:tr>
      <w:tr w:rsidR="003D1DEF" w14:paraId="2C8E6FA7" w14:textId="77777777">
        <w:trPr>
          <w:jc w:val="center"/>
        </w:trPr>
        <w:tc>
          <w:tcPr>
            <w:tcW w:w="2304" w:type="dxa"/>
            <w:shd w:val="clear" w:color="auto" w:fill="F6F9FB"/>
            <w:vAlign w:val="center"/>
          </w:tcPr>
          <w:p w14:paraId="75E988BC" w14:textId="77777777" w:rsidR="003D1DEF" w:rsidRDefault="00000000">
            <w:r>
              <w:rPr>
                <w:rFonts w:ascii="Aptos" w:hAnsi="Aptos"/>
                <w:sz w:val="17"/>
              </w:rPr>
              <w:t>Capacity position</w:t>
            </w:r>
          </w:p>
        </w:tc>
        <w:tc>
          <w:tcPr>
            <w:tcW w:w="3600" w:type="dxa"/>
            <w:shd w:val="clear" w:color="auto" w:fill="F6F9FB"/>
            <w:vAlign w:val="center"/>
          </w:tcPr>
          <w:p w14:paraId="1B2F80F2" w14:textId="77777777" w:rsidR="003D1DEF" w:rsidRDefault="00000000">
            <w:r>
              <w:rPr>
                <w:rFonts w:ascii="Aptos" w:hAnsi="Aptos"/>
                <w:sz w:val="17"/>
              </w:rPr>
              <w:t>Current load 2,502; peak context 11,762; load position 21.3% of peak</w:t>
            </w:r>
          </w:p>
        </w:tc>
        <w:tc>
          <w:tcPr>
            <w:tcW w:w="3600" w:type="dxa"/>
            <w:shd w:val="clear" w:color="auto" w:fill="F6F9FB"/>
            <w:vAlign w:val="center"/>
          </w:tcPr>
          <w:p w14:paraId="08728614" w14:textId="77777777" w:rsidR="003D1DEF" w:rsidRDefault="00000000">
            <w:r>
              <w:rPr>
                <w:rFonts w:ascii="Aptos" w:hAnsi="Aptos"/>
                <w:sz w:val="17"/>
              </w:rPr>
              <w:t>Keep surge history visible even though the latest load is far below peak.</w:t>
            </w:r>
          </w:p>
        </w:tc>
      </w:tr>
      <w:tr w:rsidR="003D1DEF" w14:paraId="3745263F" w14:textId="77777777">
        <w:trPr>
          <w:jc w:val="center"/>
        </w:trPr>
        <w:tc>
          <w:tcPr>
            <w:tcW w:w="2304" w:type="dxa"/>
            <w:vAlign w:val="center"/>
          </w:tcPr>
          <w:p w14:paraId="6F5E30F5" w14:textId="77777777" w:rsidR="003D1DEF" w:rsidRDefault="00000000">
            <w:r>
              <w:rPr>
                <w:rFonts w:ascii="Aptos" w:hAnsi="Aptos"/>
                <w:sz w:val="17"/>
              </w:rPr>
              <w:t>Responsibility concentration</w:t>
            </w:r>
          </w:p>
        </w:tc>
        <w:tc>
          <w:tcPr>
            <w:tcW w:w="3600" w:type="dxa"/>
            <w:vAlign w:val="center"/>
          </w:tcPr>
          <w:p w14:paraId="0B89184D" w14:textId="77777777" w:rsidR="003D1DEF" w:rsidRDefault="00000000">
            <w:r>
              <w:rPr>
                <w:rFonts w:ascii="Aptos" w:hAnsi="Aptos"/>
                <w:sz w:val="17"/>
              </w:rPr>
              <w:t>HHS care 99.3% of latest active load; CBP custody 0.719%</w:t>
            </w:r>
          </w:p>
        </w:tc>
        <w:tc>
          <w:tcPr>
            <w:tcW w:w="3600" w:type="dxa"/>
            <w:vAlign w:val="center"/>
          </w:tcPr>
          <w:p w14:paraId="2575E7AA" w14:textId="77777777" w:rsidR="003D1DEF" w:rsidRDefault="00000000">
            <w:r>
              <w:rPr>
                <w:rFonts w:ascii="Aptos" w:hAnsi="Aptos"/>
                <w:sz w:val="17"/>
              </w:rPr>
              <w:t>Prioritize HHS shelter, care, placement, and discharge capacity planning.</w:t>
            </w:r>
          </w:p>
        </w:tc>
      </w:tr>
      <w:tr w:rsidR="003D1DEF" w14:paraId="297A8DB0" w14:textId="77777777">
        <w:trPr>
          <w:jc w:val="center"/>
        </w:trPr>
        <w:tc>
          <w:tcPr>
            <w:tcW w:w="2304" w:type="dxa"/>
            <w:shd w:val="clear" w:color="auto" w:fill="F6F9FB"/>
            <w:vAlign w:val="center"/>
          </w:tcPr>
          <w:p w14:paraId="72D90F48" w14:textId="77777777" w:rsidR="003D1DEF" w:rsidRDefault="00000000">
            <w:r>
              <w:rPr>
                <w:rFonts w:ascii="Aptos" w:hAnsi="Aptos"/>
                <w:sz w:val="17"/>
              </w:rPr>
              <w:t>Pressure driver</w:t>
            </w:r>
          </w:p>
        </w:tc>
        <w:tc>
          <w:tcPr>
            <w:tcW w:w="3600" w:type="dxa"/>
            <w:shd w:val="clear" w:color="auto" w:fill="F6F9FB"/>
            <w:vAlign w:val="center"/>
          </w:tcPr>
          <w:p w14:paraId="0C2C398A" w14:textId="77777777" w:rsidR="003D1DEF" w:rsidRDefault="00000000">
            <w:r>
              <w:rPr>
                <w:rFonts w:ascii="Aptos" w:hAnsi="Aptos"/>
                <w:sz w:val="17"/>
              </w:rPr>
              <w:t>Daily Strain Pressure is the most frequent pressure driver</w:t>
            </w:r>
          </w:p>
        </w:tc>
        <w:tc>
          <w:tcPr>
            <w:tcW w:w="3600" w:type="dxa"/>
            <w:shd w:val="clear" w:color="auto" w:fill="F6F9FB"/>
            <w:vAlign w:val="center"/>
          </w:tcPr>
          <w:p w14:paraId="17A82AB1" w14:textId="77777777" w:rsidR="003D1DEF" w:rsidRDefault="00000000">
            <w:r>
              <w:rPr>
                <w:rFonts w:ascii="Aptos" w:hAnsi="Aptos"/>
                <w:sz w:val="17"/>
              </w:rPr>
              <w:t>Plan for sustained operational strain rather than only sudden-spike response.</w:t>
            </w:r>
          </w:p>
        </w:tc>
      </w:tr>
    </w:tbl>
    <w:p w14:paraId="5D9A540E" w14:textId="77777777" w:rsidR="003D1DEF" w:rsidRDefault="00000000">
      <w:r>
        <w:rPr>
          <w:rFonts w:ascii="Aptos" w:hAnsi="Aptos"/>
          <w:sz w:val="20"/>
        </w:rPr>
        <w:t>Research contribution snapshot: this paper turns the dashboard into a structured research narrative by connecting raw daily counts, derived capacity metrics, dashboard module outputs, and decision-support recommendations. The result is a publication-ready public-sector analytics report that explains not only what the dashboard shows, but how stakeholders should interpret the evidence responsibly.</w:t>
      </w:r>
    </w:p>
    <w:p w14:paraId="049782FE" w14:textId="77777777" w:rsidR="003D1DEF" w:rsidRDefault="00000000">
      <w:pPr>
        <w:pStyle w:val="Heading2"/>
      </w:pPr>
      <w:r>
        <w:rPr>
          <w:color w:val="0F766E"/>
        </w:rPr>
        <w:t>1.2 Decision-Readiness Snapshot</w:t>
      </w:r>
    </w:p>
    <w:p w14:paraId="4388FEF3" w14:textId="77777777" w:rsidR="003D1DEF" w:rsidRDefault="00000000">
      <w:pPr>
        <w:spacing w:after="60"/>
      </w:pPr>
      <w:r>
        <w:rPr>
          <w:rFonts w:ascii="Aptos" w:hAnsi="Aptos"/>
          <w:sz w:val="18"/>
        </w:rPr>
        <w:t>The research paper is decision-ready because it separates immediate operating status from sustained monitoring needs. This avoids two common interpretation errors: treating a healthy daily view as a reason to stop monitoring, or treating historical peak load as evidence of current crisis.</w:t>
      </w:r>
    </w:p>
    <w:tbl>
      <w:tblPr>
        <w:tblStyle w:val="TableGrid"/>
        <w:tblW w:w="0" w:type="auto"/>
        <w:jc w:val="center"/>
        <w:tblLook w:val="04A0" w:firstRow="1" w:lastRow="0" w:firstColumn="1" w:lastColumn="0" w:noHBand="0" w:noVBand="1"/>
      </w:tblPr>
      <w:tblGrid>
        <w:gridCol w:w="3346"/>
        <w:gridCol w:w="3346"/>
        <w:gridCol w:w="3346"/>
      </w:tblGrid>
      <w:tr w:rsidR="003D1DEF" w14:paraId="63540E4C" w14:textId="77777777">
        <w:trPr>
          <w:tblHeader/>
          <w:jc w:val="center"/>
        </w:trPr>
        <w:tc>
          <w:tcPr>
            <w:tcW w:w="3346" w:type="dxa"/>
            <w:shd w:val="clear" w:color="auto" w:fill="0B3D56"/>
            <w:vAlign w:val="center"/>
          </w:tcPr>
          <w:p w14:paraId="79A97E59" w14:textId="77777777" w:rsidR="003D1DEF" w:rsidRDefault="00000000">
            <w:r>
              <w:rPr>
                <w:rFonts w:ascii="Aptos" w:hAnsi="Aptos"/>
                <w:b/>
                <w:color w:val="FFFFFF"/>
                <w:sz w:val="16"/>
              </w:rPr>
              <w:t>Decision Lens</w:t>
            </w:r>
          </w:p>
        </w:tc>
        <w:tc>
          <w:tcPr>
            <w:tcW w:w="3346" w:type="dxa"/>
            <w:shd w:val="clear" w:color="auto" w:fill="0B3D56"/>
            <w:vAlign w:val="center"/>
          </w:tcPr>
          <w:p w14:paraId="766126DF" w14:textId="77777777" w:rsidR="003D1DEF" w:rsidRDefault="00000000">
            <w:r>
              <w:rPr>
                <w:rFonts w:ascii="Aptos" w:hAnsi="Aptos"/>
                <w:b/>
                <w:color w:val="FFFFFF"/>
                <w:sz w:val="16"/>
              </w:rPr>
              <w:t>Evidence Source</w:t>
            </w:r>
          </w:p>
        </w:tc>
        <w:tc>
          <w:tcPr>
            <w:tcW w:w="3346" w:type="dxa"/>
            <w:shd w:val="clear" w:color="auto" w:fill="0B3D56"/>
            <w:vAlign w:val="center"/>
          </w:tcPr>
          <w:p w14:paraId="081D33AC" w14:textId="77777777" w:rsidR="003D1DEF" w:rsidRDefault="00000000">
            <w:r>
              <w:rPr>
                <w:rFonts w:ascii="Aptos" w:hAnsi="Aptos"/>
                <w:b/>
                <w:color w:val="FFFFFF"/>
                <w:sz w:val="16"/>
              </w:rPr>
              <w:t>Final Executive Reading</w:t>
            </w:r>
          </w:p>
        </w:tc>
      </w:tr>
      <w:tr w:rsidR="003D1DEF" w14:paraId="49E1D137" w14:textId="77777777">
        <w:trPr>
          <w:jc w:val="center"/>
        </w:trPr>
        <w:tc>
          <w:tcPr>
            <w:tcW w:w="3346" w:type="dxa"/>
            <w:shd w:val="clear" w:color="auto" w:fill="F6F9FB"/>
            <w:vAlign w:val="center"/>
          </w:tcPr>
          <w:p w14:paraId="2AB55805" w14:textId="77777777" w:rsidR="003D1DEF" w:rsidRDefault="00000000">
            <w:r>
              <w:rPr>
                <w:rFonts w:ascii="Aptos" w:hAnsi="Aptos"/>
                <w:sz w:val="16"/>
              </w:rPr>
              <w:t>Status question</w:t>
            </w:r>
          </w:p>
        </w:tc>
        <w:tc>
          <w:tcPr>
            <w:tcW w:w="3346" w:type="dxa"/>
            <w:shd w:val="clear" w:color="auto" w:fill="F6F9FB"/>
            <w:vAlign w:val="center"/>
          </w:tcPr>
          <w:p w14:paraId="09FE8C90" w14:textId="77777777" w:rsidR="003D1DEF" w:rsidRDefault="00000000">
            <w:r>
              <w:rPr>
                <w:rFonts w:ascii="Aptos" w:hAnsi="Aptos"/>
                <w:sz w:val="16"/>
              </w:rPr>
              <w:t>Answered by KPI health, net intake pressure, and discharge offset ratio</w:t>
            </w:r>
          </w:p>
        </w:tc>
        <w:tc>
          <w:tcPr>
            <w:tcW w:w="3346" w:type="dxa"/>
            <w:shd w:val="clear" w:color="auto" w:fill="F6F9FB"/>
            <w:vAlign w:val="center"/>
          </w:tcPr>
          <w:p w14:paraId="05633480" w14:textId="77777777" w:rsidR="003D1DEF" w:rsidRDefault="00000000">
            <w:r>
              <w:rPr>
                <w:rFonts w:ascii="Aptos" w:hAnsi="Aptos"/>
                <w:sz w:val="16"/>
              </w:rPr>
              <w:t>Healthy operating view with relief-ahead flow balance.</w:t>
            </w:r>
          </w:p>
        </w:tc>
      </w:tr>
      <w:tr w:rsidR="003D1DEF" w14:paraId="56CF9705" w14:textId="77777777">
        <w:trPr>
          <w:jc w:val="center"/>
        </w:trPr>
        <w:tc>
          <w:tcPr>
            <w:tcW w:w="3346" w:type="dxa"/>
            <w:vAlign w:val="center"/>
          </w:tcPr>
          <w:p w14:paraId="77240617" w14:textId="77777777" w:rsidR="003D1DEF" w:rsidRDefault="00000000">
            <w:r>
              <w:rPr>
                <w:rFonts w:ascii="Aptos" w:hAnsi="Aptos"/>
                <w:sz w:val="16"/>
              </w:rPr>
              <w:t>Capacity question</w:t>
            </w:r>
          </w:p>
        </w:tc>
        <w:tc>
          <w:tcPr>
            <w:tcW w:w="3346" w:type="dxa"/>
            <w:vAlign w:val="center"/>
          </w:tcPr>
          <w:p w14:paraId="3C0A9BC3" w14:textId="77777777" w:rsidR="003D1DEF" w:rsidRDefault="00000000">
            <w:r>
              <w:rPr>
                <w:rFonts w:ascii="Aptos" w:hAnsi="Aptos"/>
                <w:sz w:val="16"/>
              </w:rPr>
              <w:t>Answered by current load, peak context, and capacity position</w:t>
            </w:r>
          </w:p>
        </w:tc>
        <w:tc>
          <w:tcPr>
            <w:tcW w:w="3346" w:type="dxa"/>
            <w:vAlign w:val="center"/>
          </w:tcPr>
          <w:p w14:paraId="7E0667F8" w14:textId="77777777" w:rsidR="003D1DEF" w:rsidRDefault="00000000">
            <w:r>
              <w:rPr>
                <w:rFonts w:ascii="Aptos" w:hAnsi="Aptos"/>
                <w:sz w:val="16"/>
              </w:rPr>
              <w:t>Current load is controlled relative to peak, but peak history remains relevant for readiness.</w:t>
            </w:r>
          </w:p>
        </w:tc>
      </w:tr>
      <w:tr w:rsidR="003D1DEF" w14:paraId="13707F62" w14:textId="77777777">
        <w:trPr>
          <w:jc w:val="center"/>
        </w:trPr>
        <w:tc>
          <w:tcPr>
            <w:tcW w:w="3346" w:type="dxa"/>
            <w:shd w:val="clear" w:color="auto" w:fill="F6F9FB"/>
            <w:vAlign w:val="center"/>
          </w:tcPr>
          <w:p w14:paraId="74E17374" w14:textId="77777777" w:rsidR="003D1DEF" w:rsidRDefault="00000000">
            <w:r>
              <w:rPr>
                <w:rFonts w:ascii="Aptos" w:hAnsi="Aptos"/>
                <w:sz w:val="16"/>
              </w:rPr>
              <w:t>Responsibility question</w:t>
            </w:r>
          </w:p>
        </w:tc>
        <w:tc>
          <w:tcPr>
            <w:tcW w:w="3346" w:type="dxa"/>
            <w:shd w:val="clear" w:color="auto" w:fill="F6F9FB"/>
            <w:vAlign w:val="center"/>
          </w:tcPr>
          <w:p w14:paraId="081724C7" w14:textId="77777777" w:rsidR="003D1DEF" w:rsidRDefault="00000000">
            <w:r>
              <w:rPr>
                <w:rFonts w:ascii="Aptos" w:hAnsi="Aptos"/>
                <w:sz w:val="16"/>
              </w:rPr>
              <w:t>Answered by CBP-HHS split and HHS share</w:t>
            </w:r>
          </w:p>
        </w:tc>
        <w:tc>
          <w:tcPr>
            <w:tcW w:w="3346" w:type="dxa"/>
            <w:shd w:val="clear" w:color="auto" w:fill="F6F9FB"/>
            <w:vAlign w:val="center"/>
          </w:tcPr>
          <w:p w14:paraId="7AEA8EAD" w14:textId="77777777" w:rsidR="003D1DEF" w:rsidRDefault="00000000">
            <w:r>
              <w:rPr>
                <w:rFonts w:ascii="Aptos" w:hAnsi="Aptos"/>
                <w:sz w:val="16"/>
              </w:rPr>
              <w:t>HHS care is the dominant downstream responsibility center.</w:t>
            </w:r>
          </w:p>
        </w:tc>
      </w:tr>
      <w:tr w:rsidR="003D1DEF" w14:paraId="25D8EEA3" w14:textId="77777777">
        <w:trPr>
          <w:jc w:val="center"/>
        </w:trPr>
        <w:tc>
          <w:tcPr>
            <w:tcW w:w="3346" w:type="dxa"/>
            <w:vAlign w:val="center"/>
          </w:tcPr>
          <w:p w14:paraId="5DD381E1" w14:textId="77777777" w:rsidR="003D1DEF" w:rsidRDefault="00000000">
            <w:r>
              <w:rPr>
                <w:rFonts w:ascii="Aptos" w:hAnsi="Aptos"/>
                <w:sz w:val="16"/>
              </w:rPr>
              <w:t>Monitoring question</w:t>
            </w:r>
          </w:p>
        </w:tc>
        <w:tc>
          <w:tcPr>
            <w:tcW w:w="3346" w:type="dxa"/>
            <w:vAlign w:val="center"/>
          </w:tcPr>
          <w:p w14:paraId="162A862F" w14:textId="77777777" w:rsidR="003D1DEF" w:rsidRDefault="00000000">
            <w:r>
              <w:rPr>
                <w:rFonts w:ascii="Aptos" w:hAnsi="Aptos"/>
                <w:sz w:val="16"/>
              </w:rPr>
              <w:t>Answered by backlog pressure, pressure distribution, and driver evidence</w:t>
            </w:r>
          </w:p>
        </w:tc>
        <w:tc>
          <w:tcPr>
            <w:tcW w:w="3346" w:type="dxa"/>
            <w:vAlign w:val="center"/>
          </w:tcPr>
          <w:p w14:paraId="786A6CB2" w14:textId="77777777" w:rsidR="003D1DEF" w:rsidRDefault="00000000">
            <w:r>
              <w:rPr>
                <w:rFonts w:ascii="Aptos" w:hAnsi="Aptos"/>
                <w:sz w:val="16"/>
              </w:rPr>
              <w:t>Routine strain and prolonged-window monitoring should remain active.</w:t>
            </w:r>
          </w:p>
        </w:tc>
      </w:tr>
    </w:tbl>
    <w:p w14:paraId="0E47B45E" w14:textId="77777777" w:rsidR="003D1DEF" w:rsidRDefault="00000000">
      <w:r>
        <w:br w:type="page"/>
      </w:r>
    </w:p>
    <w:p w14:paraId="6FDF22C2" w14:textId="77777777" w:rsidR="003D1DEF" w:rsidRDefault="00000000">
      <w:pPr>
        <w:pStyle w:val="Heading1"/>
        <w:spacing w:after="200"/>
      </w:pPr>
      <w:r>
        <w:rPr>
          <w:rFonts w:ascii="Calibri" w:hAnsi="Calibri"/>
          <w:color w:val="0B1F3A"/>
          <w:sz w:val="36"/>
        </w:rPr>
        <w:lastRenderedPageBreak/>
        <w:t>2. Table of Contents</w:t>
      </w:r>
    </w:p>
    <w:tbl>
      <w:tblPr>
        <w:tblStyle w:val="TableGrid"/>
        <w:tblW w:w="0" w:type="auto"/>
        <w:jc w:val="center"/>
        <w:tblLook w:val="04A0" w:firstRow="1" w:lastRow="0" w:firstColumn="1" w:lastColumn="0" w:noHBand="0" w:noVBand="1"/>
      </w:tblPr>
      <w:tblGrid>
        <w:gridCol w:w="2880"/>
        <w:gridCol w:w="3888"/>
        <w:gridCol w:w="2880"/>
      </w:tblGrid>
      <w:tr w:rsidR="003D1DEF" w14:paraId="72105BB5" w14:textId="77777777">
        <w:trPr>
          <w:tblHeader/>
          <w:jc w:val="center"/>
        </w:trPr>
        <w:tc>
          <w:tcPr>
            <w:tcW w:w="2880" w:type="dxa"/>
            <w:shd w:val="clear" w:color="auto" w:fill="0B3D5C"/>
            <w:tcMar>
              <w:top w:w="80" w:type="dxa"/>
              <w:left w:w="80" w:type="dxa"/>
              <w:bottom w:w="80" w:type="dxa"/>
              <w:right w:w="80" w:type="dxa"/>
            </w:tcMar>
            <w:vAlign w:val="center"/>
          </w:tcPr>
          <w:p w14:paraId="5E45578C" w14:textId="77777777" w:rsidR="003D1DEF" w:rsidRDefault="00000000">
            <w:r>
              <w:rPr>
                <w:b/>
                <w:color w:val="FFFFFF"/>
                <w:sz w:val="16"/>
              </w:rPr>
              <w:t>Section</w:t>
            </w:r>
          </w:p>
        </w:tc>
        <w:tc>
          <w:tcPr>
            <w:tcW w:w="3888" w:type="dxa"/>
            <w:shd w:val="clear" w:color="auto" w:fill="0B3D5C"/>
            <w:tcMar>
              <w:top w:w="80" w:type="dxa"/>
              <w:left w:w="80" w:type="dxa"/>
              <w:bottom w:w="80" w:type="dxa"/>
              <w:right w:w="80" w:type="dxa"/>
            </w:tcMar>
            <w:vAlign w:val="center"/>
          </w:tcPr>
          <w:p w14:paraId="253C856E" w14:textId="77777777" w:rsidR="003D1DEF" w:rsidRDefault="00000000">
            <w:r>
              <w:rPr>
                <w:b/>
                <w:color w:val="FFFFFF"/>
                <w:sz w:val="16"/>
              </w:rPr>
              <w:t>Primary Focus</w:t>
            </w:r>
          </w:p>
        </w:tc>
        <w:tc>
          <w:tcPr>
            <w:tcW w:w="2880" w:type="dxa"/>
            <w:shd w:val="clear" w:color="auto" w:fill="0B3D5C"/>
            <w:tcMar>
              <w:top w:w="80" w:type="dxa"/>
              <w:left w:w="80" w:type="dxa"/>
              <w:bottom w:w="80" w:type="dxa"/>
              <w:right w:w="80" w:type="dxa"/>
            </w:tcMar>
            <w:vAlign w:val="center"/>
          </w:tcPr>
          <w:p w14:paraId="1DD79232" w14:textId="77777777" w:rsidR="003D1DEF" w:rsidRDefault="00000000">
            <w:r>
              <w:rPr>
                <w:b/>
                <w:color w:val="FFFFFF"/>
                <w:sz w:val="16"/>
              </w:rPr>
              <w:t>Output</w:t>
            </w:r>
          </w:p>
        </w:tc>
      </w:tr>
      <w:tr w:rsidR="003D1DEF" w14:paraId="5F8BC13E" w14:textId="77777777">
        <w:trPr>
          <w:jc w:val="center"/>
        </w:trPr>
        <w:tc>
          <w:tcPr>
            <w:tcW w:w="2880" w:type="dxa"/>
            <w:shd w:val="clear" w:color="auto" w:fill="F7FAFC"/>
            <w:tcMar>
              <w:top w:w="80" w:type="dxa"/>
              <w:left w:w="80" w:type="dxa"/>
              <w:bottom w:w="80" w:type="dxa"/>
              <w:right w:w="80" w:type="dxa"/>
            </w:tcMar>
            <w:vAlign w:val="center"/>
          </w:tcPr>
          <w:p w14:paraId="789B1CE5" w14:textId="77777777" w:rsidR="003D1DEF" w:rsidRDefault="00000000">
            <w:r>
              <w:rPr>
                <w:sz w:val="15"/>
              </w:rPr>
              <w:t>1. Executive Summary / Abstract (p. 2)</w:t>
            </w:r>
          </w:p>
        </w:tc>
        <w:tc>
          <w:tcPr>
            <w:tcW w:w="3888" w:type="dxa"/>
            <w:shd w:val="clear" w:color="auto" w:fill="F7FAFC"/>
            <w:tcMar>
              <w:top w:w="80" w:type="dxa"/>
              <w:left w:w="80" w:type="dxa"/>
              <w:bottom w:w="80" w:type="dxa"/>
              <w:right w:w="80" w:type="dxa"/>
            </w:tcMar>
            <w:vAlign w:val="center"/>
          </w:tcPr>
          <w:p w14:paraId="71B07DFE" w14:textId="77777777" w:rsidR="003D1DEF" w:rsidRDefault="00000000">
            <w:r>
              <w:rPr>
                <w:sz w:val="16"/>
              </w:rPr>
              <w:t>C-level summary of problem, evidence, findings, and recommendations.</w:t>
            </w:r>
          </w:p>
        </w:tc>
        <w:tc>
          <w:tcPr>
            <w:tcW w:w="2880" w:type="dxa"/>
            <w:shd w:val="clear" w:color="auto" w:fill="F7FAFC"/>
            <w:tcMar>
              <w:top w:w="80" w:type="dxa"/>
              <w:left w:w="80" w:type="dxa"/>
              <w:bottom w:w="80" w:type="dxa"/>
              <w:right w:w="80" w:type="dxa"/>
            </w:tcMar>
            <w:vAlign w:val="center"/>
          </w:tcPr>
          <w:p w14:paraId="1ADE5C68" w14:textId="77777777" w:rsidR="003D1DEF" w:rsidRDefault="00000000">
            <w:r>
              <w:rPr>
                <w:sz w:val="16"/>
              </w:rPr>
              <w:t>Executive interpretation of operating status and capacity risk.</w:t>
            </w:r>
          </w:p>
        </w:tc>
      </w:tr>
      <w:tr w:rsidR="003D1DEF" w14:paraId="7517729E" w14:textId="77777777">
        <w:trPr>
          <w:jc w:val="center"/>
        </w:trPr>
        <w:tc>
          <w:tcPr>
            <w:tcW w:w="2880" w:type="dxa"/>
            <w:shd w:val="clear" w:color="auto" w:fill="FFFFFF"/>
            <w:tcMar>
              <w:top w:w="80" w:type="dxa"/>
              <w:left w:w="80" w:type="dxa"/>
              <w:bottom w:w="80" w:type="dxa"/>
              <w:right w:w="80" w:type="dxa"/>
            </w:tcMar>
            <w:vAlign w:val="center"/>
          </w:tcPr>
          <w:p w14:paraId="0F8161F6" w14:textId="77777777" w:rsidR="003D1DEF" w:rsidRDefault="00000000">
            <w:r>
              <w:rPr>
                <w:sz w:val="15"/>
              </w:rPr>
              <w:t>2. Table of Contents (p. 4)</w:t>
            </w:r>
          </w:p>
        </w:tc>
        <w:tc>
          <w:tcPr>
            <w:tcW w:w="3888" w:type="dxa"/>
            <w:shd w:val="clear" w:color="auto" w:fill="FFFFFF"/>
            <w:tcMar>
              <w:top w:w="80" w:type="dxa"/>
              <w:left w:w="80" w:type="dxa"/>
              <w:bottom w:w="80" w:type="dxa"/>
              <w:right w:w="80" w:type="dxa"/>
            </w:tcMar>
            <w:vAlign w:val="center"/>
          </w:tcPr>
          <w:p w14:paraId="7197C633" w14:textId="77777777" w:rsidR="003D1DEF" w:rsidRDefault="00000000">
            <w:r>
              <w:rPr>
                <w:sz w:val="16"/>
              </w:rPr>
              <w:t>Report navigation.</w:t>
            </w:r>
          </w:p>
        </w:tc>
        <w:tc>
          <w:tcPr>
            <w:tcW w:w="2880" w:type="dxa"/>
            <w:shd w:val="clear" w:color="auto" w:fill="FFFFFF"/>
            <w:tcMar>
              <w:top w:w="80" w:type="dxa"/>
              <w:left w:w="80" w:type="dxa"/>
              <w:bottom w:w="80" w:type="dxa"/>
              <w:right w:w="80" w:type="dxa"/>
            </w:tcMar>
            <w:vAlign w:val="center"/>
          </w:tcPr>
          <w:p w14:paraId="669B7654" w14:textId="77777777" w:rsidR="003D1DEF" w:rsidRDefault="00000000">
            <w:r>
              <w:rPr>
                <w:sz w:val="16"/>
              </w:rPr>
              <w:t>Structured roadmap.</w:t>
            </w:r>
          </w:p>
        </w:tc>
      </w:tr>
      <w:tr w:rsidR="003D1DEF" w14:paraId="7E65E65D" w14:textId="77777777">
        <w:trPr>
          <w:jc w:val="center"/>
        </w:trPr>
        <w:tc>
          <w:tcPr>
            <w:tcW w:w="2880" w:type="dxa"/>
            <w:shd w:val="clear" w:color="auto" w:fill="F7FAFC"/>
            <w:tcMar>
              <w:top w:w="80" w:type="dxa"/>
              <w:left w:w="80" w:type="dxa"/>
              <w:bottom w:w="80" w:type="dxa"/>
              <w:right w:w="80" w:type="dxa"/>
            </w:tcMar>
            <w:vAlign w:val="center"/>
          </w:tcPr>
          <w:p w14:paraId="1F950C24" w14:textId="77777777" w:rsidR="003D1DEF" w:rsidRDefault="00000000">
            <w:r>
              <w:rPr>
                <w:sz w:val="15"/>
              </w:rPr>
              <w:t>3. Introduction (p. 5)</w:t>
            </w:r>
          </w:p>
        </w:tc>
        <w:tc>
          <w:tcPr>
            <w:tcW w:w="3888" w:type="dxa"/>
            <w:shd w:val="clear" w:color="auto" w:fill="F7FAFC"/>
            <w:tcMar>
              <w:top w:w="80" w:type="dxa"/>
              <w:left w:w="80" w:type="dxa"/>
              <w:bottom w:w="80" w:type="dxa"/>
              <w:right w:w="80" w:type="dxa"/>
            </w:tcMar>
            <w:vAlign w:val="center"/>
          </w:tcPr>
          <w:p w14:paraId="33FF748E" w14:textId="77777777" w:rsidR="003D1DEF" w:rsidRDefault="00000000">
            <w:r>
              <w:rPr>
                <w:sz w:val="16"/>
              </w:rPr>
              <w:t>Why healthcare capacity analytics matters in the UAC care pipeline.</w:t>
            </w:r>
          </w:p>
        </w:tc>
        <w:tc>
          <w:tcPr>
            <w:tcW w:w="2880" w:type="dxa"/>
            <w:shd w:val="clear" w:color="auto" w:fill="F7FAFC"/>
            <w:tcMar>
              <w:top w:w="80" w:type="dxa"/>
              <w:left w:w="80" w:type="dxa"/>
              <w:bottom w:w="80" w:type="dxa"/>
              <w:right w:w="80" w:type="dxa"/>
            </w:tcMar>
            <w:vAlign w:val="center"/>
          </w:tcPr>
          <w:p w14:paraId="6A273D41" w14:textId="77777777" w:rsidR="003D1DEF" w:rsidRDefault="00000000">
            <w:r>
              <w:rPr>
                <w:sz w:val="16"/>
              </w:rPr>
              <w:t>Research context and analytical purpose.</w:t>
            </w:r>
          </w:p>
        </w:tc>
      </w:tr>
      <w:tr w:rsidR="003D1DEF" w14:paraId="043ECA1E" w14:textId="77777777">
        <w:trPr>
          <w:jc w:val="center"/>
        </w:trPr>
        <w:tc>
          <w:tcPr>
            <w:tcW w:w="2880" w:type="dxa"/>
            <w:shd w:val="clear" w:color="auto" w:fill="FFFFFF"/>
            <w:tcMar>
              <w:top w:w="80" w:type="dxa"/>
              <w:left w:w="80" w:type="dxa"/>
              <w:bottom w:w="80" w:type="dxa"/>
              <w:right w:w="80" w:type="dxa"/>
            </w:tcMar>
            <w:vAlign w:val="center"/>
          </w:tcPr>
          <w:p w14:paraId="26437260" w14:textId="77777777" w:rsidR="003D1DEF" w:rsidRDefault="00000000">
            <w:r>
              <w:rPr>
                <w:sz w:val="15"/>
              </w:rPr>
              <w:t>4. Background and Context (p. 6)</w:t>
            </w:r>
          </w:p>
        </w:tc>
        <w:tc>
          <w:tcPr>
            <w:tcW w:w="3888" w:type="dxa"/>
            <w:shd w:val="clear" w:color="auto" w:fill="FFFFFF"/>
            <w:tcMar>
              <w:top w:w="80" w:type="dxa"/>
              <w:left w:w="80" w:type="dxa"/>
              <w:bottom w:w="80" w:type="dxa"/>
              <w:right w:w="80" w:type="dxa"/>
            </w:tcMar>
            <w:vAlign w:val="center"/>
          </w:tcPr>
          <w:p w14:paraId="048798A2" w14:textId="77777777" w:rsidR="003D1DEF" w:rsidRDefault="00000000">
            <w:r>
              <w:rPr>
                <w:sz w:val="16"/>
              </w:rPr>
              <w:t>CBP-HHS care flow, medical/shelter support, and discharge placement.</w:t>
            </w:r>
          </w:p>
        </w:tc>
        <w:tc>
          <w:tcPr>
            <w:tcW w:w="2880" w:type="dxa"/>
            <w:shd w:val="clear" w:color="auto" w:fill="FFFFFF"/>
            <w:tcMar>
              <w:top w:w="80" w:type="dxa"/>
              <w:left w:w="80" w:type="dxa"/>
              <w:bottom w:w="80" w:type="dxa"/>
              <w:right w:w="80" w:type="dxa"/>
            </w:tcMar>
            <w:vAlign w:val="center"/>
          </w:tcPr>
          <w:p w14:paraId="60F72477" w14:textId="77777777" w:rsidR="003D1DEF" w:rsidRDefault="00000000">
            <w:r>
              <w:rPr>
                <w:sz w:val="16"/>
              </w:rPr>
              <w:t>Policy and operating environment.</w:t>
            </w:r>
          </w:p>
        </w:tc>
      </w:tr>
      <w:tr w:rsidR="003D1DEF" w14:paraId="625FC2F3" w14:textId="77777777">
        <w:trPr>
          <w:jc w:val="center"/>
        </w:trPr>
        <w:tc>
          <w:tcPr>
            <w:tcW w:w="2880" w:type="dxa"/>
            <w:shd w:val="clear" w:color="auto" w:fill="F7FAFC"/>
            <w:tcMar>
              <w:top w:w="80" w:type="dxa"/>
              <w:left w:w="80" w:type="dxa"/>
              <w:bottom w:w="80" w:type="dxa"/>
              <w:right w:w="80" w:type="dxa"/>
            </w:tcMar>
            <w:vAlign w:val="center"/>
          </w:tcPr>
          <w:p w14:paraId="77DC8F0D" w14:textId="77777777" w:rsidR="003D1DEF" w:rsidRDefault="00000000">
            <w:r>
              <w:rPr>
                <w:sz w:val="15"/>
              </w:rPr>
              <w:t>5. Problem Statement (p. 7)</w:t>
            </w:r>
          </w:p>
        </w:tc>
        <w:tc>
          <w:tcPr>
            <w:tcW w:w="3888" w:type="dxa"/>
            <w:shd w:val="clear" w:color="auto" w:fill="F7FAFC"/>
            <w:tcMar>
              <w:top w:w="80" w:type="dxa"/>
              <w:left w:w="80" w:type="dxa"/>
              <w:bottom w:w="80" w:type="dxa"/>
              <w:right w:w="80" w:type="dxa"/>
            </w:tcMar>
            <w:vAlign w:val="center"/>
          </w:tcPr>
          <w:p w14:paraId="6368E1BA" w14:textId="77777777" w:rsidR="003D1DEF" w:rsidRDefault="00000000">
            <w:r>
              <w:rPr>
                <w:sz w:val="16"/>
              </w:rPr>
              <w:t>Centralized analytical framework gap.</w:t>
            </w:r>
          </w:p>
        </w:tc>
        <w:tc>
          <w:tcPr>
            <w:tcW w:w="2880" w:type="dxa"/>
            <w:shd w:val="clear" w:color="auto" w:fill="F7FAFC"/>
            <w:tcMar>
              <w:top w:w="80" w:type="dxa"/>
              <w:left w:w="80" w:type="dxa"/>
              <w:bottom w:w="80" w:type="dxa"/>
              <w:right w:w="80" w:type="dxa"/>
            </w:tcMar>
            <w:vAlign w:val="center"/>
          </w:tcPr>
          <w:p w14:paraId="49A88E16" w14:textId="77777777" w:rsidR="003D1DEF" w:rsidRDefault="00000000">
            <w:r>
              <w:rPr>
                <w:sz w:val="16"/>
              </w:rPr>
              <w:t>Research questions and decision problem.</w:t>
            </w:r>
          </w:p>
        </w:tc>
      </w:tr>
      <w:tr w:rsidR="003D1DEF" w14:paraId="47DF46B9" w14:textId="77777777">
        <w:trPr>
          <w:jc w:val="center"/>
        </w:trPr>
        <w:tc>
          <w:tcPr>
            <w:tcW w:w="2880" w:type="dxa"/>
            <w:shd w:val="clear" w:color="auto" w:fill="FFFFFF"/>
            <w:tcMar>
              <w:top w:w="80" w:type="dxa"/>
              <w:left w:w="80" w:type="dxa"/>
              <w:bottom w:w="80" w:type="dxa"/>
              <w:right w:w="80" w:type="dxa"/>
            </w:tcMar>
            <w:vAlign w:val="center"/>
          </w:tcPr>
          <w:p w14:paraId="0EC6BFC5" w14:textId="77777777" w:rsidR="003D1DEF" w:rsidRDefault="00000000">
            <w:r>
              <w:rPr>
                <w:sz w:val="15"/>
              </w:rPr>
              <w:t>6. Dataset Overview (p. 8)</w:t>
            </w:r>
          </w:p>
        </w:tc>
        <w:tc>
          <w:tcPr>
            <w:tcW w:w="3888" w:type="dxa"/>
            <w:shd w:val="clear" w:color="auto" w:fill="FFFFFF"/>
            <w:tcMar>
              <w:top w:w="80" w:type="dxa"/>
              <w:left w:w="80" w:type="dxa"/>
              <w:bottom w:w="80" w:type="dxa"/>
              <w:right w:w="80" w:type="dxa"/>
            </w:tcMar>
            <w:vAlign w:val="center"/>
          </w:tcPr>
          <w:p w14:paraId="79B793B9" w14:textId="77777777" w:rsidR="003D1DEF" w:rsidRDefault="00000000">
            <w:r>
              <w:rPr>
                <w:sz w:val="16"/>
              </w:rPr>
              <w:t>Fields, granularity, and derived metrics.</w:t>
            </w:r>
          </w:p>
        </w:tc>
        <w:tc>
          <w:tcPr>
            <w:tcW w:w="2880" w:type="dxa"/>
            <w:shd w:val="clear" w:color="auto" w:fill="FFFFFF"/>
            <w:tcMar>
              <w:top w:w="80" w:type="dxa"/>
              <w:left w:w="80" w:type="dxa"/>
              <w:bottom w:w="80" w:type="dxa"/>
              <w:right w:w="80" w:type="dxa"/>
            </w:tcMar>
            <w:vAlign w:val="center"/>
          </w:tcPr>
          <w:p w14:paraId="12AB1207" w14:textId="77777777" w:rsidR="003D1DEF" w:rsidRDefault="00000000">
            <w:r>
              <w:rPr>
                <w:sz w:val="16"/>
              </w:rPr>
              <w:t>Data dictionary and analytical scope.</w:t>
            </w:r>
          </w:p>
        </w:tc>
      </w:tr>
      <w:tr w:rsidR="003D1DEF" w14:paraId="3BE2BB8B" w14:textId="77777777">
        <w:trPr>
          <w:jc w:val="center"/>
        </w:trPr>
        <w:tc>
          <w:tcPr>
            <w:tcW w:w="2880" w:type="dxa"/>
            <w:shd w:val="clear" w:color="auto" w:fill="F7FAFC"/>
            <w:tcMar>
              <w:top w:w="80" w:type="dxa"/>
              <w:left w:w="80" w:type="dxa"/>
              <w:bottom w:w="80" w:type="dxa"/>
              <w:right w:w="80" w:type="dxa"/>
            </w:tcMar>
            <w:vAlign w:val="center"/>
          </w:tcPr>
          <w:p w14:paraId="5BA8F92D" w14:textId="77777777" w:rsidR="003D1DEF" w:rsidRDefault="00000000">
            <w:r>
              <w:rPr>
                <w:sz w:val="15"/>
              </w:rPr>
              <w:t>7. Methodology and Data Governance (p. 9)</w:t>
            </w:r>
          </w:p>
        </w:tc>
        <w:tc>
          <w:tcPr>
            <w:tcW w:w="3888" w:type="dxa"/>
            <w:shd w:val="clear" w:color="auto" w:fill="F7FAFC"/>
            <w:tcMar>
              <w:top w:w="80" w:type="dxa"/>
              <w:left w:w="80" w:type="dxa"/>
              <w:bottom w:w="80" w:type="dxa"/>
              <w:right w:w="80" w:type="dxa"/>
            </w:tcMar>
            <w:vAlign w:val="center"/>
          </w:tcPr>
          <w:p w14:paraId="7C6C289B" w14:textId="77777777" w:rsidR="003D1DEF" w:rsidRDefault="00000000">
            <w:r>
              <w:rPr>
                <w:sz w:val="16"/>
              </w:rPr>
              <w:t>Data ingestion, validation, feature engineering, and dashboard logic.</w:t>
            </w:r>
          </w:p>
        </w:tc>
        <w:tc>
          <w:tcPr>
            <w:tcW w:w="2880" w:type="dxa"/>
            <w:shd w:val="clear" w:color="auto" w:fill="F7FAFC"/>
            <w:tcMar>
              <w:top w:w="80" w:type="dxa"/>
              <w:left w:w="80" w:type="dxa"/>
              <w:bottom w:w="80" w:type="dxa"/>
              <w:right w:w="80" w:type="dxa"/>
            </w:tcMar>
            <w:vAlign w:val="center"/>
          </w:tcPr>
          <w:p w14:paraId="5C5ECCC6" w14:textId="77777777" w:rsidR="003D1DEF" w:rsidRDefault="00000000">
            <w:r>
              <w:rPr>
                <w:sz w:val="16"/>
              </w:rPr>
              <w:t>Reproducible analytical workflow.</w:t>
            </w:r>
          </w:p>
        </w:tc>
      </w:tr>
      <w:tr w:rsidR="003D1DEF" w14:paraId="2EB20A77" w14:textId="77777777">
        <w:trPr>
          <w:jc w:val="center"/>
        </w:trPr>
        <w:tc>
          <w:tcPr>
            <w:tcW w:w="2880" w:type="dxa"/>
            <w:shd w:val="clear" w:color="auto" w:fill="FFFFFF"/>
            <w:tcMar>
              <w:top w:w="80" w:type="dxa"/>
              <w:left w:w="80" w:type="dxa"/>
              <w:bottom w:w="80" w:type="dxa"/>
              <w:right w:w="80" w:type="dxa"/>
            </w:tcMar>
            <w:vAlign w:val="center"/>
          </w:tcPr>
          <w:p w14:paraId="0441A7C1" w14:textId="77777777" w:rsidR="003D1DEF" w:rsidRDefault="00000000">
            <w:r>
              <w:rPr>
                <w:sz w:val="15"/>
              </w:rPr>
              <w:t>8. Data Limitations and Scope (p. 11)</w:t>
            </w:r>
          </w:p>
        </w:tc>
        <w:tc>
          <w:tcPr>
            <w:tcW w:w="3888" w:type="dxa"/>
            <w:shd w:val="clear" w:color="auto" w:fill="FFFFFF"/>
            <w:tcMar>
              <w:top w:w="80" w:type="dxa"/>
              <w:left w:w="80" w:type="dxa"/>
              <w:bottom w:w="80" w:type="dxa"/>
              <w:right w:w="80" w:type="dxa"/>
            </w:tcMar>
            <w:vAlign w:val="center"/>
          </w:tcPr>
          <w:p w14:paraId="65CD4BF0" w14:textId="77777777" w:rsidR="003D1DEF" w:rsidRDefault="00000000">
            <w:r>
              <w:rPr>
                <w:sz w:val="16"/>
              </w:rPr>
              <w:t>Boundaries, assumptions, and responsible interpretation.</w:t>
            </w:r>
          </w:p>
        </w:tc>
        <w:tc>
          <w:tcPr>
            <w:tcW w:w="2880" w:type="dxa"/>
            <w:shd w:val="clear" w:color="auto" w:fill="FFFFFF"/>
            <w:tcMar>
              <w:top w:w="80" w:type="dxa"/>
              <w:left w:w="80" w:type="dxa"/>
              <w:bottom w:w="80" w:type="dxa"/>
              <w:right w:w="80" w:type="dxa"/>
            </w:tcMar>
            <w:vAlign w:val="center"/>
          </w:tcPr>
          <w:p w14:paraId="0FE71234" w14:textId="77777777" w:rsidR="003D1DEF" w:rsidRDefault="00000000">
            <w:r>
              <w:rPr>
                <w:sz w:val="16"/>
              </w:rPr>
              <w:t>Credibility safeguards.</w:t>
            </w:r>
          </w:p>
        </w:tc>
      </w:tr>
      <w:tr w:rsidR="003D1DEF" w14:paraId="256563A5" w14:textId="77777777">
        <w:trPr>
          <w:jc w:val="center"/>
        </w:trPr>
        <w:tc>
          <w:tcPr>
            <w:tcW w:w="2880" w:type="dxa"/>
            <w:shd w:val="clear" w:color="auto" w:fill="F7FAFC"/>
            <w:tcMar>
              <w:top w:w="80" w:type="dxa"/>
              <w:left w:w="80" w:type="dxa"/>
              <w:bottom w:w="80" w:type="dxa"/>
              <w:right w:w="80" w:type="dxa"/>
            </w:tcMar>
            <w:vAlign w:val="center"/>
          </w:tcPr>
          <w:p w14:paraId="7F484C32" w14:textId="77777777" w:rsidR="003D1DEF" w:rsidRDefault="00000000">
            <w:r>
              <w:rPr>
                <w:sz w:val="15"/>
              </w:rPr>
              <w:t>9. Key Performance Indicators (p. 12)</w:t>
            </w:r>
          </w:p>
        </w:tc>
        <w:tc>
          <w:tcPr>
            <w:tcW w:w="3888" w:type="dxa"/>
            <w:shd w:val="clear" w:color="auto" w:fill="F7FAFC"/>
            <w:tcMar>
              <w:top w:w="80" w:type="dxa"/>
              <w:left w:w="80" w:type="dxa"/>
              <w:bottom w:w="80" w:type="dxa"/>
              <w:right w:w="80" w:type="dxa"/>
            </w:tcMar>
            <w:vAlign w:val="center"/>
          </w:tcPr>
          <w:p w14:paraId="13A0199F" w14:textId="77777777" w:rsidR="003D1DEF" w:rsidRDefault="00000000">
            <w:r>
              <w:rPr>
                <w:sz w:val="16"/>
              </w:rPr>
              <w:t>Five guideline KPIs and health scores.</w:t>
            </w:r>
          </w:p>
        </w:tc>
        <w:tc>
          <w:tcPr>
            <w:tcW w:w="2880" w:type="dxa"/>
            <w:shd w:val="clear" w:color="auto" w:fill="F7FAFC"/>
            <w:tcMar>
              <w:top w:w="80" w:type="dxa"/>
              <w:left w:w="80" w:type="dxa"/>
              <w:bottom w:w="80" w:type="dxa"/>
              <w:right w:w="80" w:type="dxa"/>
            </w:tcMar>
            <w:vAlign w:val="center"/>
          </w:tcPr>
          <w:p w14:paraId="00039B31" w14:textId="77777777" w:rsidR="003D1DEF" w:rsidRDefault="00000000">
            <w:r>
              <w:rPr>
                <w:sz w:val="16"/>
              </w:rPr>
              <w:t>Measurement framework.</w:t>
            </w:r>
          </w:p>
        </w:tc>
      </w:tr>
      <w:tr w:rsidR="003D1DEF" w14:paraId="3A0F7D8D" w14:textId="77777777">
        <w:trPr>
          <w:jc w:val="center"/>
        </w:trPr>
        <w:tc>
          <w:tcPr>
            <w:tcW w:w="2880" w:type="dxa"/>
            <w:shd w:val="clear" w:color="auto" w:fill="FFFFFF"/>
            <w:tcMar>
              <w:top w:w="80" w:type="dxa"/>
              <w:left w:w="80" w:type="dxa"/>
              <w:bottom w:w="80" w:type="dxa"/>
              <w:right w:w="80" w:type="dxa"/>
            </w:tcMar>
            <w:vAlign w:val="center"/>
          </w:tcPr>
          <w:p w14:paraId="3DAC774D" w14:textId="77777777" w:rsidR="003D1DEF" w:rsidRDefault="00000000">
            <w:r>
              <w:rPr>
                <w:sz w:val="15"/>
              </w:rPr>
              <w:t>10. Exploratory Data Analysis (p. 14)</w:t>
            </w:r>
          </w:p>
        </w:tc>
        <w:tc>
          <w:tcPr>
            <w:tcW w:w="3888" w:type="dxa"/>
            <w:shd w:val="clear" w:color="auto" w:fill="FFFFFF"/>
            <w:tcMar>
              <w:top w:w="80" w:type="dxa"/>
              <w:left w:w="80" w:type="dxa"/>
              <w:bottom w:w="80" w:type="dxa"/>
              <w:right w:w="80" w:type="dxa"/>
            </w:tcMar>
            <w:vAlign w:val="center"/>
          </w:tcPr>
          <w:p w14:paraId="1C699BC8" w14:textId="77777777" w:rsidR="003D1DEF" w:rsidRDefault="00000000">
            <w:r>
              <w:rPr>
                <w:sz w:val="16"/>
              </w:rPr>
              <w:t>System load, pressure movement, capacity position, and metric diagnostics.</w:t>
            </w:r>
          </w:p>
        </w:tc>
        <w:tc>
          <w:tcPr>
            <w:tcW w:w="2880" w:type="dxa"/>
            <w:shd w:val="clear" w:color="auto" w:fill="FFFFFF"/>
            <w:tcMar>
              <w:top w:w="80" w:type="dxa"/>
              <w:left w:w="80" w:type="dxa"/>
              <w:bottom w:w="80" w:type="dxa"/>
              <w:right w:w="80" w:type="dxa"/>
            </w:tcMar>
            <w:vAlign w:val="center"/>
          </w:tcPr>
          <w:p w14:paraId="1A89F883" w14:textId="77777777" w:rsidR="003D1DEF" w:rsidRDefault="00000000">
            <w:r>
              <w:rPr>
                <w:sz w:val="16"/>
              </w:rPr>
              <w:t>Pattern discovery.</w:t>
            </w:r>
          </w:p>
        </w:tc>
      </w:tr>
      <w:tr w:rsidR="003D1DEF" w14:paraId="30AA25A1" w14:textId="77777777">
        <w:trPr>
          <w:jc w:val="center"/>
        </w:trPr>
        <w:tc>
          <w:tcPr>
            <w:tcW w:w="2880" w:type="dxa"/>
            <w:shd w:val="clear" w:color="auto" w:fill="F7FAFC"/>
            <w:tcMar>
              <w:top w:w="80" w:type="dxa"/>
              <w:left w:w="80" w:type="dxa"/>
              <w:bottom w:w="80" w:type="dxa"/>
              <w:right w:w="80" w:type="dxa"/>
            </w:tcMar>
            <w:vAlign w:val="center"/>
          </w:tcPr>
          <w:p w14:paraId="7F505A64" w14:textId="77777777" w:rsidR="003D1DEF" w:rsidRDefault="00000000">
            <w:r>
              <w:rPr>
                <w:sz w:val="15"/>
              </w:rPr>
              <w:t>11. Result and Analysis (p. 16)</w:t>
            </w:r>
          </w:p>
        </w:tc>
        <w:tc>
          <w:tcPr>
            <w:tcW w:w="3888" w:type="dxa"/>
            <w:shd w:val="clear" w:color="auto" w:fill="F7FAFC"/>
            <w:tcMar>
              <w:top w:w="80" w:type="dxa"/>
              <w:left w:w="80" w:type="dxa"/>
              <w:bottom w:w="80" w:type="dxa"/>
              <w:right w:w="80" w:type="dxa"/>
            </w:tcMar>
            <w:vAlign w:val="center"/>
          </w:tcPr>
          <w:p w14:paraId="48A8BC2B" w14:textId="77777777" w:rsidR="003D1DEF" w:rsidRDefault="00000000">
            <w:r>
              <w:rPr>
                <w:sz w:val="16"/>
              </w:rPr>
              <w:t>Module-by-module dashboard evidence.</w:t>
            </w:r>
          </w:p>
        </w:tc>
        <w:tc>
          <w:tcPr>
            <w:tcW w:w="2880" w:type="dxa"/>
            <w:shd w:val="clear" w:color="auto" w:fill="F7FAFC"/>
            <w:tcMar>
              <w:top w:w="80" w:type="dxa"/>
              <w:left w:w="80" w:type="dxa"/>
              <w:bottom w:w="80" w:type="dxa"/>
              <w:right w:w="80" w:type="dxa"/>
            </w:tcMar>
            <w:vAlign w:val="center"/>
          </w:tcPr>
          <w:p w14:paraId="0C47919F" w14:textId="77777777" w:rsidR="003D1DEF" w:rsidRDefault="00000000">
            <w:r>
              <w:rPr>
                <w:sz w:val="16"/>
              </w:rPr>
              <w:t>Empirical findings from 20 screenshots.</w:t>
            </w:r>
          </w:p>
        </w:tc>
      </w:tr>
      <w:tr w:rsidR="003D1DEF" w14:paraId="27E9728C" w14:textId="77777777">
        <w:trPr>
          <w:jc w:val="center"/>
        </w:trPr>
        <w:tc>
          <w:tcPr>
            <w:tcW w:w="2880" w:type="dxa"/>
            <w:shd w:val="clear" w:color="auto" w:fill="FFFFFF"/>
            <w:tcMar>
              <w:top w:w="80" w:type="dxa"/>
              <w:left w:w="80" w:type="dxa"/>
              <w:bottom w:w="80" w:type="dxa"/>
              <w:right w:w="80" w:type="dxa"/>
            </w:tcMar>
            <w:vAlign w:val="center"/>
          </w:tcPr>
          <w:p w14:paraId="0A72530E" w14:textId="77777777" w:rsidR="003D1DEF" w:rsidRDefault="00000000">
            <w:r>
              <w:rPr>
                <w:sz w:val="15"/>
              </w:rPr>
              <w:t>12. Findings and Insights (p. 25)</w:t>
            </w:r>
          </w:p>
        </w:tc>
        <w:tc>
          <w:tcPr>
            <w:tcW w:w="3888" w:type="dxa"/>
            <w:shd w:val="clear" w:color="auto" w:fill="FFFFFF"/>
            <w:tcMar>
              <w:top w:w="80" w:type="dxa"/>
              <w:left w:w="80" w:type="dxa"/>
              <w:bottom w:w="80" w:type="dxa"/>
              <w:right w:w="80" w:type="dxa"/>
            </w:tcMar>
            <w:vAlign w:val="center"/>
          </w:tcPr>
          <w:p w14:paraId="5EE8F116" w14:textId="77777777" w:rsidR="003D1DEF" w:rsidRDefault="00000000">
            <w:r>
              <w:rPr>
                <w:sz w:val="16"/>
              </w:rPr>
              <w:t>Evidence-to-insight synthesis.</w:t>
            </w:r>
          </w:p>
        </w:tc>
        <w:tc>
          <w:tcPr>
            <w:tcW w:w="2880" w:type="dxa"/>
            <w:shd w:val="clear" w:color="auto" w:fill="FFFFFF"/>
            <w:tcMar>
              <w:top w:w="80" w:type="dxa"/>
              <w:left w:w="80" w:type="dxa"/>
              <w:bottom w:w="80" w:type="dxa"/>
              <w:right w:w="80" w:type="dxa"/>
            </w:tcMar>
            <w:vAlign w:val="center"/>
          </w:tcPr>
          <w:p w14:paraId="2975D141" w14:textId="77777777" w:rsidR="003D1DEF" w:rsidRDefault="00000000">
            <w:r>
              <w:rPr>
                <w:sz w:val="16"/>
              </w:rPr>
              <w:t>Senior analyst interpretation.</w:t>
            </w:r>
          </w:p>
        </w:tc>
      </w:tr>
      <w:tr w:rsidR="003D1DEF" w14:paraId="229B0C37" w14:textId="77777777">
        <w:trPr>
          <w:jc w:val="center"/>
        </w:trPr>
        <w:tc>
          <w:tcPr>
            <w:tcW w:w="2880" w:type="dxa"/>
            <w:shd w:val="clear" w:color="auto" w:fill="F7FAFC"/>
            <w:tcMar>
              <w:top w:w="80" w:type="dxa"/>
              <w:left w:w="80" w:type="dxa"/>
              <w:bottom w:w="80" w:type="dxa"/>
              <w:right w:w="80" w:type="dxa"/>
            </w:tcMar>
            <w:vAlign w:val="center"/>
          </w:tcPr>
          <w:p w14:paraId="41DC26B9" w14:textId="77777777" w:rsidR="003D1DEF" w:rsidRDefault="00000000">
            <w:r>
              <w:rPr>
                <w:sz w:val="15"/>
              </w:rPr>
              <w:t>13. Actionable Recommendations (p. 26)</w:t>
            </w:r>
          </w:p>
        </w:tc>
        <w:tc>
          <w:tcPr>
            <w:tcW w:w="3888" w:type="dxa"/>
            <w:shd w:val="clear" w:color="auto" w:fill="F7FAFC"/>
            <w:tcMar>
              <w:top w:w="80" w:type="dxa"/>
              <w:left w:w="80" w:type="dxa"/>
              <w:bottom w:w="80" w:type="dxa"/>
              <w:right w:w="80" w:type="dxa"/>
            </w:tcMar>
            <w:vAlign w:val="center"/>
          </w:tcPr>
          <w:p w14:paraId="35C65416" w14:textId="77777777" w:rsidR="003D1DEF" w:rsidRDefault="00000000">
            <w:r>
              <w:rPr>
                <w:sz w:val="16"/>
              </w:rPr>
              <w:t>Capacity, discharge, HHS planning, and monitoring actions.</w:t>
            </w:r>
          </w:p>
        </w:tc>
        <w:tc>
          <w:tcPr>
            <w:tcW w:w="2880" w:type="dxa"/>
            <w:shd w:val="clear" w:color="auto" w:fill="F7FAFC"/>
            <w:tcMar>
              <w:top w:w="80" w:type="dxa"/>
              <w:left w:w="80" w:type="dxa"/>
              <w:bottom w:w="80" w:type="dxa"/>
              <w:right w:w="80" w:type="dxa"/>
            </w:tcMar>
            <w:vAlign w:val="center"/>
          </w:tcPr>
          <w:p w14:paraId="14949168" w14:textId="77777777" w:rsidR="003D1DEF" w:rsidRDefault="00000000">
            <w:r>
              <w:rPr>
                <w:sz w:val="16"/>
              </w:rPr>
              <w:t>Policy/operations action plan.</w:t>
            </w:r>
          </w:p>
        </w:tc>
      </w:tr>
      <w:tr w:rsidR="003D1DEF" w14:paraId="694267B2" w14:textId="77777777">
        <w:trPr>
          <w:jc w:val="center"/>
        </w:trPr>
        <w:tc>
          <w:tcPr>
            <w:tcW w:w="2880" w:type="dxa"/>
            <w:shd w:val="clear" w:color="auto" w:fill="FFFFFF"/>
            <w:tcMar>
              <w:top w:w="80" w:type="dxa"/>
              <w:left w:w="80" w:type="dxa"/>
              <w:bottom w:w="80" w:type="dxa"/>
              <w:right w:w="80" w:type="dxa"/>
            </w:tcMar>
            <w:vAlign w:val="center"/>
          </w:tcPr>
          <w:p w14:paraId="31304DC2" w14:textId="77777777" w:rsidR="003D1DEF" w:rsidRDefault="00000000">
            <w:r>
              <w:rPr>
                <w:sz w:val="15"/>
              </w:rPr>
              <w:t>14. Dashboard Implementation (p. 27)</w:t>
            </w:r>
          </w:p>
        </w:tc>
        <w:tc>
          <w:tcPr>
            <w:tcW w:w="3888" w:type="dxa"/>
            <w:shd w:val="clear" w:color="auto" w:fill="FFFFFF"/>
            <w:tcMar>
              <w:top w:w="80" w:type="dxa"/>
              <w:left w:w="80" w:type="dxa"/>
              <w:bottom w:w="80" w:type="dxa"/>
              <w:right w:w="80" w:type="dxa"/>
            </w:tcMar>
            <w:vAlign w:val="center"/>
          </w:tcPr>
          <w:p w14:paraId="2523D2A9" w14:textId="77777777" w:rsidR="003D1DEF" w:rsidRDefault="00000000">
            <w:r>
              <w:rPr>
                <w:sz w:val="16"/>
              </w:rPr>
              <w:t>Streamlit app architecture and dashboard modules.</w:t>
            </w:r>
          </w:p>
        </w:tc>
        <w:tc>
          <w:tcPr>
            <w:tcW w:w="2880" w:type="dxa"/>
            <w:shd w:val="clear" w:color="auto" w:fill="FFFFFF"/>
            <w:tcMar>
              <w:top w:w="80" w:type="dxa"/>
              <w:left w:w="80" w:type="dxa"/>
              <w:bottom w:w="80" w:type="dxa"/>
              <w:right w:w="80" w:type="dxa"/>
            </w:tcMar>
            <w:vAlign w:val="center"/>
          </w:tcPr>
          <w:p w14:paraId="6A55664C" w14:textId="77777777" w:rsidR="003D1DEF" w:rsidRDefault="00000000">
            <w:r>
              <w:rPr>
                <w:sz w:val="16"/>
              </w:rPr>
              <w:t>Technical-business traceability.</w:t>
            </w:r>
          </w:p>
        </w:tc>
      </w:tr>
      <w:tr w:rsidR="003D1DEF" w14:paraId="6E8C56B2" w14:textId="77777777">
        <w:trPr>
          <w:jc w:val="center"/>
        </w:trPr>
        <w:tc>
          <w:tcPr>
            <w:tcW w:w="2880" w:type="dxa"/>
            <w:shd w:val="clear" w:color="auto" w:fill="F7FAFC"/>
            <w:tcMar>
              <w:top w:w="80" w:type="dxa"/>
              <w:left w:w="80" w:type="dxa"/>
              <w:bottom w:w="80" w:type="dxa"/>
              <w:right w:w="80" w:type="dxa"/>
            </w:tcMar>
            <w:vAlign w:val="center"/>
          </w:tcPr>
          <w:p w14:paraId="3390FBB2" w14:textId="77777777" w:rsidR="003D1DEF" w:rsidRDefault="00000000">
            <w:r>
              <w:rPr>
                <w:sz w:val="15"/>
              </w:rPr>
              <w:t>15. Data Interpretation Governance (p. 28)</w:t>
            </w:r>
          </w:p>
        </w:tc>
        <w:tc>
          <w:tcPr>
            <w:tcW w:w="3888" w:type="dxa"/>
            <w:shd w:val="clear" w:color="auto" w:fill="F7FAFC"/>
            <w:tcMar>
              <w:top w:w="80" w:type="dxa"/>
              <w:left w:w="80" w:type="dxa"/>
              <w:bottom w:w="80" w:type="dxa"/>
              <w:right w:w="80" w:type="dxa"/>
            </w:tcMar>
            <w:vAlign w:val="center"/>
          </w:tcPr>
          <w:p w14:paraId="5C14A1F2" w14:textId="77777777" w:rsidR="003D1DEF" w:rsidRDefault="00000000">
            <w:r>
              <w:rPr>
                <w:sz w:val="16"/>
              </w:rPr>
              <w:t>Rules for reading KPIs, thresholds, and stress signals.</w:t>
            </w:r>
          </w:p>
        </w:tc>
        <w:tc>
          <w:tcPr>
            <w:tcW w:w="2880" w:type="dxa"/>
            <w:shd w:val="clear" w:color="auto" w:fill="F7FAFC"/>
            <w:tcMar>
              <w:top w:w="80" w:type="dxa"/>
              <w:left w:w="80" w:type="dxa"/>
              <w:bottom w:w="80" w:type="dxa"/>
              <w:right w:w="80" w:type="dxa"/>
            </w:tcMar>
            <w:vAlign w:val="center"/>
          </w:tcPr>
          <w:p w14:paraId="1E95A94B" w14:textId="77777777" w:rsidR="003D1DEF" w:rsidRDefault="00000000">
            <w:r>
              <w:rPr>
                <w:sz w:val="16"/>
              </w:rPr>
              <w:t>Analytical discipline.</w:t>
            </w:r>
          </w:p>
        </w:tc>
      </w:tr>
      <w:tr w:rsidR="003D1DEF" w14:paraId="0775136D" w14:textId="77777777">
        <w:trPr>
          <w:jc w:val="center"/>
        </w:trPr>
        <w:tc>
          <w:tcPr>
            <w:tcW w:w="2880" w:type="dxa"/>
            <w:shd w:val="clear" w:color="auto" w:fill="FFFFFF"/>
            <w:tcMar>
              <w:top w:w="80" w:type="dxa"/>
              <w:left w:w="80" w:type="dxa"/>
              <w:bottom w:w="80" w:type="dxa"/>
              <w:right w:w="80" w:type="dxa"/>
            </w:tcMar>
            <w:vAlign w:val="center"/>
          </w:tcPr>
          <w:p w14:paraId="18E6CA33" w14:textId="77777777" w:rsidR="003D1DEF" w:rsidRDefault="00000000">
            <w:r>
              <w:rPr>
                <w:sz w:val="15"/>
              </w:rPr>
              <w:t>16. Conclusion (p. 29)</w:t>
            </w:r>
          </w:p>
        </w:tc>
        <w:tc>
          <w:tcPr>
            <w:tcW w:w="3888" w:type="dxa"/>
            <w:shd w:val="clear" w:color="auto" w:fill="FFFFFF"/>
            <w:tcMar>
              <w:top w:w="80" w:type="dxa"/>
              <w:left w:w="80" w:type="dxa"/>
              <w:bottom w:w="80" w:type="dxa"/>
              <w:right w:w="80" w:type="dxa"/>
            </w:tcMar>
            <w:vAlign w:val="center"/>
          </w:tcPr>
          <w:p w14:paraId="68E7D0C7" w14:textId="77777777" w:rsidR="003D1DEF" w:rsidRDefault="00000000">
            <w:r>
              <w:rPr>
                <w:sz w:val="16"/>
              </w:rPr>
              <w:t>Final synthesis and future scope.</w:t>
            </w:r>
          </w:p>
        </w:tc>
        <w:tc>
          <w:tcPr>
            <w:tcW w:w="2880" w:type="dxa"/>
            <w:shd w:val="clear" w:color="auto" w:fill="FFFFFF"/>
            <w:tcMar>
              <w:top w:w="80" w:type="dxa"/>
              <w:left w:w="80" w:type="dxa"/>
              <w:bottom w:w="80" w:type="dxa"/>
              <w:right w:w="80" w:type="dxa"/>
            </w:tcMar>
            <w:vAlign w:val="center"/>
          </w:tcPr>
          <w:p w14:paraId="204162B9" w14:textId="77777777" w:rsidR="003D1DEF" w:rsidRDefault="00000000">
            <w:r>
              <w:rPr>
                <w:sz w:val="16"/>
              </w:rPr>
              <w:t>Publication-ready closure.</w:t>
            </w:r>
          </w:p>
        </w:tc>
      </w:tr>
      <w:tr w:rsidR="003D1DEF" w14:paraId="48BE314C" w14:textId="77777777">
        <w:trPr>
          <w:jc w:val="center"/>
        </w:trPr>
        <w:tc>
          <w:tcPr>
            <w:tcW w:w="2880" w:type="dxa"/>
            <w:shd w:val="clear" w:color="auto" w:fill="F7FAFC"/>
            <w:tcMar>
              <w:top w:w="80" w:type="dxa"/>
              <w:left w:w="80" w:type="dxa"/>
              <w:bottom w:w="80" w:type="dxa"/>
              <w:right w:w="80" w:type="dxa"/>
            </w:tcMar>
            <w:vAlign w:val="center"/>
          </w:tcPr>
          <w:p w14:paraId="3176E343" w14:textId="77777777" w:rsidR="003D1DEF" w:rsidRDefault="00000000">
            <w:r>
              <w:rPr>
                <w:sz w:val="15"/>
              </w:rPr>
              <w:t>17. References (p. 30)</w:t>
            </w:r>
          </w:p>
        </w:tc>
        <w:tc>
          <w:tcPr>
            <w:tcW w:w="3888" w:type="dxa"/>
            <w:shd w:val="clear" w:color="auto" w:fill="F7FAFC"/>
            <w:tcMar>
              <w:top w:w="80" w:type="dxa"/>
              <w:left w:w="80" w:type="dxa"/>
              <w:bottom w:w="80" w:type="dxa"/>
              <w:right w:w="80" w:type="dxa"/>
            </w:tcMar>
            <w:vAlign w:val="center"/>
          </w:tcPr>
          <w:p w14:paraId="38F950B1" w14:textId="77777777" w:rsidR="003D1DEF" w:rsidRDefault="00000000">
            <w:r>
              <w:rPr>
                <w:sz w:val="16"/>
              </w:rPr>
              <w:t>Project, public-context, and tool references.</w:t>
            </w:r>
          </w:p>
        </w:tc>
        <w:tc>
          <w:tcPr>
            <w:tcW w:w="2880" w:type="dxa"/>
            <w:shd w:val="clear" w:color="auto" w:fill="F7FAFC"/>
            <w:tcMar>
              <w:top w:w="80" w:type="dxa"/>
              <w:left w:w="80" w:type="dxa"/>
              <w:bottom w:w="80" w:type="dxa"/>
              <w:right w:w="80" w:type="dxa"/>
            </w:tcMar>
            <w:vAlign w:val="center"/>
          </w:tcPr>
          <w:p w14:paraId="4F99577D" w14:textId="77777777" w:rsidR="003D1DEF" w:rsidRDefault="00000000">
            <w:r>
              <w:rPr>
                <w:sz w:val="16"/>
              </w:rPr>
              <w:t>Citation support.</w:t>
            </w:r>
          </w:p>
        </w:tc>
      </w:tr>
      <w:tr w:rsidR="003D1DEF" w14:paraId="0DCF3A1E" w14:textId="77777777">
        <w:trPr>
          <w:jc w:val="center"/>
        </w:trPr>
        <w:tc>
          <w:tcPr>
            <w:tcW w:w="2880" w:type="dxa"/>
            <w:shd w:val="clear" w:color="auto" w:fill="FFFFFF"/>
            <w:tcMar>
              <w:top w:w="80" w:type="dxa"/>
              <w:left w:w="80" w:type="dxa"/>
              <w:bottom w:w="80" w:type="dxa"/>
              <w:right w:w="80" w:type="dxa"/>
            </w:tcMar>
            <w:vAlign w:val="center"/>
          </w:tcPr>
          <w:p w14:paraId="4376171D" w14:textId="77777777" w:rsidR="003D1DEF" w:rsidRDefault="00000000">
            <w:r>
              <w:rPr>
                <w:sz w:val="15"/>
              </w:rPr>
              <w:t>18. Appendix (p. 31)</w:t>
            </w:r>
          </w:p>
        </w:tc>
        <w:tc>
          <w:tcPr>
            <w:tcW w:w="3888" w:type="dxa"/>
            <w:shd w:val="clear" w:color="auto" w:fill="FFFFFF"/>
            <w:tcMar>
              <w:top w:w="80" w:type="dxa"/>
              <w:left w:w="80" w:type="dxa"/>
              <w:bottom w:w="80" w:type="dxa"/>
              <w:right w:w="80" w:type="dxa"/>
            </w:tcMar>
            <w:vAlign w:val="center"/>
          </w:tcPr>
          <w:p w14:paraId="24617998" w14:textId="77777777" w:rsidR="003D1DEF" w:rsidRDefault="00000000">
            <w:r>
              <w:rPr>
                <w:sz w:val="16"/>
              </w:rPr>
              <w:t>Formulas, figure register, data dictionary, metadata.</w:t>
            </w:r>
          </w:p>
        </w:tc>
        <w:tc>
          <w:tcPr>
            <w:tcW w:w="2880" w:type="dxa"/>
            <w:shd w:val="clear" w:color="auto" w:fill="FFFFFF"/>
            <w:tcMar>
              <w:top w:w="80" w:type="dxa"/>
              <w:left w:w="80" w:type="dxa"/>
              <w:bottom w:w="80" w:type="dxa"/>
              <w:right w:w="80" w:type="dxa"/>
            </w:tcMar>
            <w:vAlign w:val="center"/>
          </w:tcPr>
          <w:p w14:paraId="4A828FB0" w14:textId="77777777" w:rsidR="003D1DEF" w:rsidRDefault="00000000">
            <w:r>
              <w:rPr>
                <w:sz w:val="16"/>
              </w:rPr>
              <w:t>Supplementary documentation.</w:t>
            </w:r>
          </w:p>
        </w:tc>
      </w:tr>
    </w:tbl>
    <w:p w14:paraId="61F548F1" w14:textId="77777777" w:rsidR="003D1DEF" w:rsidRDefault="003D1DEF"/>
    <w:p w14:paraId="19FC40A9" w14:textId="77777777" w:rsidR="003D1DEF" w:rsidRDefault="00000000">
      <w:pPr>
        <w:jc w:val="both"/>
      </w:pPr>
      <w:r>
        <w:t>The report follows a decision-support sequence: business context first, then dataset and methodology, followed by exploratory analysis, evidence-based results, findings, recommendations, implementation details, interpretation governance, and appendix support. This prevents dashboard screenshots from appearing as isolated visuals; each visual is connected to operational meaning and policy relevance.</w:t>
      </w:r>
    </w:p>
    <w:p w14:paraId="7D495793" w14:textId="77777777" w:rsidR="003D1DEF" w:rsidRDefault="00000000">
      <w:pPr>
        <w:spacing w:before="120" w:after="0"/>
      </w:pPr>
      <w:r>
        <w:rPr>
          <w:i/>
          <w:sz w:val="18"/>
        </w:rPr>
        <w:t>TOC navigation note: page references are based on the final rendered 32-page layout and are intended for PDF/Word review navigation. The section table is deliberately static to keep the report stable across Word, PDF, and repository-upload workflows.</w:t>
      </w:r>
    </w:p>
    <w:p w14:paraId="01B1ADD9" w14:textId="77777777" w:rsidR="003D1DEF" w:rsidRDefault="00000000">
      <w:r>
        <w:br w:type="page"/>
      </w:r>
    </w:p>
    <w:p w14:paraId="186712A9" w14:textId="77777777" w:rsidR="003D1DEF" w:rsidRDefault="00000000">
      <w:pPr>
        <w:pStyle w:val="Heading1"/>
        <w:spacing w:after="200"/>
      </w:pPr>
      <w:r>
        <w:rPr>
          <w:rFonts w:ascii="Calibri" w:hAnsi="Calibri"/>
          <w:color w:val="0B1F3A"/>
          <w:sz w:val="36"/>
        </w:rPr>
        <w:lastRenderedPageBreak/>
        <w:t>3. Introduction</w:t>
      </w:r>
    </w:p>
    <w:p w14:paraId="4543930C" w14:textId="77777777" w:rsidR="003D1DEF" w:rsidRDefault="00000000">
      <w:pPr>
        <w:jc w:val="both"/>
      </w:pPr>
      <w:r>
        <w:t>Healthcare capacity analytics is essential when a care system operates as a dynamic pipeline. In the UAC context, daily operational responsibility moves through upstream custody, transfer flow, downstream care, and eventual discharge or placement. A small change in transfer volume, discharge throughput, or active care load can create visible changes in system pressure. For this reason, operational dashboards must measure both stock metrics, such as children in custody or care, and flow metrics, such as transfers and discharges.</w:t>
      </w:r>
    </w:p>
    <w:p w14:paraId="4C6CFFF0" w14:textId="77777777" w:rsidR="003D1DEF" w:rsidRDefault="00000000">
      <w:pPr>
        <w:jc w:val="both"/>
      </w:pPr>
      <w:r>
        <w:t>This project analyzes the System Capacity &amp; Care Load Analytics dashboard for Unaccompanied Children. The dashboard is designed to support capacity awareness across CBP custody and HHS care by converting daily counts into structured KPIs, trend charts, risk indicators, backlog severity metrics, responsibility-split visuals, and executive health rankings. The research paper documents the analytical logic behind the dashboard and translates the visuals into a formal research narrative.</w:t>
      </w:r>
    </w:p>
    <w:p w14:paraId="0CA36618" w14:textId="77777777" w:rsidR="003D1DEF" w:rsidRDefault="00000000">
      <w:pPr>
        <w:jc w:val="both"/>
      </w:pPr>
      <w:r>
        <w:t>The project differs from a purely descriptive report because it uses derived metrics and dashboard intelligence to evaluate operational status. Total System Load shows total responsibility. Net Intake Pressure shows whether transfers into HHS exceed discharges. Discharge Offset Ratio shows whether outflow is keeping pace with inflow. Backlog Accumulation Rate identifies the frequency of pressure periods. Care Load Volatility Index measures stability. Together, these indicators create a practical monitoring framework for public-sector capacity planning.</w:t>
      </w:r>
    </w:p>
    <w:tbl>
      <w:tblPr>
        <w:tblStyle w:val="TableGrid"/>
        <w:tblW w:w="0" w:type="auto"/>
        <w:jc w:val="center"/>
        <w:tblLook w:val="04A0" w:firstRow="1" w:lastRow="0" w:firstColumn="1" w:lastColumn="0" w:noHBand="0" w:noVBand="1"/>
      </w:tblPr>
      <w:tblGrid>
        <w:gridCol w:w="2592"/>
        <w:gridCol w:w="3888"/>
        <w:gridCol w:w="3312"/>
      </w:tblGrid>
      <w:tr w:rsidR="003D1DEF" w14:paraId="10FB3EA7" w14:textId="77777777">
        <w:trPr>
          <w:tblHeader/>
          <w:jc w:val="center"/>
        </w:trPr>
        <w:tc>
          <w:tcPr>
            <w:tcW w:w="2592" w:type="dxa"/>
            <w:shd w:val="clear" w:color="auto" w:fill="0B3D5C"/>
            <w:tcMar>
              <w:top w:w="80" w:type="dxa"/>
              <w:left w:w="80" w:type="dxa"/>
              <w:bottom w:w="80" w:type="dxa"/>
              <w:right w:w="80" w:type="dxa"/>
            </w:tcMar>
            <w:vAlign w:val="center"/>
          </w:tcPr>
          <w:p w14:paraId="73905A44" w14:textId="77777777" w:rsidR="003D1DEF" w:rsidRDefault="00000000">
            <w:r>
              <w:rPr>
                <w:b/>
                <w:color w:val="FFFFFF"/>
                <w:sz w:val="17"/>
              </w:rPr>
              <w:t>Analytical Contribution</w:t>
            </w:r>
          </w:p>
        </w:tc>
        <w:tc>
          <w:tcPr>
            <w:tcW w:w="3888" w:type="dxa"/>
            <w:shd w:val="clear" w:color="auto" w:fill="0B3D5C"/>
            <w:tcMar>
              <w:top w:w="80" w:type="dxa"/>
              <w:left w:w="80" w:type="dxa"/>
              <w:bottom w:w="80" w:type="dxa"/>
              <w:right w:w="80" w:type="dxa"/>
            </w:tcMar>
            <w:vAlign w:val="center"/>
          </w:tcPr>
          <w:p w14:paraId="03E3E1B6" w14:textId="77777777" w:rsidR="003D1DEF" w:rsidRDefault="00000000">
            <w:r>
              <w:rPr>
                <w:b/>
                <w:color w:val="FFFFFF"/>
                <w:sz w:val="17"/>
              </w:rPr>
              <w:t>Description</w:t>
            </w:r>
          </w:p>
        </w:tc>
        <w:tc>
          <w:tcPr>
            <w:tcW w:w="3312" w:type="dxa"/>
            <w:shd w:val="clear" w:color="auto" w:fill="0B3D5C"/>
            <w:tcMar>
              <w:top w:w="80" w:type="dxa"/>
              <w:left w:w="80" w:type="dxa"/>
              <w:bottom w:w="80" w:type="dxa"/>
              <w:right w:w="80" w:type="dxa"/>
            </w:tcMar>
            <w:vAlign w:val="center"/>
          </w:tcPr>
          <w:p w14:paraId="5856B219" w14:textId="77777777" w:rsidR="003D1DEF" w:rsidRDefault="00000000">
            <w:r>
              <w:rPr>
                <w:b/>
                <w:color w:val="FFFFFF"/>
                <w:sz w:val="17"/>
              </w:rPr>
              <w:t>Decision Value</w:t>
            </w:r>
          </w:p>
        </w:tc>
      </w:tr>
      <w:tr w:rsidR="003D1DEF" w14:paraId="0F12F157" w14:textId="77777777">
        <w:trPr>
          <w:jc w:val="center"/>
        </w:trPr>
        <w:tc>
          <w:tcPr>
            <w:tcW w:w="2592" w:type="dxa"/>
            <w:shd w:val="clear" w:color="auto" w:fill="F7FAFC"/>
            <w:tcMar>
              <w:top w:w="80" w:type="dxa"/>
              <w:left w:w="80" w:type="dxa"/>
              <w:bottom w:w="80" w:type="dxa"/>
              <w:right w:w="80" w:type="dxa"/>
            </w:tcMar>
            <w:vAlign w:val="center"/>
          </w:tcPr>
          <w:p w14:paraId="119F50C8" w14:textId="77777777" w:rsidR="003D1DEF" w:rsidRDefault="00000000">
            <w:r>
              <w:rPr>
                <w:sz w:val="17"/>
              </w:rPr>
              <w:t>Stock-and-flow view</w:t>
            </w:r>
          </w:p>
        </w:tc>
        <w:tc>
          <w:tcPr>
            <w:tcW w:w="3888" w:type="dxa"/>
            <w:shd w:val="clear" w:color="auto" w:fill="F7FAFC"/>
            <w:tcMar>
              <w:top w:w="80" w:type="dxa"/>
              <w:left w:w="80" w:type="dxa"/>
              <w:bottom w:w="80" w:type="dxa"/>
              <w:right w:w="80" w:type="dxa"/>
            </w:tcMar>
            <w:vAlign w:val="center"/>
          </w:tcPr>
          <w:p w14:paraId="27EAC068" w14:textId="77777777" w:rsidR="003D1DEF" w:rsidRDefault="00000000">
            <w:r>
              <w:rPr>
                <w:sz w:val="17"/>
              </w:rPr>
              <w:t>Combines CBP custody, HHS care, transfers, and discharges.</w:t>
            </w:r>
          </w:p>
        </w:tc>
        <w:tc>
          <w:tcPr>
            <w:tcW w:w="3312" w:type="dxa"/>
            <w:shd w:val="clear" w:color="auto" w:fill="F7FAFC"/>
            <w:tcMar>
              <w:top w:w="80" w:type="dxa"/>
              <w:left w:w="80" w:type="dxa"/>
              <w:bottom w:w="80" w:type="dxa"/>
              <w:right w:w="80" w:type="dxa"/>
            </w:tcMar>
            <w:vAlign w:val="center"/>
          </w:tcPr>
          <w:p w14:paraId="73E40EA6" w14:textId="77777777" w:rsidR="003D1DEF" w:rsidRDefault="00000000">
            <w:r>
              <w:rPr>
                <w:sz w:val="17"/>
              </w:rPr>
              <w:t>Prevents leadership from reading active load without flow context.</w:t>
            </w:r>
          </w:p>
        </w:tc>
      </w:tr>
      <w:tr w:rsidR="003D1DEF" w14:paraId="0E7C70C7" w14:textId="77777777">
        <w:trPr>
          <w:jc w:val="center"/>
        </w:trPr>
        <w:tc>
          <w:tcPr>
            <w:tcW w:w="2592" w:type="dxa"/>
            <w:shd w:val="clear" w:color="auto" w:fill="FFFFFF"/>
            <w:tcMar>
              <w:top w:w="80" w:type="dxa"/>
              <w:left w:w="80" w:type="dxa"/>
              <w:bottom w:w="80" w:type="dxa"/>
              <w:right w:w="80" w:type="dxa"/>
            </w:tcMar>
            <w:vAlign w:val="center"/>
          </w:tcPr>
          <w:p w14:paraId="64C153F8" w14:textId="77777777" w:rsidR="003D1DEF" w:rsidRDefault="00000000">
            <w:r>
              <w:rPr>
                <w:sz w:val="17"/>
              </w:rPr>
              <w:t>Pressure and relief logic</w:t>
            </w:r>
          </w:p>
        </w:tc>
        <w:tc>
          <w:tcPr>
            <w:tcW w:w="3888" w:type="dxa"/>
            <w:shd w:val="clear" w:color="auto" w:fill="FFFFFF"/>
            <w:tcMar>
              <w:top w:w="80" w:type="dxa"/>
              <w:left w:w="80" w:type="dxa"/>
              <w:bottom w:w="80" w:type="dxa"/>
              <w:right w:w="80" w:type="dxa"/>
            </w:tcMar>
            <w:vAlign w:val="center"/>
          </w:tcPr>
          <w:p w14:paraId="67BF483A" w14:textId="77777777" w:rsidR="003D1DEF" w:rsidRDefault="00000000">
            <w:r>
              <w:rPr>
                <w:sz w:val="17"/>
              </w:rPr>
              <w:t>Uses net intake and discharge offset to identify flow balance.</w:t>
            </w:r>
          </w:p>
        </w:tc>
        <w:tc>
          <w:tcPr>
            <w:tcW w:w="3312" w:type="dxa"/>
            <w:shd w:val="clear" w:color="auto" w:fill="FFFFFF"/>
            <w:tcMar>
              <w:top w:w="80" w:type="dxa"/>
              <w:left w:w="80" w:type="dxa"/>
              <w:bottom w:w="80" w:type="dxa"/>
              <w:right w:w="80" w:type="dxa"/>
            </w:tcMar>
            <w:vAlign w:val="center"/>
          </w:tcPr>
          <w:p w14:paraId="3042D1EE" w14:textId="77777777" w:rsidR="003D1DEF" w:rsidRDefault="00000000">
            <w:r>
              <w:rPr>
                <w:sz w:val="17"/>
              </w:rPr>
              <w:t>Supports operational assessment of whether pressure is building or relief is improving.</w:t>
            </w:r>
          </w:p>
        </w:tc>
      </w:tr>
      <w:tr w:rsidR="003D1DEF" w14:paraId="5F3CE5FA" w14:textId="77777777">
        <w:trPr>
          <w:jc w:val="center"/>
        </w:trPr>
        <w:tc>
          <w:tcPr>
            <w:tcW w:w="2592" w:type="dxa"/>
            <w:shd w:val="clear" w:color="auto" w:fill="F7FAFC"/>
            <w:tcMar>
              <w:top w:w="80" w:type="dxa"/>
              <w:left w:w="80" w:type="dxa"/>
              <w:bottom w:w="80" w:type="dxa"/>
              <w:right w:w="80" w:type="dxa"/>
            </w:tcMar>
            <w:vAlign w:val="center"/>
          </w:tcPr>
          <w:p w14:paraId="56FF498C" w14:textId="77777777" w:rsidR="003D1DEF" w:rsidRDefault="00000000">
            <w:r>
              <w:rPr>
                <w:sz w:val="17"/>
              </w:rPr>
              <w:t>Responsibility split analysis</w:t>
            </w:r>
          </w:p>
        </w:tc>
        <w:tc>
          <w:tcPr>
            <w:tcW w:w="3888" w:type="dxa"/>
            <w:shd w:val="clear" w:color="auto" w:fill="F7FAFC"/>
            <w:tcMar>
              <w:top w:w="80" w:type="dxa"/>
              <w:left w:w="80" w:type="dxa"/>
              <w:bottom w:w="80" w:type="dxa"/>
              <w:right w:w="80" w:type="dxa"/>
            </w:tcMar>
            <w:vAlign w:val="center"/>
          </w:tcPr>
          <w:p w14:paraId="1AB57619" w14:textId="77777777" w:rsidR="003D1DEF" w:rsidRDefault="00000000">
            <w:r>
              <w:rPr>
                <w:sz w:val="17"/>
              </w:rPr>
              <w:t>Compares CBP custody and HHS care responsibility over time.</w:t>
            </w:r>
          </w:p>
        </w:tc>
        <w:tc>
          <w:tcPr>
            <w:tcW w:w="3312" w:type="dxa"/>
            <w:shd w:val="clear" w:color="auto" w:fill="F7FAFC"/>
            <w:tcMar>
              <w:top w:w="80" w:type="dxa"/>
              <w:left w:w="80" w:type="dxa"/>
              <w:bottom w:w="80" w:type="dxa"/>
              <w:right w:w="80" w:type="dxa"/>
            </w:tcMar>
            <w:vAlign w:val="center"/>
          </w:tcPr>
          <w:p w14:paraId="3E8068AF" w14:textId="77777777" w:rsidR="003D1DEF" w:rsidRDefault="00000000">
            <w:r>
              <w:rPr>
                <w:sz w:val="17"/>
              </w:rPr>
              <w:t>Shows where the active care burden is concentrated.</w:t>
            </w:r>
          </w:p>
        </w:tc>
      </w:tr>
      <w:tr w:rsidR="003D1DEF" w14:paraId="1621B545" w14:textId="77777777">
        <w:trPr>
          <w:jc w:val="center"/>
        </w:trPr>
        <w:tc>
          <w:tcPr>
            <w:tcW w:w="2592" w:type="dxa"/>
            <w:shd w:val="clear" w:color="auto" w:fill="FFFFFF"/>
            <w:tcMar>
              <w:top w:w="80" w:type="dxa"/>
              <w:left w:w="80" w:type="dxa"/>
              <w:bottom w:w="80" w:type="dxa"/>
              <w:right w:w="80" w:type="dxa"/>
            </w:tcMar>
            <w:vAlign w:val="center"/>
          </w:tcPr>
          <w:p w14:paraId="3E4F90F2" w14:textId="77777777" w:rsidR="003D1DEF" w:rsidRDefault="00000000">
            <w:r>
              <w:rPr>
                <w:sz w:val="17"/>
              </w:rPr>
              <w:t>Stress classification</w:t>
            </w:r>
          </w:p>
        </w:tc>
        <w:tc>
          <w:tcPr>
            <w:tcW w:w="3888" w:type="dxa"/>
            <w:shd w:val="clear" w:color="auto" w:fill="FFFFFF"/>
            <w:tcMar>
              <w:top w:w="80" w:type="dxa"/>
              <w:left w:w="80" w:type="dxa"/>
              <w:bottom w:w="80" w:type="dxa"/>
              <w:right w:w="80" w:type="dxa"/>
            </w:tcMar>
            <w:vAlign w:val="center"/>
          </w:tcPr>
          <w:p w14:paraId="0D7867B0" w14:textId="77777777" w:rsidR="003D1DEF" w:rsidRDefault="00000000">
            <w:r>
              <w:rPr>
                <w:sz w:val="17"/>
              </w:rPr>
              <w:t>Summarizes periods into stress and pressure levels.</w:t>
            </w:r>
          </w:p>
        </w:tc>
        <w:tc>
          <w:tcPr>
            <w:tcW w:w="3312" w:type="dxa"/>
            <w:shd w:val="clear" w:color="auto" w:fill="FFFFFF"/>
            <w:tcMar>
              <w:top w:w="80" w:type="dxa"/>
              <w:left w:w="80" w:type="dxa"/>
              <w:bottom w:w="80" w:type="dxa"/>
              <w:right w:w="80" w:type="dxa"/>
            </w:tcMar>
            <w:vAlign w:val="center"/>
          </w:tcPr>
          <w:p w14:paraId="5F2E8142" w14:textId="77777777" w:rsidR="003D1DEF" w:rsidRDefault="00000000">
            <w:r>
              <w:rPr>
                <w:sz w:val="17"/>
              </w:rPr>
              <w:t>Helps identify routine strain and sustained pressure windows.</w:t>
            </w:r>
          </w:p>
        </w:tc>
      </w:tr>
      <w:tr w:rsidR="003D1DEF" w14:paraId="3576C395" w14:textId="77777777">
        <w:trPr>
          <w:jc w:val="center"/>
        </w:trPr>
        <w:tc>
          <w:tcPr>
            <w:tcW w:w="2592" w:type="dxa"/>
            <w:shd w:val="clear" w:color="auto" w:fill="F7FAFC"/>
            <w:tcMar>
              <w:top w:w="80" w:type="dxa"/>
              <w:left w:w="80" w:type="dxa"/>
              <w:bottom w:w="80" w:type="dxa"/>
              <w:right w:w="80" w:type="dxa"/>
            </w:tcMar>
            <w:vAlign w:val="center"/>
          </w:tcPr>
          <w:p w14:paraId="2633C7F3" w14:textId="77777777" w:rsidR="003D1DEF" w:rsidRDefault="00000000">
            <w:r>
              <w:rPr>
                <w:sz w:val="17"/>
              </w:rPr>
              <w:t>Interactive dashboard design</w:t>
            </w:r>
          </w:p>
        </w:tc>
        <w:tc>
          <w:tcPr>
            <w:tcW w:w="3888" w:type="dxa"/>
            <w:shd w:val="clear" w:color="auto" w:fill="F7FAFC"/>
            <w:tcMar>
              <w:top w:w="80" w:type="dxa"/>
              <w:left w:w="80" w:type="dxa"/>
              <w:bottom w:w="80" w:type="dxa"/>
              <w:right w:w="80" w:type="dxa"/>
            </w:tcMar>
            <w:vAlign w:val="center"/>
          </w:tcPr>
          <w:p w14:paraId="2B8A6B61" w14:textId="77777777" w:rsidR="003D1DEF" w:rsidRDefault="00000000">
            <w:r>
              <w:rPr>
                <w:sz w:val="17"/>
              </w:rPr>
              <w:t>Allows time range, granularity, and metric-toggle exploration.</w:t>
            </w:r>
          </w:p>
        </w:tc>
        <w:tc>
          <w:tcPr>
            <w:tcW w:w="3312" w:type="dxa"/>
            <w:shd w:val="clear" w:color="auto" w:fill="F7FAFC"/>
            <w:tcMar>
              <w:top w:w="80" w:type="dxa"/>
              <w:left w:w="80" w:type="dxa"/>
              <w:bottom w:w="80" w:type="dxa"/>
              <w:right w:w="80" w:type="dxa"/>
            </w:tcMar>
            <w:vAlign w:val="center"/>
          </w:tcPr>
          <w:p w14:paraId="78462141" w14:textId="77777777" w:rsidR="003D1DEF" w:rsidRDefault="00000000">
            <w:r>
              <w:rPr>
                <w:sz w:val="17"/>
              </w:rPr>
              <w:t>Supports scenario-based monitoring rather than static reporting.</w:t>
            </w:r>
          </w:p>
        </w:tc>
      </w:tr>
    </w:tbl>
    <w:p w14:paraId="283A0678" w14:textId="77777777" w:rsidR="003D1DEF" w:rsidRDefault="003D1DEF"/>
    <w:p w14:paraId="5516ED2E" w14:textId="77777777" w:rsidR="003D1DEF" w:rsidRDefault="00000000">
      <w:r>
        <w:br w:type="page"/>
      </w:r>
    </w:p>
    <w:p w14:paraId="6B95D167" w14:textId="77777777" w:rsidR="003D1DEF" w:rsidRDefault="00000000">
      <w:pPr>
        <w:pStyle w:val="Heading1"/>
        <w:spacing w:after="200"/>
      </w:pPr>
      <w:r>
        <w:rPr>
          <w:rFonts w:ascii="Calibri" w:hAnsi="Calibri"/>
          <w:color w:val="0B1F3A"/>
          <w:sz w:val="36"/>
        </w:rPr>
        <w:lastRenderedPageBreak/>
        <w:t>4. Background and Context</w:t>
      </w:r>
    </w:p>
    <w:p w14:paraId="6D8F587F" w14:textId="77777777" w:rsidR="003D1DEF" w:rsidRDefault="00000000">
      <w:pPr>
        <w:jc w:val="both"/>
      </w:pPr>
      <w:r>
        <w:t>The Unaccompanied Children care process is best understood as a multi-stage care pipeline. Children apprehended and placed in CBP custody represent upstream intake and short-term custody. Children transferred out of CBP custody represent flow into the HHS care system. Children in HHS Care represent active downstream responsibility, including sheltering and care services. Children discharged from HHS Care represent relief through placement or sponsor-related exit from active HHS care.</w:t>
      </w:r>
    </w:p>
    <w:p w14:paraId="2F42F88C" w14:textId="77777777" w:rsidR="003D1DEF" w:rsidRDefault="00000000">
      <w:pPr>
        <w:jc w:val="both"/>
      </w:pPr>
      <w:r>
        <w:t>From a healthcare systems perspective, the challenge is not limited to counting daily intake. The system must also evaluate whether active care load is rising or falling, whether HHS care is absorbing most of the responsibility, whether discharges are relieving incoming transfers, and whether backlog pressure is accumulating. These questions require a centralized analytical framework that can connect daily data to actionable indicators.</w:t>
      </w:r>
    </w:p>
    <w:p w14:paraId="3745E8CE" w14:textId="77777777" w:rsidR="003D1DEF" w:rsidRDefault="00000000">
      <w:pPr>
        <w:jc w:val="both"/>
      </w:pPr>
      <w:r>
        <w:t>The dashboard supports this framework through four modules: System Load Overview, CBP vs HHS Load Comparison, Net Intake &amp; Backlog Pressure Analysis, and KPI Executive Summary and Health Ranking. These modules mirror the required project components and provide a structured path from raw counts to executive decision support.</w:t>
      </w:r>
    </w:p>
    <w:tbl>
      <w:tblPr>
        <w:tblStyle w:val="TableGrid"/>
        <w:tblW w:w="0" w:type="auto"/>
        <w:jc w:val="center"/>
        <w:tblLook w:val="04A0" w:firstRow="1" w:lastRow="0" w:firstColumn="1" w:lastColumn="0" w:noHBand="0" w:noVBand="1"/>
      </w:tblPr>
      <w:tblGrid>
        <w:gridCol w:w="2304"/>
        <w:gridCol w:w="3888"/>
        <w:gridCol w:w="3456"/>
      </w:tblGrid>
      <w:tr w:rsidR="003D1DEF" w14:paraId="41DAD2A6" w14:textId="77777777">
        <w:trPr>
          <w:tblHeader/>
          <w:jc w:val="center"/>
        </w:trPr>
        <w:tc>
          <w:tcPr>
            <w:tcW w:w="2304" w:type="dxa"/>
            <w:shd w:val="clear" w:color="auto" w:fill="0B3D5C"/>
            <w:tcMar>
              <w:top w:w="80" w:type="dxa"/>
              <w:left w:w="80" w:type="dxa"/>
              <w:bottom w:w="80" w:type="dxa"/>
              <w:right w:w="80" w:type="dxa"/>
            </w:tcMar>
            <w:vAlign w:val="center"/>
          </w:tcPr>
          <w:p w14:paraId="1000E76D" w14:textId="77777777" w:rsidR="003D1DEF" w:rsidRDefault="00000000">
            <w:r>
              <w:rPr>
                <w:b/>
                <w:color w:val="FFFFFF"/>
                <w:sz w:val="17"/>
              </w:rPr>
              <w:t>Care Pipeline Stage</w:t>
            </w:r>
          </w:p>
        </w:tc>
        <w:tc>
          <w:tcPr>
            <w:tcW w:w="3888" w:type="dxa"/>
            <w:shd w:val="clear" w:color="auto" w:fill="0B3D5C"/>
            <w:tcMar>
              <w:top w:w="80" w:type="dxa"/>
              <w:left w:w="80" w:type="dxa"/>
              <w:bottom w:w="80" w:type="dxa"/>
              <w:right w:w="80" w:type="dxa"/>
            </w:tcMar>
            <w:vAlign w:val="center"/>
          </w:tcPr>
          <w:p w14:paraId="0DBB0A1B" w14:textId="77777777" w:rsidR="003D1DEF" w:rsidRDefault="00000000">
            <w:r>
              <w:rPr>
                <w:b/>
                <w:color w:val="FFFFFF"/>
                <w:sz w:val="17"/>
              </w:rPr>
              <w:t>Operational Meaning</w:t>
            </w:r>
          </w:p>
        </w:tc>
        <w:tc>
          <w:tcPr>
            <w:tcW w:w="3456" w:type="dxa"/>
            <w:shd w:val="clear" w:color="auto" w:fill="0B3D5C"/>
            <w:tcMar>
              <w:top w:w="80" w:type="dxa"/>
              <w:left w:w="80" w:type="dxa"/>
              <w:bottom w:w="80" w:type="dxa"/>
              <w:right w:w="80" w:type="dxa"/>
            </w:tcMar>
            <w:vAlign w:val="center"/>
          </w:tcPr>
          <w:p w14:paraId="5B7F688D" w14:textId="77777777" w:rsidR="003D1DEF" w:rsidRDefault="00000000">
            <w:r>
              <w:rPr>
                <w:b/>
                <w:color w:val="FFFFFF"/>
                <w:sz w:val="17"/>
              </w:rPr>
              <w:t>Dashboard Evidence</w:t>
            </w:r>
          </w:p>
        </w:tc>
      </w:tr>
      <w:tr w:rsidR="003D1DEF" w14:paraId="35181297" w14:textId="77777777">
        <w:trPr>
          <w:jc w:val="center"/>
        </w:trPr>
        <w:tc>
          <w:tcPr>
            <w:tcW w:w="2304" w:type="dxa"/>
            <w:shd w:val="clear" w:color="auto" w:fill="F7FAFC"/>
            <w:tcMar>
              <w:top w:w="80" w:type="dxa"/>
              <w:left w:w="80" w:type="dxa"/>
              <w:bottom w:w="80" w:type="dxa"/>
              <w:right w:w="80" w:type="dxa"/>
            </w:tcMar>
            <w:vAlign w:val="center"/>
          </w:tcPr>
          <w:p w14:paraId="02CFF397" w14:textId="77777777" w:rsidR="003D1DEF" w:rsidRDefault="00000000">
            <w:r>
              <w:rPr>
                <w:sz w:val="17"/>
              </w:rPr>
              <w:t>CBP custody</w:t>
            </w:r>
          </w:p>
        </w:tc>
        <w:tc>
          <w:tcPr>
            <w:tcW w:w="3888" w:type="dxa"/>
            <w:shd w:val="clear" w:color="auto" w:fill="F7FAFC"/>
            <w:tcMar>
              <w:top w:w="80" w:type="dxa"/>
              <w:left w:w="80" w:type="dxa"/>
              <w:bottom w:w="80" w:type="dxa"/>
              <w:right w:w="80" w:type="dxa"/>
            </w:tcMar>
            <w:vAlign w:val="center"/>
          </w:tcPr>
          <w:p w14:paraId="7EC08DB1" w14:textId="77777777" w:rsidR="003D1DEF" w:rsidRDefault="00000000">
            <w:r>
              <w:rPr>
                <w:sz w:val="17"/>
              </w:rPr>
              <w:t>Upstream custody and intake-side active load.</w:t>
            </w:r>
          </w:p>
        </w:tc>
        <w:tc>
          <w:tcPr>
            <w:tcW w:w="3456" w:type="dxa"/>
            <w:shd w:val="clear" w:color="auto" w:fill="F7FAFC"/>
            <w:tcMar>
              <w:top w:w="80" w:type="dxa"/>
              <w:left w:w="80" w:type="dxa"/>
              <w:bottom w:w="80" w:type="dxa"/>
              <w:right w:w="80" w:type="dxa"/>
            </w:tcMar>
            <w:vAlign w:val="center"/>
          </w:tcPr>
          <w:p w14:paraId="3C08B517" w14:textId="77777777" w:rsidR="003D1DEF" w:rsidRDefault="00000000">
            <w:r>
              <w:rPr>
                <w:sz w:val="17"/>
              </w:rPr>
              <w:t>Latest CBP Custody and CBP share metrics.</w:t>
            </w:r>
          </w:p>
        </w:tc>
      </w:tr>
      <w:tr w:rsidR="003D1DEF" w14:paraId="72C5A4F4" w14:textId="77777777">
        <w:trPr>
          <w:jc w:val="center"/>
        </w:trPr>
        <w:tc>
          <w:tcPr>
            <w:tcW w:w="2304" w:type="dxa"/>
            <w:shd w:val="clear" w:color="auto" w:fill="FFFFFF"/>
            <w:tcMar>
              <w:top w:w="80" w:type="dxa"/>
              <w:left w:w="80" w:type="dxa"/>
              <w:bottom w:w="80" w:type="dxa"/>
              <w:right w:w="80" w:type="dxa"/>
            </w:tcMar>
            <w:vAlign w:val="center"/>
          </w:tcPr>
          <w:p w14:paraId="778DFF85" w14:textId="77777777" w:rsidR="003D1DEF" w:rsidRDefault="00000000">
            <w:r>
              <w:rPr>
                <w:sz w:val="17"/>
              </w:rPr>
              <w:t>Transfer to HHS</w:t>
            </w:r>
          </w:p>
        </w:tc>
        <w:tc>
          <w:tcPr>
            <w:tcW w:w="3888" w:type="dxa"/>
            <w:shd w:val="clear" w:color="auto" w:fill="FFFFFF"/>
            <w:tcMar>
              <w:top w:w="80" w:type="dxa"/>
              <w:left w:w="80" w:type="dxa"/>
              <w:bottom w:w="80" w:type="dxa"/>
              <w:right w:w="80" w:type="dxa"/>
            </w:tcMar>
            <w:vAlign w:val="center"/>
          </w:tcPr>
          <w:p w14:paraId="1D909B43" w14:textId="77777777" w:rsidR="003D1DEF" w:rsidRDefault="00000000">
            <w:r>
              <w:rPr>
                <w:sz w:val="17"/>
              </w:rPr>
              <w:t>Flow from CBP into downstream HHS care.</w:t>
            </w:r>
          </w:p>
        </w:tc>
        <w:tc>
          <w:tcPr>
            <w:tcW w:w="3456" w:type="dxa"/>
            <w:shd w:val="clear" w:color="auto" w:fill="FFFFFF"/>
            <w:tcMar>
              <w:top w:w="80" w:type="dxa"/>
              <w:left w:w="80" w:type="dxa"/>
              <w:bottom w:w="80" w:type="dxa"/>
              <w:right w:w="80" w:type="dxa"/>
            </w:tcMar>
            <w:vAlign w:val="center"/>
          </w:tcPr>
          <w:p w14:paraId="4FA11C40" w14:textId="77777777" w:rsidR="003D1DEF" w:rsidRDefault="00000000">
            <w:r>
              <w:rPr>
                <w:sz w:val="17"/>
              </w:rPr>
              <w:t>Transfers into HHS and net intake metrics.</w:t>
            </w:r>
          </w:p>
        </w:tc>
      </w:tr>
      <w:tr w:rsidR="003D1DEF" w14:paraId="527C8F1C" w14:textId="77777777">
        <w:trPr>
          <w:jc w:val="center"/>
        </w:trPr>
        <w:tc>
          <w:tcPr>
            <w:tcW w:w="2304" w:type="dxa"/>
            <w:shd w:val="clear" w:color="auto" w:fill="F7FAFC"/>
            <w:tcMar>
              <w:top w:w="80" w:type="dxa"/>
              <w:left w:w="80" w:type="dxa"/>
              <w:bottom w:w="80" w:type="dxa"/>
              <w:right w:w="80" w:type="dxa"/>
            </w:tcMar>
            <w:vAlign w:val="center"/>
          </w:tcPr>
          <w:p w14:paraId="23561F73" w14:textId="77777777" w:rsidR="003D1DEF" w:rsidRDefault="00000000">
            <w:r>
              <w:rPr>
                <w:sz w:val="17"/>
              </w:rPr>
              <w:t>HHS care</w:t>
            </w:r>
          </w:p>
        </w:tc>
        <w:tc>
          <w:tcPr>
            <w:tcW w:w="3888" w:type="dxa"/>
            <w:shd w:val="clear" w:color="auto" w:fill="F7FAFC"/>
            <w:tcMar>
              <w:top w:w="80" w:type="dxa"/>
              <w:left w:w="80" w:type="dxa"/>
              <w:bottom w:w="80" w:type="dxa"/>
              <w:right w:w="80" w:type="dxa"/>
            </w:tcMar>
            <w:vAlign w:val="center"/>
          </w:tcPr>
          <w:p w14:paraId="3A014D87" w14:textId="77777777" w:rsidR="003D1DEF" w:rsidRDefault="00000000">
            <w:r>
              <w:rPr>
                <w:sz w:val="17"/>
              </w:rPr>
              <w:t>Active care load held by HHS facilities and care providers.</w:t>
            </w:r>
          </w:p>
        </w:tc>
        <w:tc>
          <w:tcPr>
            <w:tcW w:w="3456" w:type="dxa"/>
            <w:shd w:val="clear" w:color="auto" w:fill="F7FAFC"/>
            <w:tcMar>
              <w:top w:w="80" w:type="dxa"/>
              <w:left w:w="80" w:type="dxa"/>
              <w:bottom w:w="80" w:type="dxa"/>
              <w:right w:w="80" w:type="dxa"/>
            </w:tcMar>
            <w:vAlign w:val="center"/>
          </w:tcPr>
          <w:p w14:paraId="5F080A35" w14:textId="77777777" w:rsidR="003D1DEF" w:rsidRDefault="00000000">
            <w:r>
              <w:rPr>
                <w:sz w:val="17"/>
              </w:rPr>
              <w:t>Latest HHS Care, HHS share, and responsibility trend.</w:t>
            </w:r>
          </w:p>
        </w:tc>
      </w:tr>
      <w:tr w:rsidR="003D1DEF" w14:paraId="380BF8D1" w14:textId="77777777">
        <w:trPr>
          <w:jc w:val="center"/>
        </w:trPr>
        <w:tc>
          <w:tcPr>
            <w:tcW w:w="2304" w:type="dxa"/>
            <w:shd w:val="clear" w:color="auto" w:fill="FFFFFF"/>
            <w:tcMar>
              <w:top w:w="80" w:type="dxa"/>
              <w:left w:w="80" w:type="dxa"/>
              <w:bottom w:w="80" w:type="dxa"/>
              <w:right w:w="80" w:type="dxa"/>
            </w:tcMar>
            <w:vAlign w:val="center"/>
          </w:tcPr>
          <w:p w14:paraId="0F8B08AE" w14:textId="77777777" w:rsidR="003D1DEF" w:rsidRDefault="00000000">
            <w:r>
              <w:rPr>
                <w:sz w:val="17"/>
              </w:rPr>
              <w:t>Discharge from HHS</w:t>
            </w:r>
          </w:p>
        </w:tc>
        <w:tc>
          <w:tcPr>
            <w:tcW w:w="3888" w:type="dxa"/>
            <w:shd w:val="clear" w:color="auto" w:fill="FFFFFF"/>
            <w:tcMar>
              <w:top w:w="80" w:type="dxa"/>
              <w:left w:w="80" w:type="dxa"/>
              <w:bottom w:w="80" w:type="dxa"/>
              <w:right w:w="80" w:type="dxa"/>
            </w:tcMar>
            <w:vAlign w:val="center"/>
          </w:tcPr>
          <w:p w14:paraId="63D8B714" w14:textId="77777777" w:rsidR="003D1DEF" w:rsidRDefault="00000000">
            <w:r>
              <w:rPr>
                <w:sz w:val="17"/>
              </w:rPr>
              <w:t>Relief from active care through sponsor placement or discharge.</w:t>
            </w:r>
          </w:p>
        </w:tc>
        <w:tc>
          <w:tcPr>
            <w:tcW w:w="3456" w:type="dxa"/>
            <w:shd w:val="clear" w:color="auto" w:fill="FFFFFF"/>
            <w:tcMar>
              <w:top w:w="80" w:type="dxa"/>
              <w:left w:w="80" w:type="dxa"/>
              <w:bottom w:w="80" w:type="dxa"/>
              <w:right w:w="80" w:type="dxa"/>
            </w:tcMar>
            <w:vAlign w:val="center"/>
          </w:tcPr>
          <w:p w14:paraId="0BF45921" w14:textId="77777777" w:rsidR="003D1DEF" w:rsidRDefault="00000000">
            <w:r>
              <w:rPr>
                <w:sz w:val="17"/>
              </w:rPr>
              <w:t>HHS discharges and discharge offset ratio.</w:t>
            </w:r>
          </w:p>
        </w:tc>
      </w:tr>
      <w:tr w:rsidR="003D1DEF" w14:paraId="546F28BB" w14:textId="77777777">
        <w:trPr>
          <w:jc w:val="center"/>
        </w:trPr>
        <w:tc>
          <w:tcPr>
            <w:tcW w:w="2304" w:type="dxa"/>
            <w:shd w:val="clear" w:color="auto" w:fill="F7FAFC"/>
            <w:tcMar>
              <w:top w:w="80" w:type="dxa"/>
              <w:left w:w="80" w:type="dxa"/>
              <w:bottom w:w="80" w:type="dxa"/>
              <w:right w:w="80" w:type="dxa"/>
            </w:tcMar>
            <w:vAlign w:val="center"/>
          </w:tcPr>
          <w:p w14:paraId="3E553BBF" w14:textId="77777777" w:rsidR="003D1DEF" w:rsidRDefault="00000000">
            <w:r>
              <w:rPr>
                <w:sz w:val="17"/>
              </w:rPr>
              <w:t>Pressure windows</w:t>
            </w:r>
          </w:p>
        </w:tc>
        <w:tc>
          <w:tcPr>
            <w:tcW w:w="3888" w:type="dxa"/>
            <w:shd w:val="clear" w:color="auto" w:fill="F7FAFC"/>
            <w:tcMar>
              <w:top w:w="80" w:type="dxa"/>
              <w:left w:w="80" w:type="dxa"/>
              <w:bottom w:w="80" w:type="dxa"/>
              <w:right w:w="80" w:type="dxa"/>
            </w:tcMar>
            <w:vAlign w:val="center"/>
          </w:tcPr>
          <w:p w14:paraId="66E1F5B6" w14:textId="77777777" w:rsidR="003D1DEF" w:rsidRDefault="00000000">
            <w:r>
              <w:rPr>
                <w:sz w:val="17"/>
              </w:rPr>
              <w:t>Periods where inflow pressure or sustained strain appears.</w:t>
            </w:r>
          </w:p>
        </w:tc>
        <w:tc>
          <w:tcPr>
            <w:tcW w:w="3456" w:type="dxa"/>
            <w:shd w:val="clear" w:color="auto" w:fill="F7FAFC"/>
            <w:tcMar>
              <w:top w:w="80" w:type="dxa"/>
              <w:left w:w="80" w:type="dxa"/>
              <w:bottom w:w="80" w:type="dxa"/>
              <w:right w:w="80" w:type="dxa"/>
            </w:tcMar>
            <w:vAlign w:val="center"/>
          </w:tcPr>
          <w:p w14:paraId="059C3378" w14:textId="77777777" w:rsidR="003D1DEF" w:rsidRDefault="00000000">
            <w:r>
              <w:rPr>
                <w:sz w:val="17"/>
              </w:rPr>
              <w:t>Backlog severity, pressure stress distribution, and primary driver evidence.</w:t>
            </w:r>
          </w:p>
        </w:tc>
      </w:tr>
    </w:tbl>
    <w:p w14:paraId="477A793B" w14:textId="77777777" w:rsidR="003D1DEF" w:rsidRDefault="003D1DEF"/>
    <w:p w14:paraId="4089AA78" w14:textId="77777777" w:rsidR="003D1DEF" w:rsidRDefault="00000000">
      <w:r>
        <w:br w:type="page"/>
      </w:r>
    </w:p>
    <w:p w14:paraId="7C5D95DB" w14:textId="77777777" w:rsidR="003D1DEF" w:rsidRDefault="00000000">
      <w:pPr>
        <w:pStyle w:val="Heading1"/>
        <w:spacing w:after="200"/>
      </w:pPr>
      <w:r>
        <w:rPr>
          <w:rFonts w:ascii="Calibri" w:hAnsi="Calibri"/>
          <w:color w:val="0B1F3A"/>
          <w:sz w:val="36"/>
        </w:rPr>
        <w:lastRenderedPageBreak/>
        <w:t>5. Problem Statement</w:t>
      </w:r>
    </w:p>
    <w:p w14:paraId="2D4AF1B7" w14:textId="77777777" w:rsidR="003D1DEF" w:rsidRDefault="00000000">
      <w:pPr>
        <w:jc w:val="both"/>
      </w:pPr>
      <w:r>
        <w:t>The central problem is the absence of a single analytical framework that continuously connects total system load, CBP-to-HHS handoff movement, net intake balance, discharge relief, capacity stress, and backlog accumulation. Without such a framework, operational decisions can become reactive. Leadership may see a large care-load number without understanding whether the system is worsening or improving, or may observe relief in discharge flows without recognizing hidden pressure windows.</w:t>
      </w:r>
    </w:p>
    <w:p w14:paraId="2F27B666" w14:textId="77777777" w:rsidR="003D1DEF" w:rsidRDefault="00000000">
      <w:pPr>
        <w:jc w:val="both"/>
      </w:pPr>
      <w:r>
        <w:t>A dashboard-based framework is necessary because UAC care-load data contains multiple interacting signals. A high Total Children Under Care value may be concerning, but the interpretation changes if discharges are exceeding transfers. Similarly, a low current load may appear reassuring, but the interpretation changes if volatility is high or pressure windows are recurring. The analytical challenge is therefore not only to calculate KPIs, but to connect them into a coherent decision-support narrative.</w:t>
      </w:r>
    </w:p>
    <w:tbl>
      <w:tblPr>
        <w:tblStyle w:val="TableGrid"/>
        <w:tblW w:w="0" w:type="auto"/>
        <w:jc w:val="center"/>
        <w:tblLook w:val="04A0" w:firstRow="1" w:lastRow="0" w:firstColumn="1" w:lastColumn="0" w:noHBand="0" w:noVBand="1"/>
      </w:tblPr>
      <w:tblGrid>
        <w:gridCol w:w="3168"/>
        <w:gridCol w:w="3456"/>
        <w:gridCol w:w="3024"/>
      </w:tblGrid>
      <w:tr w:rsidR="003D1DEF" w14:paraId="6A991635" w14:textId="77777777">
        <w:trPr>
          <w:tblHeader/>
          <w:jc w:val="center"/>
        </w:trPr>
        <w:tc>
          <w:tcPr>
            <w:tcW w:w="3168" w:type="dxa"/>
            <w:shd w:val="clear" w:color="auto" w:fill="0B3D5C"/>
            <w:tcMar>
              <w:top w:w="80" w:type="dxa"/>
              <w:left w:w="80" w:type="dxa"/>
              <w:bottom w:w="80" w:type="dxa"/>
              <w:right w:w="80" w:type="dxa"/>
            </w:tcMar>
            <w:vAlign w:val="center"/>
          </w:tcPr>
          <w:p w14:paraId="218D3462" w14:textId="77777777" w:rsidR="003D1DEF" w:rsidRDefault="00000000">
            <w:r>
              <w:rPr>
                <w:b/>
                <w:color w:val="FFFFFF"/>
                <w:sz w:val="17"/>
              </w:rPr>
              <w:t>Research Question</w:t>
            </w:r>
          </w:p>
        </w:tc>
        <w:tc>
          <w:tcPr>
            <w:tcW w:w="3456" w:type="dxa"/>
            <w:shd w:val="clear" w:color="auto" w:fill="0B3D5C"/>
            <w:tcMar>
              <w:top w:w="80" w:type="dxa"/>
              <w:left w:w="80" w:type="dxa"/>
              <w:bottom w:w="80" w:type="dxa"/>
              <w:right w:w="80" w:type="dxa"/>
            </w:tcMar>
            <w:vAlign w:val="center"/>
          </w:tcPr>
          <w:p w14:paraId="411F5876" w14:textId="77777777" w:rsidR="003D1DEF" w:rsidRDefault="00000000">
            <w:r>
              <w:rPr>
                <w:b/>
                <w:color w:val="FFFFFF"/>
                <w:sz w:val="17"/>
              </w:rPr>
              <w:t>Evidence Required</w:t>
            </w:r>
          </w:p>
        </w:tc>
        <w:tc>
          <w:tcPr>
            <w:tcW w:w="3024" w:type="dxa"/>
            <w:shd w:val="clear" w:color="auto" w:fill="0B3D5C"/>
            <w:tcMar>
              <w:top w:w="80" w:type="dxa"/>
              <w:left w:w="80" w:type="dxa"/>
              <w:bottom w:w="80" w:type="dxa"/>
              <w:right w:w="80" w:type="dxa"/>
            </w:tcMar>
            <w:vAlign w:val="center"/>
          </w:tcPr>
          <w:p w14:paraId="6A917DEE" w14:textId="77777777" w:rsidR="003D1DEF" w:rsidRDefault="00000000">
            <w:r>
              <w:rPr>
                <w:b/>
                <w:color w:val="FFFFFF"/>
                <w:sz w:val="17"/>
              </w:rPr>
              <w:t>Decision Relevance</w:t>
            </w:r>
          </w:p>
        </w:tc>
      </w:tr>
      <w:tr w:rsidR="003D1DEF" w14:paraId="59D35D08" w14:textId="77777777">
        <w:trPr>
          <w:jc w:val="center"/>
        </w:trPr>
        <w:tc>
          <w:tcPr>
            <w:tcW w:w="3168" w:type="dxa"/>
            <w:shd w:val="clear" w:color="auto" w:fill="F7FAFC"/>
            <w:tcMar>
              <w:top w:w="80" w:type="dxa"/>
              <w:left w:w="80" w:type="dxa"/>
              <w:bottom w:w="80" w:type="dxa"/>
              <w:right w:w="80" w:type="dxa"/>
            </w:tcMar>
            <w:vAlign w:val="center"/>
          </w:tcPr>
          <w:p w14:paraId="0DF5EE09" w14:textId="77777777" w:rsidR="003D1DEF" w:rsidRDefault="00000000">
            <w:r>
              <w:rPr>
                <w:sz w:val="17"/>
              </w:rPr>
              <w:t>What is the current system-wide care load?</w:t>
            </w:r>
          </w:p>
        </w:tc>
        <w:tc>
          <w:tcPr>
            <w:tcW w:w="3456" w:type="dxa"/>
            <w:shd w:val="clear" w:color="auto" w:fill="F7FAFC"/>
            <w:tcMar>
              <w:top w:w="80" w:type="dxa"/>
              <w:left w:w="80" w:type="dxa"/>
              <w:bottom w:w="80" w:type="dxa"/>
              <w:right w:w="80" w:type="dxa"/>
            </w:tcMar>
            <w:vAlign w:val="center"/>
          </w:tcPr>
          <w:p w14:paraId="2EB98FA2" w14:textId="77777777" w:rsidR="003D1DEF" w:rsidRDefault="00000000">
            <w:r>
              <w:rPr>
                <w:sz w:val="17"/>
              </w:rPr>
              <w:t>Total Children Under Care and capacity position charts.</w:t>
            </w:r>
          </w:p>
        </w:tc>
        <w:tc>
          <w:tcPr>
            <w:tcW w:w="3024" w:type="dxa"/>
            <w:shd w:val="clear" w:color="auto" w:fill="F7FAFC"/>
            <w:tcMar>
              <w:top w:w="80" w:type="dxa"/>
              <w:left w:w="80" w:type="dxa"/>
              <w:bottom w:w="80" w:type="dxa"/>
              <w:right w:w="80" w:type="dxa"/>
            </w:tcMar>
            <w:vAlign w:val="center"/>
          </w:tcPr>
          <w:p w14:paraId="1FC814D1" w14:textId="77777777" w:rsidR="003D1DEF" w:rsidRDefault="00000000">
            <w:r>
              <w:rPr>
                <w:sz w:val="17"/>
              </w:rPr>
              <w:t>Defines the current burden across CBP and HHS.</w:t>
            </w:r>
          </w:p>
        </w:tc>
      </w:tr>
      <w:tr w:rsidR="003D1DEF" w14:paraId="4958179D" w14:textId="77777777">
        <w:trPr>
          <w:jc w:val="center"/>
        </w:trPr>
        <w:tc>
          <w:tcPr>
            <w:tcW w:w="3168" w:type="dxa"/>
            <w:shd w:val="clear" w:color="auto" w:fill="FFFFFF"/>
            <w:tcMar>
              <w:top w:w="80" w:type="dxa"/>
              <w:left w:w="80" w:type="dxa"/>
              <w:bottom w:w="80" w:type="dxa"/>
              <w:right w:w="80" w:type="dxa"/>
            </w:tcMar>
            <w:vAlign w:val="center"/>
          </w:tcPr>
          <w:p w14:paraId="1CA4E435" w14:textId="77777777" w:rsidR="003D1DEF" w:rsidRDefault="00000000">
            <w:r>
              <w:rPr>
                <w:sz w:val="17"/>
              </w:rPr>
              <w:t>Are discharges offsetting transfers?</w:t>
            </w:r>
          </w:p>
        </w:tc>
        <w:tc>
          <w:tcPr>
            <w:tcW w:w="3456" w:type="dxa"/>
            <w:shd w:val="clear" w:color="auto" w:fill="FFFFFF"/>
            <w:tcMar>
              <w:top w:w="80" w:type="dxa"/>
              <w:left w:w="80" w:type="dxa"/>
              <w:bottom w:w="80" w:type="dxa"/>
              <w:right w:w="80" w:type="dxa"/>
            </w:tcMar>
            <w:vAlign w:val="center"/>
          </w:tcPr>
          <w:p w14:paraId="7CD39918" w14:textId="77777777" w:rsidR="003D1DEF" w:rsidRDefault="00000000">
            <w:r>
              <w:rPr>
                <w:sz w:val="17"/>
              </w:rPr>
              <w:t>Net Intake Pressure, Discharge Offset Ratio, Transfers vs Discharges chart.</w:t>
            </w:r>
          </w:p>
        </w:tc>
        <w:tc>
          <w:tcPr>
            <w:tcW w:w="3024" w:type="dxa"/>
            <w:shd w:val="clear" w:color="auto" w:fill="FFFFFF"/>
            <w:tcMar>
              <w:top w:w="80" w:type="dxa"/>
              <w:left w:w="80" w:type="dxa"/>
              <w:bottom w:w="80" w:type="dxa"/>
              <w:right w:w="80" w:type="dxa"/>
            </w:tcMar>
            <w:vAlign w:val="center"/>
          </w:tcPr>
          <w:p w14:paraId="5CA537BC" w14:textId="77777777" w:rsidR="003D1DEF" w:rsidRDefault="00000000">
            <w:r>
              <w:rPr>
                <w:sz w:val="17"/>
              </w:rPr>
              <w:t>Shows whether flow balance is relief-oriented or pressure-building.</w:t>
            </w:r>
          </w:p>
        </w:tc>
      </w:tr>
      <w:tr w:rsidR="003D1DEF" w14:paraId="2BFEB3F9" w14:textId="77777777">
        <w:trPr>
          <w:jc w:val="center"/>
        </w:trPr>
        <w:tc>
          <w:tcPr>
            <w:tcW w:w="3168" w:type="dxa"/>
            <w:shd w:val="clear" w:color="auto" w:fill="F7FAFC"/>
            <w:tcMar>
              <w:top w:w="80" w:type="dxa"/>
              <w:left w:w="80" w:type="dxa"/>
              <w:bottom w:w="80" w:type="dxa"/>
              <w:right w:w="80" w:type="dxa"/>
            </w:tcMar>
            <w:vAlign w:val="center"/>
          </w:tcPr>
          <w:p w14:paraId="538EC697" w14:textId="77777777" w:rsidR="003D1DEF" w:rsidRDefault="00000000">
            <w:r>
              <w:rPr>
                <w:sz w:val="17"/>
              </w:rPr>
              <w:t>Where is responsibility concentrated?</w:t>
            </w:r>
          </w:p>
        </w:tc>
        <w:tc>
          <w:tcPr>
            <w:tcW w:w="3456" w:type="dxa"/>
            <w:shd w:val="clear" w:color="auto" w:fill="F7FAFC"/>
            <w:tcMar>
              <w:top w:w="80" w:type="dxa"/>
              <w:left w:w="80" w:type="dxa"/>
              <w:bottom w:w="80" w:type="dxa"/>
              <w:right w:w="80" w:type="dxa"/>
            </w:tcMar>
            <w:vAlign w:val="center"/>
          </w:tcPr>
          <w:p w14:paraId="27655F8E" w14:textId="77777777" w:rsidR="003D1DEF" w:rsidRDefault="00000000">
            <w:r>
              <w:rPr>
                <w:sz w:val="17"/>
              </w:rPr>
              <w:t>CBP vs HHS trend, HHS share, latest responsibility split.</w:t>
            </w:r>
          </w:p>
        </w:tc>
        <w:tc>
          <w:tcPr>
            <w:tcW w:w="3024" w:type="dxa"/>
            <w:shd w:val="clear" w:color="auto" w:fill="F7FAFC"/>
            <w:tcMar>
              <w:top w:w="80" w:type="dxa"/>
              <w:left w:w="80" w:type="dxa"/>
              <w:bottom w:w="80" w:type="dxa"/>
              <w:right w:w="80" w:type="dxa"/>
            </w:tcMar>
            <w:vAlign w:val="center"/>
          </w:tcPr>
          <w:p w14:paraId="770F961C" w14:textId="77777777" w:rsidR="003D1DEF" w:rsidRDefault="00000000">
            <w:r>
              <w:rPr>
                <w:sz w:val="17"/>
              </w:rPr>
              <w:t>Identifies whether planning should focus upstream or downstream.</w:t>
            </w:r>
          </w:p>
        </w:tc>
      </w:tr>
      <w:tr w:rsidR="003D1DEF" w14:paraId="01AD9EFE" w14:textId="77777777">
        <w:trPr>
          <w:jc w:val="center"/>
        </w:trPr>
        <w:tc>
          <w:tcPr>
            <w:tcW w:w="3168" w:type="dxa"/>
            <w:shd w:val="clear" w:color="auto" w:fill="FFFFFF"/>
            <w:tcMar>
              <w:top w:w="80" w:type="dxa"/>
              <w:left w:w="80" w:type="dxa"/>
              <w:bottom w:w="80" w:type="dxa"/>
              <w:right w:w="80" w:type="dxa"/>
            </w:tcMar>
            <w:vAlign w:val="center"/>
          </w:tcPr>
          <w:p w14:paraId="654B1E6A" w14:textId="77777777" w:rsidR="003D1DEF" w:rsidRDefault="00000000">
            <w:r>
              <w:rPr>
                <w:sz w:val="17"/>
              </w:rPr>
              <w:t>Are backlog and stress periods recurring?</w:t>
            </w:r>
          </w:p>
        </w:tc>
        <w:tc>
          <w:tcPr>
            <w:tcW w:w="3456" w:type="dxa"/>
            <w:shd w:val="clear" w:color="auto" w:fill="FFFFFF"/>
            <w:tcMar>
              <w:top w:w="80" w:type="dxa"/>
              <w:left w:w="80" w:type="dxa"/>
              <w:bottom w:w="80" w:type="dxa"/>
              <w:right w:w="80" w:type="dxa"/>
            </w:tcMar>
            <w:vAlign w:val="center"/>
          </w:tcPr>
          <w:p w14:paraId="0DDAA2E0" w14:textId="77777777" w:rsidR="003D1DEF" w:rsidRDefault="00000000">
            <w:r>
              <w:rPr>
                <w:sz w:val="17"/>
              </w:rPr>
              <w:t>Backlog Accumulation Rate, Backlog Severity, Pressure Stress Distribution.</w:t>
            </w:r>
          </w:p>
        </w:tc>
        <w:tc>
          <w:tcPr>
            <w:tcW w:w="3024" w:type="dxa"/>
            <w:shd w:val="clear" w:color="auto" w:fill="FFFFFF"/>
            <w:tcMar>
              <w:top w:w="80" w:type="dxa"/>
              <w:left w:w="80" w:type="dxa"/>
              <w:bottom w:w="80" w:type="dxa"/>
              <w:right w:w="80" w:type="dxa"/>
            </w:tcMar>
            <w:vAlign w:val="center"/>
          </w:tcPr>
          <w:p w14:paraId="17A7211A" w14:textId="77777777" w:rsidR="003D1DEF" w:rsidRDefault="00000000">
            <w:r>
              <w:rPr>
                <w:sz w:val="17"/>
              </w:rPr>
              <w:t>Supports staffing, shelter, and placement readiness.</w:t>
            </w:r>
          </w:p>
        </w:tc>
      </w:tr>
      <w:tr w:rsidR="003D1DEF" w14:paraId="4F58CC2F" w14:textId="77777777">
        <w:trPr>
          <w:jc w:val="center"/>
        </w:trPr>
        <w:tc>
          <w:tcPr>
            <w:tcW w:w="3168" w:type="dxa"/>
            <w:shd w:val="clear" w:color="auto" w:fill="F7FAFC"/>
            <w:tcMar>
              <w:top w:w="80" w:type="dxa"/>
              <w:left w:w="80" w:type="dxa"/>
              <w:bottom w:w="80" w:type="dxa"/>
              <w:right w:w="80" w:type="dxa"/>
            </w:tcMar>
            <w:vAlign w:val="center"/>
          </w:tcPr>
          <w:p w14:paraId="7CB920C1" w14:textId="77777777" w:rsidR="003D1DEF" w:rsidRDefault="00000000">
            <w:r>
              <w:rPr>
                <w:sz w:val="17"/>
              </w:rPr>
              <w:t>Which pressure drivers matter most?</w:t>
            </w:r>
          </w:p>
        </w:tc>
        <w:tc>
          <w:tcPr>
            <w:tcW w:w="3456" w:type="dxa"/>
            <w:shd w:val="clear" w:color="auto" w:fill="F7FAFC"/>
            <w:tcMar>
              <w:top w:w="80" w:type="dxa"/>
              <w:left w:w="80" w:type="dxa"/>
              <w:bottom w:w="80" w:type="dxa"/>
              <w:right w:w="80" w:type="dxa"/>
            </w:tcMar>
            <w:vAlign w:val="center"/>
          </w:tcPr>
          <w:p w14:paraId="652A8BF1" w14:textId="77777777" w:rsidR="003D1DEF" w:rsidRDefault="00000000">
            <w:r>
              <w:rPr>
                <w:sz w:val="17"/>
              </w:rPr>
              <w:t>Primary Pressure Driver Evidence chart.</w:t>
            </w:r>
          </w:p>
        </w:tc>
        <w:tc>
          <w:tcPr>
            <w:tcW w:w="3024" w:type="dxa"/>
            <w:shd w:val="clear" w:color="auto" w:fill="F7FAFC"/>
            <w:tcMar>
              <w:top w:w="80" w:type="dxa"/>
              <w:left w:w="80" w:type="dxa"/>
              <w:bottom w:w="80" w:type="dxa"/>
              <w:right w:w="80" w:type="dxa"/>
            </w:tcMar>
            <w:vAlign w:val="center"/>
          </w:tcPr>
          <w:p w14:paraId="2C4788D3" w14:textId="77777777" w:rsidR="003D1DEF" w:rsidRDefault="00000000">
            <w:r>
              <w:rPr>
                <w:sz w:val="17"/>
              </w:rPr>
              <w:t>Guides operational response priorities.</w:t>
            </w:r>
          </w:p>
        </w:tc>
      </w:tr>
    </w:tbl>
    <w:p w14:paraId="1C9E167F" w14:textId="77777777" w:rsidR="003D1DEF" w:rsidRDefault="003D1DEF"/>
    <w:p w14:paraId="77D1BD6E" w14:textId="77777777" w:rsidR="003D1DEF" w:rsidRDefault="00000000">
      <w:r>
        <w:br w:type="page"/>
      </w:r>
    </w:p>
    <w:p w14:paraId="445D271D" w14:textId="77777777" w:rsidR="003D1DEF" w:rsidRDefault="00000000">
      <w:pPr>
        <w:pStyle w:val="Heading1"/>
        <w:spacing w:after="200"/>
      </w:pPr>
      <w:r>
        <w:rPr>
          <w:rFonts w:ascii="Calibri" w:hAnsi="Calibri"/>
          <w:color w:val="0B1F3A"/>
          <w:sz w:val="36"/>
        </w:rPr>
        <w:lastRenderedPageBreak/>
        <w:t>6. Dataset Overview</w:t>
      </w:r>
    </w:p>
    <w:p w14:paraId="44B24AA4" w14:textId="77777777" w:rsidR="003D1DEF" w:rsidRDefault="00000000">
      <w:pPr>
        <w:jc w:val="both"/>
      </w:pPr>
      <w:r>
        <w:t>The project uses daily time-series data for the UAC care pipeline. The field structure supports analysis of both active care load and flow movement. Active load fields describe the number of children currently in CBP custody or HHS care. Flow fields describe children entering, moving into HHS, or being discharged from HHS care. This structure is appropriate for capacity analytics because system pressure is determined by both stock and flow conditions.</w:t>
      </w:r>
    </w:p>
    <w:tbl>
      <w:tblPr>
        <w:tblStyle w:val="TableGrid"/>
        <w:tblW w:w="0" w:type="auto"/>
        <w:jc w:val="center"/>
        <w:tblLook w:val="04A0" w:firstRow="1" w:lastRow="0" w:firstColumn="1" w:lastColumn="0" w:noHBand="0" w:noVBand="1"/>
      </w:tblPr>
      <w:tblGrid>
        <w:gridCol w:w="3456"/>
        <w:gridCol w:w="3456"/>
        <w:gridCol w:w="2880"/>
      </w:tblGrid>
      <w:tr w:rsidR="003D1DEF" w14:paraId="5C71D7D3" w14:textId="77777777">
        <w:trPr>
          <w:tblHeader/>
          <w:jc w:val="center"/>
        </w:trPr>
        <w:tc>
          <w:tcPr>
            <w:tcW w:w="3456" w:type="dxa"/>
            <w:shd w:val="clear" w:color="auto" w:fill="0B3D5C"/>
            <w:tcMar>
              <w:top w:w="80" w:type="dxa"/>
              <w:left w:w="80" w:type="dxa"/>
              <w:bottom w:w="80" w:type="dxa"/>
              <w:right w:w="80" w:type="dxa"/>
            </w:tcMar>
            <w:vAlign w:val="center"/>
          </w:tcPr>
          <w:p w14:paraId="06E65DE2" w14:textId="77777777" w:rsidR="003D1DEF" w:rsidRDefault="00000000">
            <w:r>
              <w:rPr>
                <w:b/>
                <w:color w:val="FFFFFF"/>
                <w:sz w:val="17"/>
              </w:rPr>
              <w:t>Dataset Field</w:t>
            </w:r>
          </w:p>
        </w:tc>
        <w:tc>
          <w:tcPr>
            <w:tcW w:w="3456" w:type="dxa"/>
            <w:shd w:val="clear" w:color="auto" w:fill="0B3D5C"/>
            <w:tcMar>
              <w:top w:w="80" w:type="dxa"/>
              <w:left w:w="80" w:type="dxa"/>
              <w:bottom w:w="80" w:type="dxa"/>
              <w:right w:w="80" w:type="dxa"/>
            </w:tcMar>
            <w:vAlign w:val="center"/>
          </w:tcPr>
          <w:p w14:paraId="4EAC5495" w14:textId="77777777" w:rsidR="003D1DEF" w:rsidRDefault="00000000">
            <w:r>
              <w:rPr>
                <w:b/>
                <w:color w:val="FFFFFF"/>
                <w:sz w:val="17"/>
              </w:rPr>
              <w:t>Meaning</w:t>
            </w:r>
          </w:p>
        </w:tc>
        <w:tc>
          <w:tcPr>
            <w:tcW w:w="2880" w:type="dxa"/>
            <w:shd w:val="clear" w:color="auto" w:fill="0B3D5C"/>
            <w:tcMar>
              <w:top w:w="80" w:type="dxa"/>
              <w:left w:w="80" w:type="dxa"/>
              <w:bottom w:w="80" w:type="dxa"/>
              <w:right w:w="80" w:type="dxa"/>
            </w:tcMar>
            <w:vAlign w:val="center"/>
          </w:tcPr>
          <w:p w14:paraId="4435BBC9" w14:textId="77777777" w:rsidR="003D1DEF" w:rsidRDefault="00000000">
            <w:r>
              <w:rPr>
                <w:b/>
                <w:color w:val="FFFFFF"/>
                <w:sz w:val="17"/>
              </w:rPr>
              <w:t>Analytical Use</w:t>
            </w:r>
          </w:p>
        </w:tc>
      </w:tr>
      <w:tr w:rsidR="003D1DEF" w14:paraId="6CA81457" w14:textId="77777777">
        <w:trPr>
          <w:jc w:val="center"/>
        </w:trPr>
        <w:tc>
          <w:tcPr>
            <w:tcW w:w="3456" w:type="dxa"/>
            <w:shd w:val="clear" w:color="auto" w:fill="F7FAFC"/>
            <w:tcMar>
              <w:top w:w="80" w:type="dxa"/>
              <w:left w:w="80" w:type="dxa"/>
              <w:bottom w:w="80" w:type="dxa"/>
              <w:right w:w="80" w:type="dxa"/>
            </w:tcMar>
            <w:vAlign w:val="center"/>
          </w:tcPr>
          <w:p w14:paraId="16719046" w14:textId="77777777" w:rsidR="003D1DEF" w:rsidRDefault="00000000">
            <w:r>
              <w:rPr>
                <w:sz w:val="17"/>
              </w:rPr>
              <w:t>Date</w:t>
            </w:r>
          </w:p>
        </w:tc>
        <w:tc>
          <w:tcPr>
            <w:tcW w:w="3456" w:type="dxa"/>
            <w:shd w:val="clear" w:color="auto" w:fill="F7FAFC"/>
            <w:tcMar>
              <w:top w:w="80" w:type="dxa"/>
              <w:left w:w="80" w:type="dxa"/>
              <w:bottom w:w="80" w:type="dxa"/>
              <w:right w:w="80" w:type="dxa"/>
            </w:tcMar>
            <w:vAlign w:val="center"/>
          </w:tcPr>
          <w:p w14:paraId="1DB88002" w14:textId="77777777" w:rsidR="003D1DEF" w:rsidRDefault="00000000">
            <w:r>
              <w:rPr>
                <w:sz w:val="17"/>
              </w:rPr>
              <w:t>Reporting date.</w:t>
            </w:r>
          </w:p>
        </w:tc>
        <w:tc>
          <w:tcPr>
            <w:tcW w:w="2880" w:type="dxa"/>
            <w:shd w:val="clear" w:color="auto" w:fill="F7FAFC"/>
            <w:tcMar>
              <w:top w:w="80" w:type="dxa"/>
              <w:left w:w="80" w:type="dxa"/>
              <w:bottom w:w="80" w:type="dxa"/>
              <w:right w:w="80" w:type="dxa"/>
            </w:tcMar>
            <w:vAlign w:val="center"/>
          </w:tcPr>
          <w:p w14:paraId="4A139781" w14:textId="77777777" w:rsidR="003D1DEF" w:rsidRDefault="00000000">
            <w:r>
              <w:rPr>
                <w:sz w:val="17"/>
              </w:rPr>
              <w:t>Creates daily time series and supports date range filtering.</w:t>
            </w:r>
          </w:p>
        </w:tc>
      </w:tr>
      <w:tr w:rsidR="003D1DEF" w14:paraId="0F231D0D" w14:textId="77777777">
        <w:trPr>
          <w:jc w:val="center"/>
        </w:trPr>
        <w:tc>
          <w:tcPr>
            <w:tcW w:w="3456" w:type="dxa"/>
            <w:shd w:val="clear" w:color="auto" w:fill="FFFFFF"/>
            <w:tcMar>
              <w:top w:w="80" w:type="dxa"/>
              <w:left w:w="80" w:type="dxa"/>
              <w:bottom w:w="80" w:type="dxa"/>
              <w:right w:w="80" w:type="dxa"/>
            </w:tcMar>
            <w:vAlign w:val="center"/>
          </w:tcPr>
          <w:p w14:paraId="07213DB4" w14:textId="77777777" w:rsidR="003D1DEF" w:rsidRDefault="00000000">
            <w:r>
              <w:rPr>
                <w:sz w:val="17"/>
              </w:rPr>
              <w:t>Children apprehended and placed in CBP custody</w:t>
            </w:r>
          </w:p>
        </w:tc>
        <w:tc>
          <w:tcPr>
            <w:tcW w:w="3456" w:type="dxa"/>
            <w:shd w:val="clear" w:color="auto" w:fill="FFFFFF"/>
            <w:tcMar>
              <w:top w:w="80" w:type="dxa"/>
              <w:left w:w="80" w:type="dxa"/>
              <w:bottom w:w="80" w:type="dxa"/>
              <w:right w:w="80" w:type="dxa"/>
            </w:tcMar>
            <w:vAlign w:val="center"/>
          </w:tcPr>
          <w:p w14:paraId="2148CBAE" w14:textId="77777777" w:rsidR="003D1DEF" w:rsidRDefault="00000000">
            <w:r>
              <w:rPr>
                <w:sz w:val="17"/>
              </w:rPr>
              <w:t>Daily intake volume.</w:t>
            </w:r>
          </w:p>
        </w:tc>
        <w:tc>
          <w:tcPr>
            <w:tcW w:w="2880" w:type="dxa"/>
            <w:shd w:val="clear" w:color="auto" w:fill="FFFFFF"/>
            <w:tcMar>
              <w:top w:w="80" w:type="dxa"/>
              <w:left w:w="80" w:type="dxa"/>
              <w:bottom w:w="80" w:type="dxa"/>
              <w:right w:w="80" w:type="dxa"/>
            </w:tcMar>
            <w:vAlign w:val="center"/>
          </w:tcPr>
          <w:p w14:paraId="00BA88EA" w14:textId="77777777" w:rsidR="003D1DEF" w:rsidRDefault="00000000">
            <w:r>
              <w:rPr>
                <w:sz w:val="17"/>
              </w:rPr>
              <w:t>Measures upstream inflow into the care pipeline.</w:t>
            </w:r>
          </w:p>
        </w:tc>
      </w:tr>
      <w:tr w:rsidR="003D1DEF" w14:paraId="5A3E2412" w14:textId="77777777">
        <w:trPr>
          <w:jc w:val="center"/>
        </w:trPr>
        <w:tc>
          <w:tcPr>
            <w:tcW w:w="3456" w:type="dxa"/>
            <w:shd w:val="clear" w:color="auto" w:fill="F7FAFC"/>
            <w:tcMar>
              <w:top w:w="80" w:type="dxa"/>
              <w:left w:w="80" w:type="dxa"/>
              <w:bottom w:w="80" w:type="dxa"/>
              <w:right w:w="80" w:type="dxa"/>
            </w:tcMar>
            <w:vAlign w:val="center"/>
          </w:tcPr>
          <w:p w14:paraId="511E3D5C" w14:textId="77777777" w:rsidR="003D1DEF" w:rsidRDefault="00000000">
            <w:r>
              <w:rPr>
                <w:sz w:val="17"/>
              </w:rPr>
              <w:t>Children in CBP custody</w:t>
            </w:r>
          </w:p>
        </w:tc>
        <w:tc>
          <w:tcPr>
            <w:tcW w:w="3456" w:type="dxa"/>
            <w:shd w:val="clear" w:color="auto" w:fill="F7FAFC"/>
            <w:tcMar>
              <w:top w:w="80" w:type="dxa"/>
              <w:left w:w="80" w:type="dxa"/>
              <w:bottom w:w="80" w:type="dxa"/>
              <w:right w:w="80" w:type="dxa"/>
            </w:tcMar>
            <w:vAlign w:val="center"/>
          </w:tcPr>
          <w:p w14:paraId="1024DC43" w14:textId="77777777" w:rsidR="003D1DEF" w:rsidRDefault="00000000">
            <w:r>
              <w:rPr>
                <w:sz w:val="17"/>
              </w:rPr>
              <w:t>Active CBP custody load.</w:t>
            </w:r>
          </w:p>
        </w:tc>
        <w:tc>
          <w:tcPr>
            <w:tcW w:w="2880" w:type="dxa"/>
            <w:shd w:val="clear" w:color="auto" w:fill="F7FAFC"/>
            <w:tcMar>
              <w:top w:w="80" w:type="dxa"/>
              <w:left w:w="80" w:type="dxa"/>
              <w:bottom w:w="80" w:type="dxa"/>
              <w:right w:w="80" w:type="dxa"/>
            </w:tcMar>
            <w:vAlign w:val="center"/>
          </w:tcPr>
          <w:p w14:paraId="7122AC6F" w14:textId="77777777" w:rsidR="003D1DEF" w:rsidRDefault="00000000">
            <w:r>
              <w:rPr>
                <w:sz w:val="17"/>
              </w:rPr>
              <w:t>Measures upstream custody responsibility.</w:t>
            </w:r>
          </w:p>
        </w:tc>
      </w:tr>
      <w:tr w:rsidR="003D1DEF" w14:paraId="757E1D6B" w14:textId="77777777">
        <w:trPr>
          <w:jc w:val="center"/>
        </w:trPr>
        <w:tc>
          <w:tcPr>
            <w:tcW w:w="3456" w:type="dxa"/>
            <w:shd w:val="clear" w:color="auto" w:fill="FFFFFF"/>
            <w:tcMar>
              <w:top w:w="80" w:type="dxa"/>
              <w:left w:w="80" w:type="dxa"/>
              <w:bottom w:w="80" w:type="dxa"/>
              <w:right w:w="80" w:type="dxa"/>
            </w:tcMar>
            <w:vAlign w:val="center"/>
          </w:tcPr>
          <w:p w14:paraId="1CFAA939" w14:textId="77777777" w:rsidR="003D1DEF" w:rsidRDefault="00000000">
            <w:r>
              <w:rPr>
                <w:sz w:val="17"/>
              </w:rPr>
              <w:t>Children transferred out of CBP custody</w:t>
            </w:r>
          </w:p>
        </w:tc>
        <w:tc>
          <w:tcPr>
            <w:tcW w:w="3456" w:type="dxa"/>
            <w:shd w:val="clear" w:color="auto" w:fill="FFFFFF"/>
            <w:tcMar>
              <w:top w:w="80" w:type="dxa"/>
              <w:left w:w="80" w:type="dxa"/>
              <w:bottom w:w="80" w:type="dxa"/>
              <w:right w:w="80" w:type="dxa"/>
            </w:tcMar>
            <w:vAlign w:val="center"/>
          </w:tcPr>
          <w:p w14:paraId="573AABA6" w14:textId="77777777" w:rsidR="003D1DEF" w:rsidRDefault="00000000">
            <w:r>
              <w:rPr>
                <w:sz w:val="17"/>
              </w:rPr>
              <w:t>Flow into HHS system.</w:t>
            </w:r>
          </w:p>
        </w:tc>
        <w:tc>
          <w:tcPr>
            <w:tcW w:w="2880" w:type="dxa"/>
            <w:shd w:val="clear" w:color="auto" w:fill="FFFFFF"/>
            <w:tcMar>
              <w:top w:w="80" w:type="dxa"/>
              <w:left w:w="80" w:type="dxa"/>
              <w:bottom w:w="80" w:type="dxa"/>
              <w:right w:w="80" w:type="dxa"/>
            </w:tcMar>
            <w:vAlign w:val="center"/>
          </w:tcPr>
          <w:p w14:paraId="00D7E523" w14:textId="77777777" w:rsidR="003D1DEF" w:rsidRDefault="00000000">
            <w:r>
              <w:rPr>
                <w:sz w:val="17"/>
              </w:rPr>
              <w:t>Measures transfer pressure entering downstream care.</w:t>
            </w:r>
          </w:p>
        </w:tc>
      </w:tr>
      <w:tr w:rsidR="003D1DEF" w14:paraId="29592D59" w14:textId="77777777">
        <w:trPr>
          <w:jc w:val="center"/>
        </w:trPr>
        <w:tc>
          <w:tcPr>
            <w:tcW w:w="3456" w:type="dxa"/>
            <w:shd w:val="clear" w:color="auto" w:fill="F7FAFC"/>
            <w:tcMar>
              <w:top w:w="80" w:type="dxa"/>
              <w:left w:w="80" w:type="dxa"/>
              <w:bottom w:w="80" w:type="dxa"/>
              <w:right w:w="80" w:type="dxa"/>
            </w:tcMar>
            <w:vAlign w:val="center"/>
          </w:tcPr>
          <w:p w14:paraId="023B8A70" w14:textId="77777777" w:rsidR="003D1DEF" w:rsidRDefault="00000000">
            <w:r>
              <w:rPr>
                <w:sz w:val="17"/>
              </w:rPr>
              <w:t>Children in HHS Care</w:t>
            </w:r>
          </w:p>
        </w:tc>
        <w:tc>
          <w:tcPr>
            <w:tcW w:w="3456" w:type="dxa"/>
            <w:shd w:val="clear" w:color="auto" w:fill="F7FAFC"/>
            <w:tcMar>
              <w:top w:w="80" w:type="dxa"/>
              <w:left w:w="80" w:type="dxa"/>
              <w:bottom w:w="80" w:type="dxa"/>
              <w:right w:w="80" w:type="dxa"/>
            </w:tcMar>
            <w:vAlign w:val="center"/>
          </w:tcPr>
          <w:p w14:paraId="413A8D61" w14:textId="77777777" w:rsidR="003D1DEF" w:rsidRDefault="00000000">
            <w:r>
              <w:rPr>
                <w:sz w:val="17"/>
              </w:rPr>
              <w:t>Active HHS care load.</w:t>
            </w:r>
          </w:p>
        </w:tc>
        <w:tc>
          <w:tcPr>
            <w:tcW w:w="2880" w:type="dxa"/>
            <w:shd w:val="clear" w:color="auto" w:fill="F7FAFC"/>
            <w:tcMar>
              <w:top w:w="80" w:type="dxa"/>
              <w:left w:w="80" w:type="dxa"/>
              <w:bottom w:w="80" w:type="dxa"/>
              <w:right w:w="80" w:type="dxa"/>
            </w:tcMar>
            <w:vAlign w:val="center"/>
          </w:tcPr>
          <w:p w14:paraId="7E4E9FE6" w14:textId="77777777" w:rsidR="003D1DEF" w:rsidRDefault="00000000">
            <w:r>
              <w:rPr>
                <w:sz w:val="17"/>
              </w:rPr>
              <w:t>Measures downstream shelter and care responsibility.</w:t>
            </w:r>
          </w:p>
        </w:tc>
      </w:tr>
      <w:tr w:rsidR="003D1DEF" w14:paraId="0F9ABE09" w14:textId="77777777">
        <w:trPr>
          <w:jc w:val="center"/>
        </w:trPr>
        <w:tc>
          <w:tcPr>
            <w:tcW w:w="3456" w:type="dxa"/>
            <w:shd w:val="clear" w:color="auto" w:fill="FFFFFF"/>
            <w:tcMar>
              <w:top w:w="80" w:type="dxa"/>
              <w:left w:w="80" w:type="dxa"/>
              <w:bottom w:w="80" w:type="dxa"/>
              <w:right w:w="80" w:type="dxa"/>
            </w:tcMar>
            <w:vAlign w:val="center"/>
          </w:tcPr>
          <w:p w14:paraId="5D2D6D4C" w14:textId="77777777" w:rsidR="003D1DEF" w:rsidRDefault="00000000">
            <w:r>
              <w:rPr>
                <w:sz w:val="17"/>
              </w:rPr>
              <w:t>Children discharged from HHS Care</w:t>
            </w:r>
          </w:p>
        </w:tc>
        <w:tc>
          <w:tcPr>
            <w:tcW w:w="3456" w:type="dxa"/>
            <w:shd w:val="clear" w:color="auto" w:fill="FFFFFF"/>
            <w:tcMar>
              <w:top w:w="80" w:type="dxa"/>
              <w:left w:w="80" w:type="dxa"/>
              <w:bottom w:w="80" w:type="dxa"/>
              <w:right w:w="80" w:type="dxa"/>
            </w:tcMar>
            <w:vAlign w:val="center"/>
          </w:tcPr>
          <w:p w14:paraId="32C6DEC4" w14:textId="77777777" w:rsidR="003D1DEF" w:rsidRDefault="00000000">
            <w:r>
              <w:rPr>
                <w:sz w:val="17"/>
              </w:rPr>
              <w:t>Successful sponsor placements or relief from active HHS care.</w:t>
            </w:r>
          </w:p>
        </w:tc>
        <w:tc>
          <w:tcPr>
            <w:tcW w:w="2880" w:type="dxa"/>
            <w:shd w:val="clear" w:color="auto" w:fill="FFFFFF"/>
            <w:tcMar>
              <w:top w:w="80" w:type="dxa"/>
              <w:left w:w="80" w:type="dxa"/>
              <w:bottom w:w="80" w:type="dxa"/>
              <w:right w:w="80" w:type="dxa"/>
            </w:tcMar>
            <w:vAlign w:val="center"/>
          </w:tcPr>
          <w:p w14:paraId="125CDD19" w14:textId="77777777" w:rsidR="003D1DEF" w:rsidRDefault="00000000">
            <w:r>
              <w:rPr>
                <w:sz w:val="17"/>
              </w:rPr>
              <w:t>Measures outflow and relief capacity.</w:t>
            </w:r>
          </w:p>
        </w:tc>
      </w:tr>
    </w:tbl>
    <w:p w14:paraId="3E790A5B" w14:textId="77777777" w:rsidR="003D1DEF" w:rsidRDefault="003D1DEF"/>
    <w:p w14:paraId="448F098B" w14:textId="77777777" w:rsidR="003D1DEF" w:rsidRDefault="00000000">
      <w:pPr>
        <w:pStyle w:val="Heading2"/>
        <w:spacing w:before="160" w:after="80"/>
      </w:pPr>
      <w:r>
        <w:rPr>
          <w:rFonts w:ascii="Calibri" w:hAnsi="Calibri"/>
          <w:color w:val="0F766E"/>
        </w:rPr>
        <w:t>Derived Analytical Metrics</w:t>
      </w:r>
    </w:p>
    <w:tbl>
      <w:tblPr>
        <w:tblStyle w:val="TableGrid"/>
        <w:tblW w:w="0" w:type="auto"/>
        <w:jc w:val="center"/>
        <w:tblLook w:val="04A0" w:firstRow="1" w:lastRow="0" w:firstColumn="1" w:lastColumn="0" w:noHBand="0" w:noVBand="1"/>
      </w:tblPr>
      <w:tblGrid>
        <w:gridCol w:w="2592"/>
        <w:gridCol w:w="4176"/>
        <w:gridCol w:w="2880"/>
      </w:tblGrid>
      <w:tr w:rsidR="003D1DEF" w14:paraId="2D4B4E4F" w14:textId="77777777">
        <w:trPr>
          <w:tblHeader/>
          <w:jc w:val="center"/>
        </w:trPr>
        <w:tc>
          <w:tcPr>
            <w:tcW w:w="2592" w:type="dxa"/>
            <w:shd w:val="clear" w:color="auto" w:fill="0B3D5C"/>
            <w:tcMar>
              <w:top w:w="80" w:type="dxa"/>
              <w:left w:w="80" w:type="dxa"/>
              <w:bottom w:w="80" w:type="dxa"/>
              <w:right w:w="80" w:type="dxa"/>
            </w:tcMar>
            <w:vAlign w:val="center"/>
          </w:tcPr>
          <w:p w14:paraId="3E6DF416" w14:textId="77777777" w:rsidR="003D1DEF" w:rsidRDefault="00000000">
            <w:r>
              <w:rPr>
                <w:b/>
                <w:color w:val="FFFFFF"/>
                <w:sz w:val="17"/>
              </w:rPr>
              <w:t>Derived Metric</w:t>
            </w:r>
          </w:p>
        </w:tc>
        <w:tc>
          <w:tcPr>
            <w:tcW w:w="4176" w:type="dxa"/>
            <w:shd w:val="clear" w:color="auto" w:fill="0B3D5C"/>
            <w:tcMar>
              <w:top w:w="80" w:type="dxa"/>
              <w:left w:w="80" w:type="dxa"/>
              <w:bottom w:w="80" w:type="dxa"/>
              <w:right w:w="80" w:type="dxa"/>
            </w:tcMar>
            <w:vAlign w:val="center"/>
          </w:tcPr>
          <w:p w14:paraId="1B39BAA0" w14:textId="77777777" w:rsidR="003D1DEF" w:rsidRDefault="00000000">
            <w:r>
              <w:rPr>
                <w:b/>
                <w:color w:val="FFFFFF"/>
                <w:sz w:val="17"/>
              </w:rPr>
              <w:t>Formula / Logic</w:t>
            </w:r>
          </w:p>
        </w:tc>
        <w:tc>
          <w:tcPr>
            <w:tcW w:w="2880" w:type="dxa"/>
            <w:shd w:val="clear" w:color="auto" w:fill="0B3D5C"/>
            <w:tcMar>
              <w:top w:w="80" w:type="dxa"/>
              <w:left w:w="80" w:type="dxa"/>
              <w:bottom w:w="80" w:type="dxa"/>
              <w:right w:w="80" w:type="dxa"/>
            </w:tcMar>
            <w:vAlign w:val="center"/>
          </w:tcPr>
          <w:p w14:paraId="10B93C4F" w14:textId="77777777" w:rsidR="003D1DEF" w:rsidRDefault="00000000">
            <w:r>
              <w:rPr>
                <w:b/>
                <w:color w:val="FFFFFF"/>
                <w:sz w:val="17"/>
              </w:rPr>
              <w:t>Purpose</w:t>
            </w:r>
          </w:p>
        </w:tc>
      </w:tr>
      <w:tr w:rsidR="003D1DEF" w14:paraId="46A96EC4" w14:textId="77777777">
        <w:trPr>
          <w:jc w:val="center"/>
        </w:trPr>
        <w:tc>
          <w:tcPr>
            <w:tcW w:w="2592" w:type="dxa"/>
            <w:shd w:val="clear" w:color="auto" w:fill="F7FAFC"/>
            <w:tcMar>
              <w:top w:w="80" w:type="dxa"/>
              <w:left w:w="80" w:type="dxa"/>
              <w:bottom w:w="80" w:type="dxa"/>
              <w:right w:w="80" w:type="dxa"/>
            </w:tcMar>
            <w:vAlign w:val="center"/>
          </w:tcPr>
          <w:p w14:paraId="3D07FB99" w14:textId="77777777" w:rsidR="003D1DEF" w:rsidRDefault="00000000">
            <w:r>
              <w:rPr>
                <w:sz w:val="17"/>
              </w:rPr>
              <w:t>Total System Load</w:t>
            </w:r>
          </w:p>
        </w:tc>
        <w:tc>
          <w:tcPr>
            <w:tcW w:w="4176" w:type="dxa"/>
            <w:shd w:val="clear" w:color="auto" w:fill="F7FAFC"/>
            <w:tcMar>
              <w:top w:w="80" w:type="dxa"/>
              <w:left w:w="80" w:type="dxa"/>
              <w:bottom w:w="80" w:type="dxa"/>
              <w:right w:w="80" w:type="dxa"/>
            </w:tcMar>
            <w:vAlign w:val="center"/>
          </w:tcPr>
          <w:p w14:paraId="764C00AF" w14:textId="77777777" w:rsidR="003D1DEF" w:rsidRDefault="00000000">
            <w:r>
              <w:rPr>
                <w:sz w:val="17"/>
              </w:rPr>
              <w:t>CBP Custody + HHS Care.</w:t>
            </w:r>
          </w:p>
        </w:tc>
        <w:tc>
          <w:tcPr>
            <w:tcW w:w="2880" w:type="dxa"/>
            <w:shd w:val="clear" w:color="auto" w:fill="F7FAFC"/>
            <w:tcMar>
              <w:top w:w="80" w:type="dxa"/>
              <w:left w:w="80" w:type="dxa"/>
              <w:bottom w:w="80" w:type="dxa"/>
              <w:right w:w="80" w:type="dxa"/>
            </w:tcMar>
            <w:vAlign w:val="center"/>
          </w:tcPr>
          <w:p w14:paraId="5CC32D30" w14:textId="77777777" w:rsidR="003D1DEF" w:rsidRDefault="00000000">
            <w:r>
              <w:rPr>
                <w:sz w:val="17"/>
              </w:rPr>
              <w:t>Measures total children under active system responsibility.</w:t>
            </w:r>
          </w:p>
        </w:tc>
      </w:tr>
      <w:tr w:rsidR="003D1DEF" w14:paraId="6C506531" w14:textId="77777777">
        <w:trPr>
          <w:jc w:val="center"/>
        </w:trPr>
        <w:tc>
          <w:tcPr>
            <w:tcW w:w="2592" w:type="dxa"/>
            <w:shd w:val="clear" w:color="auto" w:fill="FFFFFF"/>
            <w:tcMar>
              <w:top w:w="80" w:type="dxa"/>
              <w:left w:w="80" w:type="dxa"/>
              <w:bottom w:w="80" w:type="dxa"/>
              <w:right w:w="80" w:type="dxa"/>
            </w:tcMar>
            <w:vAlign w:val="center"/>
          </w:tcPr>
          <w:p w14:paraId="6D0B375B" w14:textId="77777777" w:rsidR="003D1DEF" w:rsidRDefault="00000000">
            <w:r>
              <w:rPr>
                <w:sz w:val="17"/>
              </w:rPr>
              <w:t>Net Daily Intake</w:t>
            </w:r>
          </w:p>
        </w:tc>
        <w:tc>
          <w:tcPr>
            <w:tcW w:w="4176" w:type="dxa"/>
            <w:shd w:val="clear" w:color="auto" w:fill="FFFFFF"/>
            <w:tcMar>
              <w:top w:w="80" w:type="dxa"/>
              <w:left w:w="80" w:type="dxa"/>
              <w:bottom w:w="80" w:type="dxa"/>
              <w:right w:w="80" w:type="dxa"/>
            </w:tcMar>
            <w:vAlign w:val="center"/>
          </w:tcPr>
          <w:p w14:paraId="62579C50" w14:textId="77777777" w:rsidR="003D1DEF" w:rsidRDefault="00000000">
            <w:r>
              <w:rPr>
                <w:sz w:val="17"/>
              </w:rPr>
              <w:t>Transfers into HHS - HHS Discharges.</w:t>
            </w:r>
          </w:p>
        </w:tc>
        <w:tc>
          <w:tcPr>
            <w:tcW w:w="2880" w:type="dxa"/>
            <w:shd w:val="clear" w:color="auto" w:fill="FFFFFF"/>
            <w:tcMar>
              <w:top w:w="80" w:type="dxa"/>
              <w:left w:w="80" w:type="dxa"/>
              <w:bottom w:w="80" w:type="dxa"/>
              <w:right w:w="80" w:type="dxa"/>
            </w:tcMar>
            <w:vAlign w:val="center"/>
          </w:tcPr>
          <w:p w14:paraId="56148573" w14:textId="77777777" w:rsidR="003D1DEF" w:rsidRDefault="00000000">
            <w:r>
              <w:rPr>
                <w:sz w:val="17"/>
              </w:rPr>
              <w:t>Measures whether pressure is building or relief is improving.</w:t>
            </w:r>
          </w:p>
        </w:tc>
      </w:tr>
      <w:tr w:rsidR="003D1DEF" w14:paraId="4A581592" w14:textId="77777777">
        <w:trPr>
          <w:jc w:val="center"/>
        </w:trPr>
        <w:tc>
          <w:tcPr>
            <w:tcW w:w="2592" w:type="dxa"/>
            <w:shd w:val="clear" w:color="auto" w:fill="F7FAFC"/>
            <w:tcMar>
              <w:top w:w="80" w:type="dxa"/>
              <w:left w:w="80" w:type="dxa"/>
              <w:bottom w:w="80" w:type="dxa"/>
              <w:right w:w="80" w:type="dxa"/>
            </w:tcMar>
            <w:vAlign w:val="center"/>
          </w:tcPr>
          <w:p w14:paraId="6346EF87" w14:textId="77777777" w:rsidR="003D1DEF" w:rsidRDefault="00000000">
            <w:r>
              <w:rPr>
                <w:sz w:val="17"/>
              </w:rPr>
              <w:t>Care Load Growth Rate</w:t>
            </w:r>
          </w:p>
        </w:tc>
        <w:tc>
          <w:tcPr>
            <w:tcW w:w="4176" w:type="dxa"/>
            <w:shd w:val="clear" w:color="auto" w:fill="F7FAFC"/>
            <w:tcMar>
              <w:top w:w="80" w:type="dxa"/>
              <w:left w:w="80" w:type="dxa"/>
              <w:bottom w:w="80" w:type="dxa"/>
              <w:right w:w="80" w:type="dxa"/>
            </w:tcMar>
            <w:vAlign w:val="center"/>
          </w:tcPr>
          <w:p w14:paraId="335FE915" w14:textId="77777777" w:rsidR="003D1DEF" w:rsidRDefault="00000000">
            <w:r>
              <w:rPr>
                <w:sz w:val="17"/>
              </w:rPr>
              <w:t>Day-over-day percentage change in system load.</w:t>
            </w:r>
          </w:p>
        </w:tc>
        <w:tc>
          <w:tcPr>
            <w:tcW w:w="2880" w:type="dxa"/>
            <w:shd w:val="clear" w:color="auto" w:fill="F7FAFC"/>
            <w:tcMar>
              <w:top w:w="80" w:type="dxa"/>
              <w:left w:w="80" w:type="dxa"/>
              <w:bottom w:w="80" w:type="dxa"/>
              <w:right w:w="80" w:type="dxa"/>
            </w:tcMar>
            <w:vAlign w:val="center"/>
          </w:tcPr>
          <w:p w14:paraId="017D98B5" w14:textId="77777777" w:rsidR="003D1DEF" w:rsidRDefault="00000000">
            <w:r>
              <w:rPr>
                <w:sz w:val="17"/>
              </w:rPr>
              <w:t>Measures movement and volatility.</w:t>
            </w:r>
          </w:p>
        </w:tc>
      </w:tr>
      <w:tr w:rsidR="003D1DEF" w14:paraId="4663990F" w14:textId="77777777">
        <w:trPr>
          <w:jc w:val="center"/>
        </w:trPr>
        <w:tc>
          <w:tcPr>
            <w:tcW w:w="2592" w:type="dxa"/>
            <w:shd w:val="clear" w:color="auto" w:fill="FFFFFF"/>
            <w:tcMar>
              <w:top w:w="80" w:type="dxa"/>
              <w:left w:w="80" w:type="dxa"/>
              <w:bottom w:w="80" w:type="dxa"/>
              <w:right w:w="80" w:type="dxa"/>
            </w:tcMar>
            <w:vAlign w:val="center"/>
          </w:tcPr>
          <w:p w14:paraId="30405643" w14:textId="77777777" w:rsidR="003D1DEF" w:rsidRDefault="00000000">
            <w:r>
              <w:rPr>
                <w:sz w:val="17"/>
              </w:rPr>
              <w:t>Positive Net Intake Flag</w:t>
            </w:r>
          </w:p>
        </w:tc>
        <w:tc>
          <w:tcPr>
            <w:tcW w:w="4176" w:type="dxa"/>
            <w:shd w:val="clear" w:color="auto" w:fill="FFFFFF"/>
            <w:tcMar>
              <w:top w:w="80" w:type="dxa"/>
              <w:left w:w="80" w:type="dxa"/>
              <w:bottom w:w="80" w:type="dxa"/>
              <w:right w:w="80" w:type="dxa"/>
            </w:tcMar>
            <w:vAlign w:val="center"/>
          </w:tcPr>
          <w:p w14:paraId="2F3A0D93" w14:textId="77777777" w:rsidR="003D1DEF" w:rsidRDefault="00000000">
            <w:r>
              <w:rPr>
                <w:sz w:val="17"/>
              </w:rPr>
              <w:t>1 when Net Daily Intake is positive.</w:t>
            </w:r>
          </w:p>
        </w:tc>
        <w:tc>
          <w:tcPr>
            <w:tcW w:w="2880" w:type="dxa"/>
            <w:shd w:val="clear" w:color="auto" w:fill="FFFFFF"/>
            <w:tcMar>
              <w:top w:w="80" w:type="dxa"/>
              <w:left w:w="80" w:type="dxa"/>
              <w:bottom w:w="80" w:type="dxa"/>
              <w:right w:w="80" w:type="dxa"/>
            </w:tcMar>
            <w:vAlign w:val="center"/>
          </w:tcPr>
          <w:p w14:paraId="612793F2" w14:textId="77777777" w:rsidR="003D1DEF" w:rsidRDefault="00000000">
            <w:r>
              <w:rPr>
                <w:sz w:val="17"/>
              </w:rPr>
              <w:t>Identifies pressure days.</w:t>
            </w:r>
          </w:p>
        </w:tc>
      </w:tr>
      <w:tr w:rsidR="003D1DEF" w14:paraId="36E15443" w14:textId="77777777">
        <w:trPr>
          <w:jc w:val="center"/>
        </w:trPr>
        <w:tc>
          <w:tcPr>
            <w:tcW w:w="2592" w:type="dxa"/>
            <w:shd w:val="clear" w:color="auto" w:fill="F7FAFC"/>
            <w:tcMar>
              <w:top w:w="80" w:type="dxa"/>
              <w:left w:w="80" w:type="dxa"/>
              <w:bottom w:w="80" w:type="dxa"/>
              <w:right w:w="80" w:type="dxa"/>
            </w:tcMar>
            <w:vAlign w:val="center"/>
          </w:tcPr>
          <w:p w14:paraId="75F3AEBC" w14:textId="77777777" w:rsidR="003D1DEF" w:rsidRDefault="00000000">
            <w:r>
              <w:rPr>
                <w:sz w:val="17"/>
              </w:rPr>
              <w:t>Backlog Severity Score</w:t>
            </w:r>
          </w:p>
        </w:tc>
        <w:tc>
          <w:tcPr>
            <w:tcW w:w="4176" w:type="dxa"/>
            <w:shd w:val="clear" w:color="auto" w:fill="F7FAFC"/>
            <w:tcMar>
              <w:top w:w="80" w:type="dxa"/>
              <w:left w:w="80" w:type="dxa"/>
              <w:bottom w:w="80" w:type="dxa"/>
              <w:right w:w="80" w:type="dxa"/>
            </w:tcMar>
            <w:vAlign w:val="center"/>
          </w:tcPr>
          <w:p w14:paraId="20835DC8" w14:textId="77777777" w:rsidR="003D1DEF" w:rsidRDefault="00000000">
            <w:r>
              <w:rPr>
                <w:sz w:val="17"/>
              </w:rPr>
              <w:t>Sustained sequence logic over positive pressure periods.</w:t>
            </w:r>
          </w:p>
        </w:tc>
        <w:tc>
          <w:tcPr>
            <w:tcW w:w="2880" w:type="dxa"/>
            <w:shd w:val="clear" w:color="auto" w:fill="F7FAFC"/>
            <w:tcMar>
              <w:top w:w="80" w:type="dxa"/>
              <w:left w:w="80" w:type="dxa"/>
              <w:bottom w:w="80" w:type="dxa"/>
              <w:right w:w="80" w:type="dxa"/>
            </w:tcMar>
            <w:vAlign w:val="center"/>
          </w:tcPr>
          <w:p w14:paraId="6AB18251" w14:textId="77777777" w:rsidR="003D1DEF" w:rsidRDefault="00000000">
            <w:r>
              <w:rPr>
                <w:sz w:val="17"/>
              </w:rPr>
              <w:t>Measures accumulation intensity.</w:t>
            </w:r>
          </w:p>
        </w:tc>
      </w:tr>
      <w:tr w:rsidR="003D1DEF" w14:paraId="7B145D16" w14:textId="77777777">
        <w:trPr>
          <w:jc w:val="center"/>
        </w:trPr>
        <w:tc>
          <w:tcPr>
            <w:tcW w:w="2592" w:type="dxa"/>
            <w:shd w:val="clear" w:color="auto" w:fill="FFFFFF"/>
            <w:tcMar>
              <w:top w:w="80" w:type="dxa"/>
              <w:left w:w="80" w:type="dxa"/>
              <w:bottom w:w="80" w:type="dxa"/>
              <w:right w:w="80" w:type="dxa"/>
            </w:tcMar>
            <w:vAlign w:val="center"/>
          </w:tcPr>
          <w:p w14:paraId="7D6A6B53" w14:textId="77777777" w:rsidR="003D1DEF" w:rsidRDefault="00000000">
            <w:r>
              <w:rPr>
                <w:sz w:val="17"/>
              </w:rPr>
              <w:t>Rolling Averages</w:t>
            </w:r>
          </w:p>
        </w:tc>
        <w:tc>
          <w:tcPr>
            <w:tcW w:w="4176" w:type="dxa"/>
            <w:shd w:val="clear" w:color="auto" w:fill="FFFFFF"/>
            <w:tcMar>
              <w:top w:w="80" w:type="dxa"/>
              <w:left w:w="80" w:type="dxa"/>
              <w:bottom w:w="80" w:type="dxa"/>
              <w:right w:w="80" w:type="dxa"/>
            </w:tcMar>
            <w:vAlign w:val="center"/>
          </w:tcPr>
          <w:p w14:paraId="76A438F3" w14:textId="77777777" w:rsidR="003D1DEF" w:rsidRDefault="00000000">
            <w:r>
              <w:rPr>
                <w:sz w:val="17"/>
              </w:rPr>
              <w:t>7-day and 14-day rolling means.</w:t>
            </w:r>
          </w:p>
        </w:tc>
        <w:tc>
          <w:tcPr>
            <w:tcW w:w="2880" w:type="dxa"/>
            <w:shd w:val="clear" w:color="auto" w:fill="FFFFFF"/>
            <w:tcMar>
              <w:top w:w="80" w:type="dxa"/>
              <w:left w:w="80" w:type="dxa"/>
              <w:bottom w:w="80" w:type="dxa"/>
              <w:right w:w="80" w:type="dxa"/>
            </w:tcMar>
            <w:vAlign w:val="center"/>
          </w:tcPr>
          <w:p w14:paraId="1529AE67" w14:textId="77777777" w:rsidR="003D1DEF" w:rsidRDefault="00000000">
            <w:r>
              <w:rPr>
                <w:sz w:val="17"/>
              </w:rPr>
              <w:t>Smooths short-term reporting noise.</w:t>
            </w:r>
          </w:p>
        </w:tc>
      </w:tr>
      <w:tr w:rsidR="003D1DEF" w14:paraId="2290F51A" w14:textId="77777777">
        <w:trPr>
          <w:jc w:val="center"/>
        </w:trPr>
        <w:tc>
          <w:tcPr>
            <w:tcW w:w="2592" w:type="dxa"/>
            <w:shd w:val="clear" w:color="auto" w:fill="F7FAFC"/>
            <w:tcMar>
              <w:top w:w="80" w:type="dxa"/>
              <w:left w:w="80" w:type="dxa"/>
              <w:bottom w:w="80" w:type="dxa"/>
              <w:right w:w="80" w:type="dxa"/>
            </w:tcMar>
            <w:vAlign w:val="center"/>
          </w:tcPr>
          <w:p w14:paraId="5744139F" w14:textId="77777777" w:rsidR="003D1DEF" w:rsidRDefault="00000000">
            <w:r>
              <w:rPr>
                <w:sz w:val="17"/>
              </w:rPr>
              <w:t>Final Pressure Stress Level</w:t>
            </w:r>
          </w:p>
        </w:tc>
        <w:tc>
          <w:tcPr>
            <w:tcW w:w="4176" w:type="dxa"/>
            <w:shd w:val="clear" w:color="auto" w:fill="F7FAFC"/>
            <w:tcMar>
              <w:top w:w="80" w:type="dxa"/>
              <w:left w:w="80" w:type="dxa"/>
              <w:bottom w:w="80" w:type="dxa"/>
              <w:right w:w="80" w:type="dxa"/>
            </w:tcMar>
            <w:vAlign w:val="center"/>
          </w:tcPr>
          <w:p w14:paraId="69B193B3" w14:textId="77777777" w:rsidR="003D1DEF" w:rsidRDefault="00000000">
            <w:r>
              <w:rPr>
                <w:sz w:val="17"/>
              </w:rPr>
              <w:t>Composite stress classification.</w:t>
            </w:r>
          </w:p>
        </w:tc>
        <w:tc>
          <w:tcPr>
            <w:tcW w:w="2880" w:type="dxa"/>
            <w:shd w:val="clear" w:color="auto" w:fill="F7FAFC"/>
            <w:tcMar>
              <w:top w:w="80" w:type="dxa"/>
              <w:left w:w="80" w:type="dxa"/>
              <w:bottom w:w="80" w:type="dxa"/>
              <w:right w:w="80" w:type="dxa"/>
            </w:tcMar>
            <w:vAlign w:val="center"/>
          </w:tcPr>
          <w:p w14:paraId="5C7C2B2B" w14:textId="77777777" w:rsidR="003D1DEF" w:rsidRDefault="00000000">
            <w:r>
              <w:rPr>
                <w:sz w:val="17"/>
              </w:rPr>
              <w:t>Converts multiple signals into operating pressure categories.</w:t>
            </w:r>
          </w:p>
        </w:tc>
      </w:tr>
    </w:tbl>
    <w:p w14:paraId="2E17B02D" w14:textId="77777777" w:rsidR="003D1DEF" w:rsidRDefault="003D1DEF"/>
    <w:tbl>
      <w:tblPr>
        <w:tblStyle w:val="TableGrid"/>
        <w:tblW w:w="0" w:type="auto"/>
        <w:tblLook w:val="04A0" w:firstRow="1" w:lastRow="0" w:firstColumn="1" w:lastColumn="0" w:noHBand="0" w:noVBand="1"/>
      </w:tblPr>
      <w:tblGrid>
        <w:gridCol w:w="10037"/>
      </w:tblGrid>
      <w:tr w:rsidR="003D1DEF" w14:paraId="6DF0A96E" w14:textId="77777777">
        <w:trPr>
          <w:tblHeader/>
        </w:trPr>
        <w:tc>
          <w:tcPr>
            <w:tcW w:w="10037" w:type="dxa"/>
            <w:shd w:val="clear" w:color="auto" w:fill="EAF8F6"/>
            <w:tcMar>
              <w:top w:w="120" w:type="dxa"/>
              <w:left w:w="120" w:type="dxa"/>
              <w:bottom w:w="120" w:type="dxa"/>
              <w:right w:w="120" w:type="dxa"/>
            </w:tcMar>
          </w:tcPr>
          <w:p w14:paraId="5DCE7DFF" w14:textId="77777777" w:rsidR="003D1DEF" w:rsidRDefault="00000000">
            <w:r>
              <w:rPr>
                <w:b/>
                <w:color w:val="0F766E"/>
                <w:sz w:val="20"/>
              </w:rPr>
              <w:t>Dataset Readiness Assessment</w:t>
            </w:r>
          </w:p>
          <w:p w14:paraId="55C47CB2" w14:textId="77777777" w:rsidR="003D1DEF" w:rsidRDefault="00000000">
            <w:r>
              <w:rPr>
                <w:sz w:val="20"/>
              </w:rPr>
              <w:t>The dataset is suitable for descriptive, diagnostic, and dashboard-driven healthcare capacity analytics because it contains the minimum required stock and flow variables: CBP custody, HHS care, transfers into HHS, and HHS discharges. These fields are sufficient to create system-load, net-intake, discharge-offset, backlog, and stress-classification metrics.</w:t>
            </w:r>
          </w:p>
        </w:tc>
      </w:tr>
    </w:tbl>
    <w:p w14:paraId="44A0C8F6" w14:textId="77777777" w:rsidR="003D1DEF" w:rsidRDefault="003D1DEF"/>
    <w:p w14:paraId="674A63B3" w14:textId="77777777" w:rsidR="003D1DEF" w:rsidRDefault="00000000">
      <w:r>
        <w:br w:type="page"/>
      </w:r>
    </w:p>
    <w:p w14:paraId="2BDFBE2B" w14:textId="77777777" w:rsidR="003D1DEF" w:rsidRDefault="00000000">
      <w:pPr>
        <w:pStyle w:val="Heading1"/>
        <w:spacing w:after="200"/>
      </w:pPr>
      <w:r>
        <w:rPr>
          <w:rFonts w:ascii="Calibri" w:hAnsi="Calibri"/>
          <w:color w:val="0B1F3A"/>
          <w:sz w:val="36"/>
        </w:rPr>
        <w:lastRenderedPageBreak/>
        <w:t>7. Methodology and Data Governance</w:t>
      </w:r>
    </w:p>
    <w:p w14:paraId="418F3FED" w14:textId="77777777" w:rsidR="003D1DEF" w:rsidRDefault="00000000">
      <w:pPr>
        <w:jc w:val="both"/>
      </w:pPr>
      <w:r>
        <w:t>The methodology follows a structured data analytics workflow: ingestion, validation, preprocessing, feature engineering, exploratory analysis, KPI calculation, stress classification, dashboard visualization, and recommendation development. The objective is not only to display the data but to ensure that dashboard evidence is reproducible, interpretable, and aligned with public-sector capacity planning.</w:t>
      </w:r>
    </w:p>
    <w:p w14:paraId="2F944BCD" w14:textId="77777777" w:rsidR="003D1DEF" w:rsidRDefault="00000000">
      <w:pPr>
        <w:pStyle w:val="Heading2"/>
        <w:spacing w:before="160" w:after="80"/>
      </w:pPr>
      <w:r>
        <w:rPr>
          <w:rFonts w:ascii="Calibri" w:hAnsi="Calibri"/>
          <w:color w:val="0F766E"/>
        </w:rPr>
        <w:t>7.1 Data Ingestion and Structuring</w:t>
      </w:r>
    </w:p>
    <w:p w14:paraId="672CD61B" w14:textId="77777777" w:rsidR="003D1DEF" w:rsidRDefault="00000000">
      <w:pPr>
        <w:jc w:val="both"/>
      </w:pPr>
      <w:r>
        <w:t>Daily records are loaded from processed CSV datasets and transformed into canonical dashboard columns. The app structure supports multiple file locations and processed outputs, which makes the dashboard more resilient to project-folder differences. Dates are parsed into datetime format, then sorted chronologically to preserve time-series integrity.</w:t>
      </w:r>
    </w:p>
    <w:p w14:paraId="3E1EB375" w14:textId="77777777" w:rsidR="003D1DEF" w:rsidRDefault="00000000">
      <w:pPr>
        <w:pStyle w:val="Heading2"/>
        <w:spacing w:before="160" w:after="80"/>
      </w:pPr>
      <w:r>
        <w:rPr>
          <w:rFonts w:ascii="Calibri" w:hAnsi="Calibri"/>
          <w:color w:val="0F766E"/>
        </w:rPr>
        <w:t>7.2 Data Quality and Validation</w:t>
      </w:r>
    </w:p>
    <w:p w14:paraId="3AD76DB0" w14:textId="77777777" w:rsidR="003D1DEF" w:rsidRDefault="00000000">
      <w:pPr>
        <w:jc w:val="both"/>
      </w:pPr>
      <w:r>
        <w:t>Data quality checks should include missing-date review, duplicate-date review, numeric conversion, and logical validation. Logical validation is important because transfers and discharges are flow variables that must be interpreted in relation to active load variables. Invalid dates, nonnumeric counts, duplicate records, and missing load values can distort KPI calculations and trend charts.</w:t>
      </w:r>
    </w:p>
    <w:p w14:paraId="7597DF23" w14:textId="77777777" w:rsidR="003D1DEF" w:rsidRDefault="00000000">
      <w:pPr>
        <w:pStyle w:val="Heading2"/>
        <w:spacing w:before="160" w:after="80"/>
      </w:pPr>
      <w:r>
        <w:rPr>
          <w:rFonts w:ascii="Calibri" w:hAnsi="Calibri"/>
          <w:color w:val="0F766E"/>
        </w:rPr>
        <w:t>7.3 Feature Engineering</w:t>
      </w:r>
    </w:p>
    <w:p w14:paraId="5E5838A0" w14:textId="77777777" w:rsidR="003D1DEF" w:rsidRDefault="00000000">
      <w:pPr>
        <w:jc w:val="both"/>
      </w:pPr>
      <w:r>
        <w:t>Feature engineering converts raw counts into operational signals. Total System Load measures system-wide responsibility. Net Daily Intake measures inflow-outflow balance. Care Load Growth Rate identifies movement and volatility. Positive Net Intake Flags identify pressure days. Backlog Severity Scores detect accumulation. Rolling averages reduce reporting noise and provide short-term versus longer-term trend context.</w:t>
      </w:r>
    </w:p>
    <w:p w14:paraId="79813627" w14:textId="77777777" w:rsidR="003D1DEF" w:rsidRDefault="00000000">
      <w:pPr>
        <w:pStyle w:val="Heading2"/>
        <w:spacing w:before="160" w:after="80"/>
      </w:pPr>
      <w:r>
        <w:rPr>
          <w:rFonts w:ascii="Calibri" w:hAnsi="Calibri"/>
          <w:color w:val="0F766E"/>
        </w:rPr>
        <w:t>7.4 Analytical Models and Methods</w:t>
      </w:r>
    </w:p>
    <w:p w14:paraId="6D0762D0" w14:textId="77777777" w:rsidR="003D1DEF" w:rsidRDefault="00000000">
      <w:pPr>
        <w:jc w:val="both"/>
      </w:pPr>
      <w:r>
        <w:t>The dashboard uses descriptive analytics, diagnostic analytics, rolling time-series analysis, stock-and-flow analysis, threshold-free pressure interpretation, stress classification, and dashboard-based scenario analysis. The current paper does not claim causal inference or predictive forecasting. It is a decision-support report that identifies patterns and operating signals from the available data.</w:t>
      </w:r>
    </w:p>
    <w:tbl>
      <w:tblPr>
        <w:tblStyle w:val="TableGrid"/>
        <w:tblW w:w="0" w:type="auto"/>
        <w:jc w:val="center"/>
        <w:tblLook w:val="04A0" w:firstRow="1" w:lastRow="0" w:firstColumn="1" w:lastColumn="0" w:noHBand="0" w:noVBand="1"/>
      </w:tblPr>
      <w:tblGrid>
        <w:gridCol w:w="2160"/>
        <w:gridCol w:w="3168"/>
        <w:gridCol w:w="2448"/>
        <w:gridCol w:w="2304"/>
      </w:tblGrid>
      <w:tr w:rsidR="003D1DEF" w14:paraId="1C101751" w14:textId="77777777">
        <w:trPr>
          <w:tblHeader/>
          <w:jc w:val="center"/>
        </w:trPr>
        <w:tc>
          <w:tcPr>
            <w:tcW w:w="2160" w:type="dxa"/>
            <w:shd w:val="clear" w:color="auto" w:fill="0B3D5C"/>
            <w:tcMar>
              <w:top w:w="80" w:type="dxa"/>
              <w:left w:w="80" w:type="dxa"/>
              <w:bottom w:w="80" w:type="dxa"/>
              <w:right w:w="80" w:type="dxa"/>
            </w:tcMar>
            <w:vAlign w:val="center"/>
          </w:tcPr>
          <w:p w14:paraId="4F66AE16" w14:textId="77777777" w:rsidR="003D1DEF" w:rsidRDefault="00000000">
            <w:r>
              <w:rPr>
                <w:b/>
                <w:color w:val="FFFFFF"/>
                <w:sz w:val="15"/>
              </w:rPr>
              <w:t>Methodological Step</w:t>
            </w:r>
          </w:p>
        </w:tc>
        <w:tc>
          <w:tcPr>
            <w:tcW w:w="3168" w:type="dxa"/>
            <w:shd w:val="clear" w:color="auto" w:fill="0B3D5C"/>
            <w:tcMar>
              <w:top w:w="80" w:type="dxa"/>
              <w:left w:w="80" w:type="dxa"/>
              <w:bottom w:w="80" w:type="dxa"/>
              <w:right w:w="80" w:type="dxa"/>
            </w:tcMar>
            <w:vAlign w:val="center"/>
          </w:tcPr>
          <w:p w14:paraId="31316AD1" w14:textId="77777777" w:rsidR="003D1DEF" w:rsidRDefault="00000000">
            <w:r>
              <w:rPr>
                <w:b/>
                <w:color w:val="FFFFFF"/>
                <w:sz w:val="15"/>
              </w:rPr>
              <w:t>Technique</w:t>
            </w:r>
          </w:p>
        </w:tc>
        <w:tc>
          <w:tcPr>
            <w:tcW w:w="2448" w:type="dxa"/>
            <w:shd w:val="clear" w:color="auto" w:fill="0B3D5C"/>
            <w:tcMar>
              <w:top w:w="80" w:type="dxa"/>
              <w:left w:w="80" w:type="dxa"/>
              <w:bottom w:w="80" w:type="dxa"/>
              <w:right w:w="80" w:type="dxa"/>
            </w:tcMar>
            <w:vAlign w:val="center"/>
          </w:tcPr>
          <w:p w14:paraId="4FDBB22F" w14:textId="77777777" w:rsidR="003D1DEF" w:rsidRDefault="00000000">
            <w:r>
              <w:rPr>
                <w:b/>
                <w:color w:val="FFFFFF"/>
                <w:sz w:val="15"/>
              </w:rPr>
              <w:t>Output</w:t>
            </w:r>
          </w:p>
        </w:tc>
        <w:tc>
          <w:tcPr>
            <w:tcW w:w="2304" w:type="dxa"/>
            <w:shd w:val="clear" w:color="auto" w:fill="0B3D5C"/>
            <w:tcMar>
              <w:top w:w="80" w:type="dxa"/>
              <w:left w:w="80" w:type="dxa"/>
              <w:bottom w:w="80" w:type="dxa"/>
              <w:right w:w="80" w:type="dxa"/>
            </w:tcMar>
            <w:vAlign w:val="center"/>
          </w:tcPr>
          <w:p w14:paraId="3A4FA23F" w14:textId="77777777" w:rsidR="003D1DEF" w:rsidRDefault="00000000">
            <w:r>
              <w:rPr>
                <w:b/>
                <w:color w:val="FFFFFF"/>
                <w:sz w:val="15"/>
              </w:rPr>
              <w:t>Governance Value</w:t>
            </w:r>
          </w:p>
        </w:tc>
      </w:tr>
      <w:tr w:rsidR="003D1DEF" w14:paraId="4431C4F2" w14:textId="77777777">
        <w:trPr>
          <w:jc w:val="center"/>
        </w:trPr>
        <w:tc>
          <w:tcPr>
            <w:tcW w:w="2160" w:type="dxa"/>
            <w:shd w:val="clear" w:color="auto" w:fill="F7FAFC"/>
            <w:tcMar>
              <w:top w:w="80" w:type="dxa"/>
              <w:left w:w="80" w:type="dxa"/>
              <w:bottom w:w="80" w:type="dxa"/>
              <w:right w:w="80" w:type="dxa"/>
            </w:tcMar>
            <w:vAlign w:val="center"/>
          </w:tcPr>
          <w:p w14:paraId="305B3C65" w14:textId="77777777" w:rsidR="003D1DEF" w:rsidRDefault="00000000">
            <w:r>
              <w:rPr>
                <w:sz w:val="15"/>
              </w:rPr>
              <w:t>Data ingestion</w:t>
            </w:r>
          </w:p>
        </w:tc>
        <w:tc>
          <w:tcPr>
            <w:tcW w:w="3168" w:type="dxa"/>
            <w:shd w:val="clear" w:color="auto" w:fill="F7FAFC"/>
            <w:tcMar>
              <w:top w:w="80" w:type="dxa"/>
              <w:left w:w="80" w:type="dxa"/>
              <w:bottom w:w="80" w:type="dxa"/>
              <w:right w:w="80" w:type="dxa"/>
            </w:tcMar>
            <w:vAlign w:val="center"/>
          </w:tcPr>
          <w:p w14:paraId="3728AA7C" w14:textId="77777777" w:rsidR="003D1DEF" w:rsidRDefault="00000000">
            <w:r>
              <w:rPr>
                <w:sz w:val="15"/>
              </w:rPr>
              <w:t>CSV loading and date parsing.</w:t>
            </w:r>
          </w:p>
        </w:tc>
        <w:tc>
          <w:tcPr>
            <w:tcW w:w="2448" w:type="dxa"/>
            <w:shd w:val="clear" w:color="auto" w:fill="F7FAFC"/>
            <w:tcMar>
              <w:top w:w="80" w:type="dxa"/>
              <w:left w:w="80" w:type="dxa"/>
              <w:bottom w:w="80" w:type="dxa"/>
              <w:right w:w="80" w:type="dxa"/>
            </w:tcMar>
            <w:vAlign w:val="center"/>
          </w:tcPr>
          <w:p w14:paraId="2E212EF0" w14:textId="77777777" w:rsidR="003D1DEF" w:rsidRDefault="00000000">
            <w:r>
              <w:rPr>
                <w:sz w:val="15"/>
              </w:rPr>
              <w:t>Chronological daily dataset.</w:t>
            </w:r>
          </w:p>
        </w:tc>
        <w:tc>
          <w:tcPr>
            <w:tcW w:w="2304" w:type="dxa"/>
            <w:shd w:val="clear" w:color="auto" w:fill="F7FAFC"/>
            <w:tcMar>
              <w:top w:w="80" w:type="dxa"/>
              <w:left w:w="80" w:type="dxa"/>
              <w:bottom w:w="80" w:type="dxa"/>
              <w:right w:w="80" w:type="dxa"/>
            </w:tcMar>
            <w:vAlign w:val="center"/>
          </w:tcPr>
          <w:p w14:paraId="4A128980" w14:textId="77777777" w:rsidR="003D1DEF" w:rsidRDefault="00000000">
            <w:r>
              <w:rPr>
                <w:sz w:val="15"/>
              </w:rPr>
              <w:t>Ensures temporal analysis is valid.</w:t>
            </w:r>
          </w:p>
        </w:tc>
      </w:tr>
      <w:tr w:rsidR="003D1DEF" w14:paraId="0DA7AD1B" w14:textId="77777777">
        <w:trPr>
          <w:jc w:val="center"/>
        </w:trPr>
        <w:tc>
          <w:tcPr>
            <w:tcW w:w="2160" w:type="dxa"/>
            <w:shd w:val="clear" w:color="auto" w:fill="FFFFFF"/>
            <w:tcMar>
              <w:top w:w="80" w:type="dxa"/>
              <w:left w:w="80" w:type="dxa"/>
              <w:bottom w:w="80" w:type="dxa"/>
              <w:right w:w="80" w:type="dxa"/>
            </w:tcMar>
            <w:vAlign w:val="center"/>
          </w:tcPr>
          <w:p w14:paraId="445D62C3" w14:textId="77777777" w:rsidR="003D1DEF" w:rsidRDefault="00000000">
            <w:r>
              <w:rPr>
                <w:sz w:val="15"/>
              </w:rPr>
              <w:t>Column mapping</w:t>
            </w:r>
          </w:p>
        </w:tc>
        <w:tc>
          <w:tcPr>
            <w:tcW w:w="3168" w:type="dxa"/>
            <w:shd w:val="clear" w:color="auto" w:fill="FFFFFF"/>
            <w:tcMar>
              <w:top w:w="80" w:type="dxa"/>
              <w:left w:w="80" w:type="dxa"/>
              <w:bottom w:w="80" w:type="dxa"/>
              <w:right w:w="80" w:type="dxa"/>
            </w:tcMar>
            <w:vAlign w:val="center"/>
          </w:tcPr>
          <w:p w14:paraId="4DA2AD6D" w14:textId="77777777" w:rsidR="003D1DEF" w:rsidRDefault="00000000">
            <w:r>
              <w:rPr>
                <w:sz w:val="15"/>
              </w:rPr>
              <w:t>Canonical field assignment.</w:t>
            </w:r>
          </w:p>
        </w:tc>
        <w:tc>
          <w:tcPr>
            <w:tcW w:w="2448" w:type="dxa"/>
            <w:shd w:val="clear" w:color="auto" w:fill="FFFFFF"/>
            <w:tcMar>
              <w:top w:w="80" w:type="dxa"/>
              <w:left w:w="80" w:type="dxa"/>
              <w:bottom w:w="80" w:type="dxa"/>
              <w:right w:w="80" w:type="dxa"/>
            </w:tcMar>
            <w:vAlign w:val="center"/>
          </w:tcPr>
          <w:p w14:paraId="74E41F96" w14:textId="77777777" w:rsidR="003D1DEF" w:rsidRDefault="00000000">
            <w:r>
              <w:rPr>
                <w:sz w:val="15"/>
              </w:rPr>
              <w:t>Consistent metric names.</w:t>
            </w:r>
          </w:p>
        </w:tc>
        <w:tc>
          <w:tcPr>
            <w:tcW w:w="2304" w:type="dxa"/>
            <w:shd w:val="clear" w:color="auto" w:fill="FFFFFF"/>
            <w:tcMar>
              <w:top w:w="80" w:type="dxa"/>
              <w:left w:w="80" w:type="dxa"/>
              <w:bottom w:w="80" w:type="dxa"/>
              <w:right w:w="80" w:type="dxa"/>
            </w:tcMar>
            <w:vAlign w:val="center"/>
          </w:tcPr>
          <w:p w14:paraId="6E9CBA65" w14:textId="77777777" w:rsidR="003D1DEF" w:rsidRDefault="00000000">
            <w:r>
              <w:rPr>
                <w:sz w:val="15"/>
              </w:rPr>
              <w:t>Prevents breakage from source-column naming differences.</w:t>
            </w:r>
          </w:p>
        </w:tc>
      </w:tr>
      <w:tr w:rsidR="003D1DEF" w14:paraId="3CBF2CE2" w14:textId="77777777">
        <w:trPr>
          <w:jc w:val="center"/>
        </w:trPr>
        <w:tc>
          <w:tcPr>
            <w:tcW w:w="2160" w:type="dxa"/>
            <w:shd w:val="clear" w:color="auto" w:fill="F7FAFC"/>
            <w:tcMar>
              <w:top w:w="80" w:type="dxa"/>
              <w:left w:w="80" w:type="dxa"/>
              <w:bottom w:w="80" w:type="dxa"/>
              <w:right w:w="80" w:type="dxa"/>
            </w:tcMar>
            <w:vAlign w:val="center"/>
          </w:tcPr>
          <w:p w14:paraId="74A89463" w14:textId="77777777" w:rsidR="003D1DEF" w:rsidRDefault="00000000">
            <w:r>
              <w:rPr>
                <w:sz w:val="15"/>
              </w:rPr>
              <w:t>Feature engineering</w:t>
            </w:r>
          </w:p>
        </w:tc>
        <w:tc>
          <w:tcPr>
            <w:tcW w:w="3168" w:type="dxa"/>
            <w:shd w:val="clear" w:color="auto" w:fill="F7FAFC"/>
            <w:tcMar>
              <w:top w:w="80" w:type="dxa"/>
              <w:left w:w="80" w:type="dxa"/>
              <w:bottom w:w="80" w:type="dxa"/>
              <w:right w:w="80" w:type="dxa"/>
            </w:tcMar>
            <w:vAlign w:val="center"/>
          </w:tcPr>
          <w:p w14:paraId="025180EC" w14:textId="77777777" w:rsidR="003D1DEF" w:rsidRDefault="00000000">
            <w:r>
              <w:rPr>
                <w:sz w:val="15"/>
              </w:rPr>
              <w:t>Derived load, intake, growth, backlog, and rolling metrics.</w:t>
            </w:r>
          </w:p>
        </w:tc>
        <w:tc>
          <w:tcPr>
            <w:tcW w:w="2448" w:type="dxa"/>
            <w:shd w:val="clear" w:color="auto" w:fill="F7FAFC"/>
            <w:tcMar>
              <w:top w:w="80" w:type="dxa"/>
              <w:left w:w="80" w:type="dxa"/>
              <w:bottom w:w="80" w:type="dxa"/>
              <w:right w:w="80" w:type="dxa"/>
            </w:tcMar>
            <w:vAlign w:val="center"/>
          </w:tcPr>
          <w:p w14:paraId="0BCB8107" w14:textId="77777777" w:rsidR="003D1DEF" w:rsidRDefault="00000000">
            <w:r>
              <w:rPr>
                <w:sz w:val="15"/>
              </w:rPr>
              <w:t>Analytical indicators.</w:t>
            </w:r>
          </w:p>
        </w:tc>
        <w:tc>
          <w:tcPr>
            <w:tcW w:w="2304" w:type="dxa"/>
            <w:shd w:val="clear" w:color="auto" w:fill="F7FAFC"/>
            <w:tcMar>
              <w:top w:w="80" w:type="dxa"/>
              <w:left w:w="80" w:type="dxa"/>
              <w:bottom w:w="80" w:type="dxa"/>
              <w:right w:w="80" w:type="dxa"/>
            </w:tcMar>
            <w:vAlign w:val="center"/>
          </w:tcPr>
          <w:p w14:paraId="1921B23A" w14:textId="77777777" w:rsidR="003D1DEF" w:rsidRDefault="00000000">
            <w:r>
              <w:rPr>
                <w:sz w:val="15"/>
              </w:rPr>
              <w:t>Converts raw counts into decision-ready signals.</w:t>
            </w:r>
          </w:p>
        </w:tc>
      </w:tr>
      <w:tr w:rsidR="003D1DEF" w14:paraId="57FC402E" w14:textId="77777777">
        <w:trPr>
          <w:jc w:val="center"/>
        </w:trPr>
        <w:tc>
          <w:tcPr>
            <w:tcW w:w="2160" w:type="dxa"/>
            <w:shd w:val="clear" w:color="auto" w:fill="FFFFFF"/>
            <w:tcMar>
              <w:top w:w="80" w:type="dxa"/>
              <w:left w:w="80" w:type="dxa"/>
              <w:bottom w:w="80" w:type="dxa"/>
              <w:right w:w="80" w:type="dxa"/>
            </w:tcMar>
            <w:vAlign w:val="center"/>
          </w:tcPr>
          <w:p w14:paraId="0D29B22F" w14:textId="77777777" w:rsidR="003D1DEF" w:rsidRDefault="00000000">
            <w:r>
              <w:rPr>
                <w:sz w:val="15"/>
              </w:rPr>
              <w:t>EDA</w:t>
            </w:r>
          </w:p>
        </w:tc>
        <w:tc>
          <w:tcPr>
            <w:tcW w:w="3168" w:type="dxa"/>
            <w:shd w:val="clear" w:color="auto" w:fill="FFFFFF"/>
            <w:tcMar>
              <w:top w:w="80" w:type="dxa"/>
              <w:left w:w="80" w:type="dxa"/>
              <w:bottom w:w="80" w:type="dxa"/>
              <w:right w:w="80" w:type="dxa"/>
            </w:tcMar>
            <w:vAlign w:val="center"/>
          </w:tcPr>
          <w:p w14:paraId="13A5693A" w14:textId="77777777" w:rsidR="003D1DEF" w:rsidRDefault="00000000">
            <w:r>
              <w:rPr>
                <w:sz w:val="15"/>
              </w:rPr>
              <w:t>Trend, movement, capacity position, and responsibility split analysis.</w:t>
            </w:r>
          </w:p>
        </w:tc>
        <w:tc>
          <w:tcPr>
            <w:tcW w:w="2448" w:type="dxa"/>
            <w:shd w:val="clear" w:color="auto" w:fill="FFFFFF"/>
            <w:tcMar>
              <w:top w:w="80" w:type="dxa"/>
              <w:left w:w="80" w:type="dxa"/>
              <w:bottom w:w="80" w:type="dxa"/>
              <w:right w:w="80" w:type="dxa"/>
            </w:tcMar>
            <w:vAlign w:val="center"/>
          </w:tcPr>
          <w:p w14:paraId="4BC299BB" w14:textId="77777777" w:rsidR="003D1DEF" w:rsidRDefault="00000000">
            <w:r>
              <w:rPr>
                <w:sz w:val="15"/>
              </w:rPr>
              <w:t>Pattern discovery.</w:t>
            </w:r>
          </w:p>
        </w:tc>
        <w:tc>
          <w:tcPr>
            <w:tcW w:w="2304" w:type="dxa"/>
            <w:shd w:val="clear" w:color="auto" w:fill="FFFFFF"/>
            <w:tcMar>
              <w:top w:w="80" w:type="dxa"/>
              <w:left w:w="80" w:type="dxa"/>
              <w:bottom w:w="80" w:type="dxa"/>
              <w:right w:w="80" w:type="dxa"/>
            </w:tcMar>
            <w:vAlign w:val="center"/>
          </w:tcPr>
          <w:p w14:paraId="0390759A" w14:textId="77777777" w:rsidR="003D1DEF" w:rsidRDefault="00000000">
            <w:r>
              <w:rPr>
                <w:sz w:val="15"/>
              </w:rPr>
              <w:t>Identifies pressure and relief behavior.</w:t>
            </w:r>
          </w:p>
        </w:tc>
      </w:tr>
      <w:tr w:rsidR="003D1DEF" w14:paraId="2406E986" w14:textId="77777777">
        <w:trPr>
          <w:jc w:val="center"/>
        </w:trPr>
        <w:tc>
          <w:tcPr>
            <w:tcW w:w="2160" w:type="dxa"/>
            <w:shd w:val="clear" w:color="auto" w:fill="F7FAFC"/>
            <w:tcMar>
              <w:top w:w="80" w:type="dxa"/>
              <w:left w:w="80" w:type="dxa"/>
              <w:bottom w:w="80" w:type="dxa"/>
              <w:right w:w="80" w:type="dxa"/>
            </w:tcMar>
            <w:vAlign w:val="center"/>
          </w:tcPr>
          <w:p w14:paraId="0336F723" w14:textId="77777777" w:rsidR="003D1DEF" w:rsidRDefault="00000000">
            <w:r>
              <w:rPr>
                <w:sz w:val="15"/>
              </w:rPr>
              <w:t>KPI modeling</w:t>
            </w:r>
          </w:p>
        </w:tc>
        <w:tc>
          <w:tcPr>
            <w:tcW w:w="3168" w:type="dxa"/>
            <w:shd w:val="clear" w:color="auto" w:fill="F7FAFC"/>
            <w:tcMar>
              <w:top w:w="80" w:type="dxa"/>
              <w:left w:w="80" w:type="dxa"/>
              <w:bottom w:w="80" w:type="dxa"/>
              <w:right w:w="80" w:type="dxa"/>
            </w:tcMar>
            <w:vAlign w:val="center"/>
          </w:tcPr>
          <w:p w14:paraId="6EB3A5B2" w14:textId="77777777" w:rsidR="003D1DEF" w:rsidRDefault="00000000">
            <w:r>
              <w:rPr>
                <w:sz w:val="15"/>
              </w:rPr>
              <w:t>Five guideline KPIs and health scoring.</w:t>
            </w:r>
          </w:p>
        </w:tc>
        <w:tc>
          <w:tcPr>
            <w:tcW w:w="2448" w:type="dxa"/>
            <w:shd w:val="clear" w:color="auto" w:fill="F7FAFC"/>
            <w:tcMar>
              <w:top w:w="80" w:type="dxa"/>
              <w:left w:w="80" w:type="dxa"/>
              <w:bottom w:w="80" w:type="dxa"/>
              <w:right w:w="80" w:type="dxa"/>
            </w:tcMar>
            <w:vAlign w:val="center"/>
          </w:tcPr>
          <w:p w14:paraId="7CE88F67" w14:textId="77777777" w:rsidR="003D1DEF" w:rsidRDefault="00000000">
            <w:r>
              <w:rPr>
                <w:sz w:val="15"/>
              </w:rPr>
              <w:t>Executive dashboard metrics.</w:t>
            </w:r>
          </w:p>
        </w:tc>
        <w:tc>
          <w:tcPr>
            <w:tcW w:w="2304" w:type="dxa"/>
            <w:shd w:val="clear" w:color="auto" w:fill="F7FAFC"/>
            <w:tcMar>
              <w:top w:w="80" w:type="dxa"/>
              <w:left w:w="80" w:type="dxa"/>
              <w:bottom w:w="80" w:type="dxa"/>
              <w:right w:w="80" w:type="dxa"/>
            </w:tcMar>
            <w:vAlign w:val="center"/>
          </w:tcPr>
          <w:p w14:paraId="00D26F5D" w14:textId="77777777" w:rsidR="003D1DEF" w:rsidRDefault="00000000">
            <w:r>
              <w:rPr>
                <w:sz w:val="15"/>
              </w:rPr>
              <w:t>Supports leadership review.</w:t>
            </w:r>
          </w:p>
        </w:tc>
      </w:tr>
      <w:tr w:rsidR="003D1DEF" w14:paraId="16AE0303" w14:textId="77777777">
        <w:trPr>
          <w:jc w:val="center"/>
        </w:trPr>
        <w:tc>
          <w:tcPr>
            <w:tcW w:w="2160" w:type="dxa"/>
            <w:shd w:val="clear" w:color="auto" w:fill="FFFFFF"/>
            <w:tcMar>
              <w:top w:w="80" w:type="dxa"/>
              <w:left w:w="80" w:type="dxa"/>
              <w:bottom w:w="80" w:type="dxa"/>
              <w:right w:w="80" w:type="dxa"/>
            </w:tcMar>
            <w:vAlign w:val="center"/>
          </w:tcPr>
          <w:p w14:paraId="38399000" w14:textId="77777777" w:rsidR="003D1DEF" w:rsidRDefault="00000000">
            <w:r>
              <w:rPr>
                <w:sz w:val="15"/>
              </w:rPr>
              <w:t>Stress classification</w:t>
            </w:r>
          </w:p>
        </w:tc>
        <w:tc>
          <w:tcPr>
            <w:tcW w:w="3168" w:type="dxa"/>
            <w:shd w:val="clear" w:color="auto" w:fill="FFFFFF"/>
            <w:tcMar>
              <w:top w:w="80" w:type="dxa"/>
              <w:left w:w="80" w:type="dxa"/>
              <w:bottom w:w="80" w:type="dxa"/>
              <w:right w:w="80" w:type="dxa"/>
            </w:tcMar>
            <w:vAlign w:val="center"/>
          </w:tcPr>
          <w:p w14:paraId="13561892" w14:textId="77777777" w:rsidR="003D1DEF" w:rsidRDefault="00000000">
            <w:r>
              <w:rPr>
                <w:sz w:val="15"/>
              </w:rPr>
              <w:t>Pressure level and driver analysis.</w:t>
            </w:r>
          </w:p>
        </w:tc>
        <w:tc>
          <w:tcPr>
            <w:tcW w:w="2448" w:type="dxa"/>
            <w:shd w:val="clear" w:color="auto" w:fill="FFFFFF"/>
            <w:tcMar>
              <w:top w:w="80" w:type="dxa"/>
              <w:left w:w="80" w:type="dxa"/>
              <w:bottom w:w="80" w:type="dxa"/>
              <w:right w:w="80" w:type="dxa"/>
            </w:tcMar>
            <w:vAlign w:val="center"/>
          </w:tcPr>
          <w:p w14:paraId="68F95C9F" w14:textId="77777777" w:rsidR="003D1DEF" w:rsidRDefault="00000000">
            <w:r>
              <w:rPr>
                <w:sz w:val="15"/>
              </w:rPr>
              <w:t>Operational stress categories.</w:t>
            </w:r>
          </w:p>
        </w:tc>
        <w:tc>
          <w:tcPr>
            <w:tcW w:w="2304" w:type="dxa"/>
            <w:shd w:val="clear" w:color="auto" w:fill="FFFFFF"/>
            <w:tcMar>
              <w:top w:w="80" w:type="dxa"/>
              <w:left w:w="80" w:type="dxa"/>
              <w:bottom w:w="80" w:type="dxa"/>
              <w:right w:w="80" w:type="dxa"/>
            </w:tcMar>
            <w:vAlign w:val="center"/>
          </w:tcPr>
          <w:p w14:paraId="416339D2" w14:textId="77777777" w:rsidR="003D1DEF" w:rsidRDefault="00000000">
            <w:r>
              <w:rPr>
                <w:sz w:val="15"/>
              </w:rPr>
              <w:t>Supports targeted response planning.</w:t>
            </w:r>
          </w:p>
        </w:tc>
      </w:tr>
    </w:tbl>
    <w:p w14:paraId="2CB635C6" w14:textId="77777777" w:rsidR="003D1DEF" w:rsidRDefault="003D1DEF"/>
    <w:p w14:paraId="6539C2CC" w14:textId="77777777" w:rsidR="003D1DEF" w:rsidRDefault="00000000">
      <w:pPr>
        <w:jc w:val="center"/>
      </w:pPr>
      <w:r>
        <w:rPr>
          <w:noProof/>
        </w:rPr>
        <w:lastRenderedPageBreak/>
        <w:drawing>
          <wp:inline distT="0" distB="0" distL="0" distR="0" wp14:anchorId="06E06A71" wp14:editId="6A602C2B">
            <wp:extent cx="5943600" cy="2167208"/>
            <wp:effectExtent l="0" t="0" r="0" b="0"/>
            <wp:docPr id="2" name="Picture 2" descr="Diagnostic Metric Explorer line chart comparing Total System Load, CBP Custody, HHS Care, and Net Daily Intake across 2023 to 2025."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jpg"/>
                    <pic:cNvPicPr/>
                  </pic:nvPicPr>
                  <pic:blipFill>
                    <a:blip r:embed="rId9"/>
                    <a:stretch>
                      <a:fillRect/>
                    </a:stretch>
                  </pic:blipFill>
                  <pic:spPr>
                    <a:xfrm>
                      <a:off x="0" y="0"/>
                      <a:ext cx="5943600" cy="2167208"/>
                    </a:xfrm>
                    <a:prstGeom prst="rect">
                      <a:avLst/>
                    </a:prstGeom>
                  </pic:spPr>
                </pic:pic>
              </a:graphicData>
            </a:graphic>
          </wp:inline>
        </w:drawing>
      </w:r>
    </w:p>
    <w:p w14:paraId="73F2EC17" w14:textId="77777777" w:rsidR="003D1DEF" w:rsidRDefault="00000000">
      <w:pPr>
        <w:jc w:val="center"/>
      </w:pPr>
      <w:r>
        <w:rPr>
          <w:i/>
          <w:color w:val="475569"/>
          <w:sz w:val="18"/>
        </w:rPr>
        <w:t>Figure 2. Diagnostic Metric Explorer showing dashboard support for selected-metric exploration and mixed operational signals.</w:t>
      </w:r>
    </w:p>
    <w:p w14:paraId="49582258" w14:textId="77777777" w:rsidR="003D1DEF" w:rsidRDefault="00000000">
      <w:pPr>
        <w:jc w:val="both"/>
      </w:pPr>
      <w:r>
        <w:t>This figure demonstrates the dashboard implementation of metric toggles. It allows users to compare Total System Load, CBP Custody, HHS Care, and Net Daily Intake in the same diagnostic view, which supports flexible scenario analysis.</w:t>
      </w:r>
    </w:p>
    <w:tbl>
      <w:tblPr>
        <w:tblStyle w:val="TableGrid"/>
        <w:tblW w:w="0" w:type="auto"/>
        <w:jc w:val="center"/>
        <w:tblLook w:val="04A0" w:firstRow="1" w:lastRow="0" w:firstColumn="1" w:lastColumn="0" w:noHBand="0" w:noVBand="1"/>
      </w:tblPr>
      <w:tblGrid>
        <w:gridCol w:w="2160"/>
        <w:gridCol w:w="3600"/>
        <w:gridCol w:w="4032"/>
      </w:tblGrid>
      <w:tr w:rsidR="003D1DEF" w14:paraId="4504B94C" w14:textId="77777777">
        <w:trPr>
          <w:tblHeader/>
          <w:jc w:val="center"/>
        </w:trPr>
        <w:tc>
          <w:tcPr>
            <w:tcW w:w="2160" w:type="dxa"/>
            <w:shd w:val="clear" w:color="auto" w:fill="0B3D5C"/>
            <w:tcMar>
              <w:top w:w="80" w:type="dxa"/>
              <w:left w:w="80" w:type="dxa"/>
              <w:bottom w:w="80" w:type="dxa"/>
              <w:right w:w="80" w:type="dxa"/>
            </w:tcMar>
            <w:vAlign w:val="center"/>
          </w:tcPr>
          <w:p w14:paraId="552A6AB3" w14:textId="77777777" w:rsidR="003D1DEF" w:rsidRDefault="00000000">
            <w:r>
              <w:rPr>
                <w:b/>
                <w:color w:val="FFFFFF"/>
                <w:sz w:val="16"/>
              </w:rPr>
              <w:t>Selected Metric</w:t>
            </w:r>
          </w:p>
        </w:tc>
        <w:tc>
          <w:tcPr>
            <w:tcW w:w="3600" w:type="dxa"/>
            <w:shd w:val="clear" w:color="auto" w:fill="0B3D5C"/>
            <w:tcMar>
              <w:top w:w="80" w:type="dxa"/>
              <w:left w:w="80" w:type="dxa"/>
              <w:bottom w:w="80" w:type="dxa"/>
              <w:right w:w="80" w:type="dxa"/>
            </w:tcMar>
            <w:vAlign w:val="center"/>
          </w:tcPr>
          <w:p w14:paraId="574C41F9" w14:textId="77777777" w:rsidR="003D1DEF" w:rsidRDefault="00000000">
            <w:r>
              <w:rPr>
                <w:b/>
                <w:color w:val="FFFFFF"/>
                <w:sz w:val="16"/>
              </w:rPr>
              <w:t>Analytical Role</w:t>
            </w:r>
          </w:p>
        </w:tc>
        <w:tc>
          <w:tcPr>
            <w:tcW w:w="4032" w:type="dxa"/>
            <w:shd w:val="clear" w:color="auto" w:fill="0B3D5C"/>
            <w:tcMar>
              <w:top w:w="80" w:type="dxa"/>
              <w:left w:w="80" w:type="dxa"/>
              <w:bottom w:w="80" w:type="dxa"/>
              <w:right w:w="80" w:type="dxa"/>
            </w:tcMar>
            <w:vAlign w:val="center"/>
          </w:tcPr>
          <w:p w14:paraId="238BCB58" w14:textId="77777777" w:rsidR="003D1DEF" w:rsidRDefault="00000000">
            <w:r>
              <w:rPr>
                <w:b/>
                <w:color w:val="FFFFFF"/>
                <w:sz w:val="16"/>
              </w:rPr>
              <w:t>Interpretation Discipline</w:t>
            </w:r>
          </w:p>
        </w:tc>
      </w:tr>
      <w:tr w:rsidR="003D1DEF" w14:paraId="7359634F" w14:textId="77777777">
        <w:trPr>
          <w:jc w:val="center"/>
        </w:trPr>
        <w:tc>
          <w:tcPr>
            <w:tcW w:w="2160" w:type="dxa"/>
            <w:shd w:val="clear" w:color="auto" w:fill="F7FAFC"/>
            <w:tcMar>
              <w:top w:w="80" w:type="dxa"/>
              <w:left w:w="80" w:type="dxa"/>
              <w:bottom w:w="80" w:type="dxa"/>
              <w:right w:w="80" w:type="dxa"/>
            </w:tcMar>
            <w:vAlign w:val="center"/>
          </w:tcPr>
          <w:p w14:paraId="614579A4" w14:textId="77777777" w:rsidR="003D1DEF" w:rsidRDefault="00000000">
            <w:r>
              <w:rPr>
                <w:sz w:val="16"/>
              </w:rPr>
              <w:t>Total System Load</w:t>
            </w:r>
          </w:p>
        </w:tc>
        <w:tc>
          <w:tcPr>
            <w:tcW w:w="3600" w:type="dxa"/>
            <w:shd w:val="clear" w:color="auto" w:fill="F7FAFC"/>
            <w:tcMar>
              <w:top w:w="80" w:type="dxa"/>
              <w:left w:w="80" w:type="dxa"/>
              <w:bottom w:w="80" w:type="dxa"/>
              <w:right w:w="80" w:type="dxa"/>
            </w:tcMar>
            <w:vAlign w:val="center"/>
          </w:tcPr>
          <w:p w14:paraId="41586B09" w14:textId="77777777" w:rsidR="003D1DEF" w:rsidRDefault="00000000">
            <w:r>
              <w:rPr>
                <w:sz w:val="16"/>
              </w:rPr>
              <w:t>Overall active responsibility signal.</w:t>
            </w:r>
          </w:p>
        </w:tc>
        <w:tc>
          <w:tcPr>
            <w:tcW w:w="4032" w:type="dxa"/>
            <w:shd w:val="clear" w:color="auto" w:fill="F7FAFC"/>
            <w:tcMar>
              <w:top w:w="80" w:type="dxa"/>
              <w:left w:w="80" w:type="dxa"/>
              <w:bottom w:w="80" w:type="dxa"/>
              <w:right w:w="80" w:type="dxa"/>
            </w:tcMar>
            <w:vAlign w:val="center"/>
          </w:tcPr>
          <w:p w14:paraId="780F05AB" w14:textId="77777777" w:rsidR="003D1DEF" w:rsidRDefault="00000000">
            <w:r>
              <w:rPr>
                <w:sz w:val="16"/>
              </w:rPr>
              <w:t>Interpret with peak, average, and latest load context.</w:t>
            </w:r>
          </w:p>
        </w:tc>
      </w:tr>
      <w:tr w:rsidR="003D1DEF" w14:paraId="7B9B5058" w14:textId="77777777">
        <w:trPr>
          <w:jc w:val="center"/>
        </w:trPr>
        <w:tc>
          <w:tcPr>
            <w:tcW w:w="2160" w:type="dxa"/>
            <w:shd w:val="clear" w:color="auto" w:fill="FFFFFF"/>
            <w:tcMar>
              <w:top w:w="80" w:type="dxa"/>
              <w:left w:w="80" w:type="dxa"/>
              <w:bottom w:w="80" w:type="dxa"/>
              <w:right w:w="80" w:type="dxa"/>
            </w:tcMar>
            <w:vAlign w:val="center"/>
          </w:tcPr>
          <w:p w14:paraId="4743C702" w14:textId="77777777" w:rsidR="003D1DEF" w:rsidRDefault="00000000">
            <w:r>
              <w:rPr>
                <w:sz w:val="16"/>
              </w:rPr>
              <w:t>HHS Care</w:t>
            </w:r>
          </w:p>
        </w:tc>
        <w:tc>
          <w:tcPr>
            <w:tcW w:w="3600" w:type="dxa"/>
            <w:shd w:val="clear" w:color="auto" w:fill="FFFFFF"/>
            <w:tcMar>
              <w:top w:w="80" w:type="dxa"/>
              <w:left w:w="80" w:type="dxa"/>
              <w:bottom w:w="80" w:type="dxa"/>
              <w:right w:w="80" w:type="dxa"/>
            </w:tcMar>
            <w:vAlign w:val="center"/>
          </w:tcPr>
          <w:p w14:paraId="0E367491" w14:textId="77777777" w:rsidR="003D1DEF" w:rsidRDefault="00000000">
            <w:r>
              <w:rPr>
                <w:sz w:val="16"/>
              </w:rPr>
              <w:t>Downstream care-load burden.</w:t>
            </w:r>
          </w:p>
        </w:tc>
        <w:tc>
          <w:tcPr>
            <w:tcW w:w="4032" w:type="dxa"/>
            <w:shd w:val="clear" w:color="auto" w:fill="FFFFFF"/>
            <w:tcMar>
              <w:top w:w="80" w:type="dxa"/>
              <w:left w:w="80" w:type="dxa"/>
              <w:bottom w:w="80" w:type="dxa"/>
              <w:right w:w="80" w:type="dxa"/>
            </w:tcMar>
            <w:vAlign w:val="center"/>
          </w:tcPr>
          <w:p w14:paraId="5A22942C" w14:textId="77777777" w:rsidR="003D1DEF" w:rsidRDefault="00000000">
            <w:r>
              <w:rPr>
                <w:sz w:val="16"/>
              </w:rPr>
              <w:t>Compare against total system load to identify HHS concentration.</w:t>
            </w:r>
          </w:p>
        </w:tc>
      </w:tr>
      <w:tr w:rsidR="003D1DEF" w14:paraId="12FCF596" w14:textId="77777777">
        <w:trPr>
          <w:jc w:val="center"/>
        </w:trPr>
        <w:tc>
          <w:tcPr>
            <w:tcW w:w="2160" w:type="dxa"/>
            <w:shd w:val="clear" w:color="auto" w:fill="F7FAFC"/>
            <w:tcMar>
              <w:top w:w="80" w:type="dxa"/>
              <w:left w:w="80" w:type="dxa"/>
              <w:bottom w:w="80" w:type="dxa"/>
              <w:right w:w="80" w:type="dxa"/>
            </w:tcMar>
            <w:vAlign w:val="center"/>
          </w:tcPr>
          <w:p w14:paraId="1066438C" w14:textId="77777777" w:rsidR="003D1DEF" w:rsidRDefault="00000000">
            <w:r>
              <w:rPr>
                <w:sz w:val="16"/>
              </w:rPr>
              <w:t>CBP Custody</w:t>
            </w:r>
          </w:p>
        </w:tc>
        <w:tc>
          <w:tcPr>
            <w:tcW w:w="3600" w:type="dxa"/>
            <w:shd w:val="clear" w:color="auto" w:fill="F7FAFC"/>
            <w:tcMar>
              <w:top w:w="80" w:type="dxa"/>
              <w:left w:w="80" w:type="dxa"/>
              <w:bottom w:w="80" w:type="dxa"/>
              <w:right w:w="80" w:type="dxa"/>
            </w:tcMar>
            <w:vAlign w:val="center"/>
          </w:tcPr>
          <w:p w14:paraId="3E3A03D6" w14:textId="77777777" w:rsidR="003D1DEF" w:rsidRDefault="00000000">
            <w:r>
              <w:rPr>
                <w:sz w:val="16"/>
              </w:rPr>
              <w:t>Upstream custody burden.</w:t>
            </w:r>
          </w:p>
        </w:tc>
        <w:tc>
          <w:tcPr>
            <w:tcW w:w="4032" w:type="dxa"/>
            <w:shd w:val="clear" w:color="auto" w:fill="F7FAFC"/>
            <w:tcMar>
              <w:top w:w="80" w:type="dxa"/>
              <w:left w:w="80" w:type="dxa"/>
              <w:bottom w:w="80" w:type="dxa"/>
              <w:right w:w="80" w:type="dxa"/>
            </w:tcMar>
            <w:vAlign w:val="center"/>
          </w:tcPr>
          <w:p w14:paraId="52B20880" w14:textId="77777777" w:rsidR="003D1DEF" w:rsidRDefault="00000000">
            <w:r>
              <w:rPr>
                <w:sz w:val="16"/>
              </w:rPr>
              <w:t>Read as intake-side load rather than full downstream care burden.</w:t>
            </w:r>
          </w:p>
        </w:tc>
      </w:tr>
      <w:tr w:rsidR="003D1DEF" w14:paraId="13E26A8F" w14:textId="77777777">
        <w:trPr>
          <w:jc w:val="center"/>
        </w:trPr>
        <w:tc>
          <w:tcPr>
            <w:tcW w:w="2160" w:type="dxa"/>
            <w:shd w:val="clear" w:color="auto" w:fill="FFFFFF"/>
            <w:tcMar>
              <w:top w:w="80" w:type="dxa"/>
              <w:left w:w="80" w:type="dxa"/>
              <w:bottom w:w="80" w:type="dxa"/>
              <w:right w:w="80" w:type="dxa"/>
            </w:tcMar>
            <w:vAlign w:val="center"/>
          </w:tcPr>
          <w:p w14:paraId="0D66423A" w14:textId="77777777" w:rsidR="003D1DEF" w:rsidRDefault="00000000">
            <w:r>
              <w:rPr>
                <w:sz w:val="16"/>
              </w:rPr>
              <w:t>Net Daily Intake</w:t>
            </w:r>
          </w:p>
        </w:tc>
        <w:tc>
          <w:tcPr>
            <w:tcW w:w="3600" w:type="dxa"/>
            <w:shd w:val="clear" w:color="auto" w:fill="FFFFFF"/>
            <w:tcMar>
              <w:top w:w="80" w:type="dxa"/>
              <w:left w:w="80" w:type="dxa"/>
              <w:bottom w:w="80" w:type="dxa"/>
              <w:right w:w="80" w:type="dxa"/>
            </w:tcMar>
            <w:vAlign w:val="center"/>
          </w:tcPr>
          <w:p w14:paraId="27077088" w14:textId="77777777" w:rsidR="003D1DEF" w:rsidRDefault="00000000">
            <w:r>
              <w:rPr>
                <w:sz w:val="16"/>
              </w:rPr>
              <w:t>Transfer-discharge balance.</w:t>
            </w:r>
          </w:p>
        </w:tc>
        <w:tc>
          <w:tcPr>
            <w:tcW w:w="4032" w:type="dxa"/>
            <w:shd w:val="clear" w:color="auto" w:fill="FFFFFF"/>
            <w:tcMar>
              <w:top w:w="80" w:type="dxa"/>
              <w:left w:w="80" w:type="dxa"/>
              <w:bottom w:w="80" w:type="dxa"/>
              <w:right w:w="80" w:type="dxa"/>
            </w:tcMar>
            <w:vAlign w:val="center"/>
          </w:tcPr>
          <w:p w14:paraId="6374D37E" w14:textId="77777777" w:rsidR="003D1DEF" w:rsidRDefault="00000000">
            <w:r>
              <w:rPr>
                <w:sz w:val="16"/>
              </w:rPr>
              <w:t>Negative values indicate relief; positive values indicate pressure.</w:t>
            </w:r>
          </w:p>
        </w:tc>
      </w:tr>
    </w:tbl>
    <w:p w14:paraId="701EA4FF" w14:textId="77777777" w:rsidR="003D1DEF" w:rsidRDefault="003D1DEF"/>
    <w:tbl>
      <w:tblPr>
        <w:tblStyle w:val="TableGrid"/>
        <w:tblW w:w="0" w:type="auto"/>
        <w:tblLook w:val="04A0" w:firstRow="1" w:lastRow="0" w:firstColumn="1" w:lastColumn="0" w:noHBand="0" w:noVBand="1"/>
      </w:tblPr>
      <w:tblGrid>
        <w:gridCol w:w="10037"/>
      </w:tblGrid>
      <w:tr w:rsidR="003D1DEF" w14:paraId="0A9008DD" w14:textId="77777777">
        <w:trPr>
          <w:tblHeader/>
        </w:trPr>
        <w:tc>
          <w:tcPr>
            <w:tcW w:w="10037" w:type="dxa"/>
            <w:shd w:val="clear" w:color="auto" w:fill="EAF8F6"/>
            <w:tcMar>
              <w:top w:w="120" w:type="dxa"/>
              <w:left w:w="120" w:type="dxa"/>
              <w:bottom w:w="120" w:type="dxa"/>
              <w:right w:w="120" w:type="dxa"/>
            </w:tcMar>
          </w:tcPr>
          <w:p w14:paraId="62ACBB8D" w14:textId="77777777" w:rsidR="003D1DEF" w:rsidRDefault="00000000">
            <w:r>
              <w:rPr>
                <w:b/>
                <w:color w:val="0F766E"/>
                <w:sz w:val="20"/>
              </w:rPr>
              <w:t>Diagnostic Interpretation Note</w:t>
            </w:r>
          </w:p>
          <w:p w14:paraId="17A4063D" w14:textId="77777777" w:rsidR="003D1DEF" w:rsidRDefault="00000000">
            <w:r>
              <w:rPr>
                <w:sz w:val="20"/>
              </w:rPr>
              <w:t>The metric explorer should be used after the executive KPI cards. It helps analysts confirm whether stock measures, such as HHS Care and Total System Load, are moving with flow measures, such as Net Daily Intake. Divergence between these metrics is often more informative than any single metric by itself.</w:t>
            </w:r>
          </w:p>
        </w:tc>
      </w:tr>
    </w:tbl>
    <w:p w14:paraId="52B0AA53" w14:textId="77777777" w:rsidR="003D1DEF" w:rsidRDefault="003D1DEF"/>
    <w:p w14:paraId="5E831A27" w14:textId="77777777" w:rsidR="003D1DEF" w:rsidRDefault="00000000">
      <w:r>
        <w:br w:type="page"/>
      </w:r>
    </w:p>
    <w:p w14:paraId="668F2880" w14:textId="77777777" w:rsidR="003D1DEF" w:rsidRDefault="00000000">
      <w:pPr>
        <w:pStyle w:val="Heading1"/>
        <w:spacing w:after="200"/>
      </w:pPr>
      <w:r>
        <w:rPr>
          <w:rFonts w:ascii="Calibri" w:hAnsi="Calibri"/>
          <w:color w:val="0B1F3A"/>
          <w:sz w:val="36"/>
        </w:rPr>
        <w:lastRenderedPageBreak/>
        <w:t>8. Data Limitations and Scope</w:t>
      </w:r>
    </w:p>
    <w:p w14:paraId="1D11AAA4" w14:textId="77777777" w:rsidR="003D1DEF" w:rsidRDefault="00000000">
      <w:pPr>
        <w:jc w:val="both"/>
      </w:pPr>
      <w:r>
        <w:t>This research paper intentionally limits its conclusions to what the available dashboard evidence can support. The analysis is descriptive and diagnostic. It identifies load patterns, flow-balance conditions, HHS responsibility concentration, backlog severity, and pressure drivers. It does not prove causal relationships and does not make claims about individual cases or facility-level service quality.</w:t>
      </w:r>
    </w:p>
    <w:tbl>
      <w:tblPr>
        <w:tblStyle w:val="TableGrid"/>
        <w:tblW w:w="0" w:type="auto"/>
        <w:jc w:val="center"/>
        <w:tblLook w:val="04A0" w:firstRow="1" w:lastRow="0" w:firstColumn="1" w:lastColumn="0" w:noHBand="0" w:noVBand="1"/>
      </w:tblPr>
      <w:tblGrid>
        <w:gridCol w:w="2592"/>
        <w:gridCol w:w="3600"/>
        <w:gridCol w:w="3312"/>
      </w:tblGrid>
      <w:tr w:rsidR="003D1DEF" w14:paraId="61A5713E" w14:textId="77777777">
        <w:trPr>
          <w:tblHeader/>
          <w:jc w:val="center"/>
        </w:trPr>
        <w:tc>
          <w:tcPr>
            <w:tcW w:w="2592" w:type="dxa"/>
            <w:shd w:val="clear" w:color="auto" w:fill="0B3D5C"/>
            <w:tcMar>
              <w:top w:w="80" w:type="dxa"/>
              <w:left w:w="80" w:type="dxa"/>
              <w:bottom w:w="80" w:type="dxa"/>
              <w:right w:w="80" w:type="dxa"/>
            </w:tcMar>
            <w:vAlign w:val="center"/>
          </w:tcPr>
          <w:p w14:paraId="49CC1DE2" w14:textId="77777777" w:rsidR="003D1DEF" w:rsidRDefault="00000000">
            <w:r>
              <w:rPr>
                <w:b/>
                <w:color w:val="FFFFFF"/>
                <w:sz w:val="16"/>
              </w:rPr>
              <w:t>Limitation</w:t>
            </w:r>
          </w:p>
        </w:tc>
        <w:tc>
          <w:tcPr>
            <w:tcW w:w="3600" w:type="dxa"/>
            <w:shd w:val="clear" w:color="auto" w:fill="0B3D5C"/>
            <w:tcMar>
              <w:top w:w="80" w:type="dxa"/>
              <w:left w:w="80" w:type="dxa"/>
              <w:bottom w:w="80" w:type="dxa"/>
              <w:right w:w="80" w:type="dxa"/>
            </w:tcMar>
            <w:vAlign w:val="center"/>
          </w:tcPr>
          <w:p w14:paraId="36A34BCE" w14:textId="77777777" w:rsidR="003D1DEF" w:rsidRDefault="00000000">
            <w:r>
              <w:rPr>
                <w:b/>
                <w:color w:val="FFFFFF"/>
                <w:sz w:val="16"/>
              </w:rPr>
              <w:t>Impact on Interpretation</w:t>
            </w:r>
          </w:p>
        </w:tc>
        <w:tc>
          <w:tcPr>
            <w:tcW w:w="3312" w:type="dxa"/>
            <w:shd w:val="clear" w:color="auto" w:fill="0B3D5C"/>
            <w:tcMar>
              <w:top w:w="80" w:type="dxa"/>
              <w:left w:w="80" w:type="dxa"/>
              <w:bottom w:w="80" w:type="dxa"/>
              <w:right w:w="80" w:type="dxa"/>
            </w:tcMar>
            <w:vAlign w:val="center"/>
          </w:tcPr>
          <w:p w14:paraId="319FFC79" w14:textId="77777777" w:rsidR="003D1DEF" w:rsidRDefault="00000000">
            <w:r>
              <w:rPr>
                <w:b/>
                <w:color w:val="FFFFFF"/>
                <w:sz w:val="16"/>
              </w:rPr>
              <w:t>Future Improvement</w:t>
            </w:r>
          </w:p>
        </w:tc>
      </w:tr>
      <w:tr w:rsidR="003D1DEF" w14:paraId="267E062E" w14:textId="77777777">
        <w:trPr>
          <w:jc w:val="center"/>
        </w:trPr>
        <w:tc>
          <w:tcPr>
            <w:tcW w:w="2592" w:type="dxa"/>
            <w:shd w:val="clear" w:color="auto" w:fill="F7FAFC"/>
            <w:tcMar>
              <w:top w:w="80" w:type="dxa"/>
              <w:left w:w="80" w:type="dxa"/>
              <w:bottom w:w="80" w:type="dxa"/>
              <w:right w:w="80" w:type="dxa"/>
            </w:tcMar>
            <w:vAlign w:val="center"/>
          </w:tcPr>
          <w:p w14:paraId="22F635B6" w14:textId="77777777" w:rsidR="003D1DEF" w:rsidRDefault="00000000">
            <w:r>
              <w:rPr>
                <w:sz w:val="16"/>
              </w:rPr>
              <w:t>No individual-level case data</w:t>
            </w:r>
          </w:p>
        </w:tc>
        <w:tc>
          <w:tcPr>
            <w:tcW w:w="3600" w:type="dxa"/>
            <w:shd w:val="clear" w:color="auto" w:fill="F7FAFC"/>
            <w:tcMar>
              <w:top w:w="80" w:type="dxa"/>
              <w:left w:w="80" w:type="dxa"/>
              <w:bottom w:w="80" w:type="dxa"/>
              <w:right w:w="80" w:type="dxa"/>
            </w:tcMar>
            <w:vAlign w:val="center"/>
          </w:tcPr>
          <w:p w14:paraId="5A7746F4" w14:textId="77777777" w:rsidR="003D1DEF" w:rsidRDefault="00000000">
            <w:r>
              <w:rPr>
                <w:sz w:val="16"/>
              </w:rPr>
              <w:t>The analysis cannot evaluate individual child outcomes, length of stay, or case complexity.</w:t>
            </w:r>
          </w:p>
        </w:tc>
        <w:tc>
          <w:tcPr>
            <w:tcW w:w="3312" w:type="dxa"/>
            <w:shd w:val="clear" w:color="auto" w:fill="F7FAFC"/>
            <w:tcMar>
              <w:top w:w="80" w:type="dxa"/>
              <w:left w:w="80" w:type="dxa"/>
              <w:bottom w:w="80" w:type="dxa"/>
              <w:right w:w="80" w:type="dxa"/>
            </w:tcMar>
            <w:vAlign w:val="center"/>
          </w:tcPr>
          <w:p w14:paraId="2CE9F58E" w14:textId="77777777" w:rsidR="003D1DEF" w:rsidRDefault="00000000">
            <w:r>
              <w:rPr>
                <w:sz w:val="16"/>
              </w:rPr>
              <w:t>Add privacy-preserving cohort-level records if ethically and legally appropriate.</w:t>
            </w:r>
          </w:p>
        </w:tc>
      </w:tr>
      <w:tr w:rsidR="003D1DEF" w14:paraId="466B1A93" w14:textId="77777777">
        <w:trPr>
          <w:jc w:val="center"/>
        </w:trPr>
        <w:tc>
          <w:tcPr>
            <w:tcW w:w="2592" w:type="dxa"/>
            <w:shd w:val="clear" w:color="auto" w:fill="FFFFFF"/>
            <w:tcMar>
              <w:top w:w="80" w:type="dxa"/>
              <w:left w:w="80" w:type="dxa"/>
              <w:bottom w:w="80" w:type="dxa"/>
              <w:right w:w="80" w:type="dxa"/>
            </w:tcMar>
            <w:vAlign w:val="center"/>
          </w:tcPr>
          <w:p w14:paraId="4BBFD206" w14:textId="77777777" w:rsidR="003D1DEF" w:rsidRDefault="00000000">
            <w:r>
              <w:rPr>
                <w:sz w:val="16"/>
              </w:rPr>
              <w:t>No shelter-level capacity or bed availability</w:t>
            </w:r>
          </w:p>
        </w:tc>
        <w:tc>
          <w:tcPr>
            <w:tcW w:w="3600" w:type="dxa"/>
            <w:shd w:val="clear" w:color="auto" w:fill="FFFFFF"/>
            <w:tcMar>
              <w:top w:w="80" w:type="dxa"/>
              <w:left w:w="80" w:type="dxa"/>
              <w:bottom w:w="80" w:type="dxa"/>
              <w:right w:w="80" w:type="dxa"/>
            </w:tcMar>
            <w:vAlign w:val="center"/>
          </w:tcPr>
          <w:p w14:paraId="18E91CAE" w14:textId="77777777" w:rsidR="003D1DEF" w:rsidRDefault="00000000">
            <w:r>
              <w:rPr>
                <w:sz w:val="16"/>
              </w:rPr>
              <w:t>The dashboard cannot directly measure facility overcrowding thresholds.</w:t>
            </w:r>
          </w:p>
        </w:tc>
        <w:tc>
          <w:tcPr>
            <w:tcW w:w="3312" w:type="dxa"/>
            <w:shd w:val="clear" w:color="auto" w:fill="FFFFFF"/>
            <w:tcMar>
              <w:top w:w="80" w:type="dxa"/>
              <w:left w:w="80" w:type="dxa"/>
              <w:bottom w:w="80" w:type="dxa"/>
              <w:right w:w="80" w:type="dxa"/>
            </w:tcMar>
            <w:vAlign w:val="center"/>
          </w:tcPr>
          <w:p w14:paraId="41FDF349" w14:textId="77777777" w:rsidR="003D1DEF" w:rsidRDefault="00000000">
            <w:r>
              <w:rPr>
                <w:sz w:val="16"/>
              </w:rPr>
              <w:t>Add facility capacity, shelter occupancy, and surge capacity variables.</w:t>
            </w:r>
          </w:p>
        </w:tc>
      </w:tr>
      <w:tr w:rsidR="003D1DEF" w14:paraId="5A80F931" w14:textId="77777777">
        <w:trPr>
          <w:jc w:val="center"/>
        </w:trPr>
        <w:tc>
          <w:tcPr>
            <w:tcW w:w="2592" w:type="dxa"/>
            <w:shd w:val="clear" w:color="auto" w:fill="F7FAFC"/>
            <w:tcMar>
              <w:top w:w="80" w:type="dxa"/>
              <w:left w:w="80" w:type="dxa"/>
              <w:bottom w:w="80" w:type="dxa"/>
              <w:right w:w="80" w:type="dxa"/>
            </w:tcMar>
            <w:vAlign w:val="center"/>
          </w:tcPr>
          <w:p w14:paraId="15E75831" w14:textId="77777777" w:rsidR="003D1DEF" w:rsidRDefault="00000000">
            <w:r>
              <w:rPr>
                <w:sz w:val="16"/>
              </w:rPr>
              <w:t>No staffing-level variables</w:t>
            </w:r>
          </w:p>
        </w:tc>
        <w:tc>
          <w:tcPr>
            <w:tcW w:w="3600" w:type="dxa"/>
            <w:shd w:val="clear" w:color="auto" w:fill="F7FAFC"/>
            <w:tcMar>
              <w:top w:w="80" w:type="dxa"/>
              <w:left w:w="80" w:type="dxa"/>
              <w:bottom w:w="80" w:type="dxa"/>
              <w:right w:w="80" w:type="dxa"/>
            </w:tcMar>
            <w:vAlign w:val="center"/>
          </w:tcPr>
          <w:p w14:paraId="672EFAA8" w14:textId="77777777" w:rsidR="003D1DEF" w:rsidRDefault="00000000">
            <w:r>
              <w:rPr>
                <w:sz w:val="16"/>
              </w:rPr>
              <w:t>The analysis cannot quantify staff workload or staffing gaps.</w:t>
            </w:r>
          </w:p>
        </w:tc>
        <w:tc>
          <w:tcPr>
            <w:tcW w:w="3312" w:type="dxa"/>
            <w:shd w:val="clear" w:color="auto" w:fill="F7FAFC"/>
            <w:tcMar>
              <w:top w:w="80" w:type="dxa"/>
              <w:left w:w="80" w:type="dxa"/>
              <w:bottom w:w="80" w:type="dxa"/>
              <w:right w:w="80" w:type="dxa"/>
            </w:tcMar>
            <w:vAlign w:val="center"/>
          </w:tcPr>
          <w:p w14:paraId="1052FB57" w14:textId="77777777" w:rsidR="003D1DEF" w:rsidRDefault="00000000">
            <w:r>
              <w:rPr>
                <w:sz w:val="16"/>
              </w:rPr>
              <w:t>Add staffing rosters, staff-to-child ratios, and shift coverage data.</w:t>
            </w:r>
          </w:p>
        </w:tc>
      </w:tr>
      <w:tr w:rsidR="003D1DEF" w14:paraId="6FA4B86B" w14:textId="77777777">
        <w:trPr>
          <w:jc w:val="center"/>
        </w:trPr>
        <w:tc>
          <w:tcPr>
            <w:tcW w:w="2592" w:type="dxa"/>
            <w:shd w:val="clear" w:color="auto" w:fill="FFFFFF"/>
            <w:tcMar>
              <w:top w:w="80" w:type="dxa"/>
              <w:left w:w="80" w:type="dxa"/>
              <w:bottom w:w="80" w:type="dxa"/>
              <w:right w:w="80" w:type="dxa"/>
            </w:tcMar>
            <w:vAlign w:val="center"/>
          </w:tcPr>
          <w:p w14:paraId="20E4BCAC" w14:textId="77777777" w:rsidR="003D1DEF" w:rsidRDefault="00000000">
            <w:r>
              <w:rPr>
                <w:sz w:val="16"/>
              </w:rPr>
              <w:t>No geographic facility breakdown</w:t>
            </w:r>
          </w:p>
        </w:tc>
        <w:tc>
          <w:tcPr>
            <w:tcW w:w="3600" w:type="dxa"/>
            <w:shd w:val="clear" w:color="auto" w:fill="FFFFFF"/>
            <w:tcMar>
              <w:top w:w="80" w:type="dxa"/>
              <w:left w:w="80" w:type="dxa"/>
              <w:bottom w:w="80" w:type="dxa"/>
              <w:right w:w="80" w:type="dxa"/>
            </w:tcMar>
            <w:vAlign w:val="center"/>
          </w:tcPr>
          <w:p w14:paraId="0226CD3B" w14:textId="77777777" w:rsidR="003D1DEF" w:rsidRDefault="00000000">
            <w:r>
              <w:rPr>
                <w:sz w:val="16"/>
              </w:rPr>
              <w:t>Regional pressure and local capacity differences are not visible.</w:t>
            </w:r>
          </w:p>
        </w:tc>
        <w:tc>
          <w:tcPr>
            <w:tcW w:w="3312" w:type="dxa"/>
            <w:shd w:val="clear" w:color="auto" w:fill="FFFFFF"/>
            <w:tcMar>
              <w:top w:w="80" w:type="dxa"/>
              <w:left w:w="80" w:type="dxa"/>
              <w:bottom w:w="80" w:type="dxa"/>
              <w:right w:w="80" w:type="dxa"/>
            </w:tcMar>
            <w:vAlign w:val="center"/>
          </w:tcPr>
          <w:p w14:paraId="259C137F" w14:textId="77777777" w:rsidR="003D1DEF" w:rsidRDefault="00000000">
            <w:r>
              <w:rPr>
                <w:sz w:val="16"/>
              </w:rPr>
              <w:t>Add facility or region-level aggregation.</w:t>
            </w:r>
          </w:p>
        </w:tc>
      </w:tr>
      <w:tr w:rsidR="003D1DEF" w14:paraId="5AA33A80" w14:textId="77777777">
        <w:trPr>
          <w:jc w:val="center"/>
        </w:trPr>
        <w:tc>
          <w:tcPr>
            <w:tcW w:w="2592" w:type="dxa"/>
            <w:shd w:val="clear" w:color="auto" w:fill="F7FAFC"/>
            <w:tcMar>
              <w:top w:w="80" w:type="dxa"/>
              <w:left w:w="80" w:type="dxa"/>
              <w:bottom w:w="80" w:type="dxa"/>
              <w:right w:w="80" w:type="dxa"/>
            </w:tcMar>
            <w:vAlign w:val="center"/>
          </w:tcPr>
          <w:p w14:paraId="1D43C414" w14:textId="77777777" w:rsidR="003D1DEF" w:rsidRDefault="00000000">
            <w:r>
              <w:rPr>
                <w:sz w:val="16"/>
              </w:rPr>
              <w:t>No causal model</w:t>
            </w:r>
          </w:p>
        </w:tc>
        <w:tc>
          <w:tcPr>
            <w:tcW w:w="3600" w:type="dxa"/>
            <w:shd w:val="clear" w:color="auto" w:fill="F7FAFC"/>
            <w:tcMar>
              <w:top w:w="80" w:type="dxa"/>
              <w:left w:w="80" w:type="dxa"/>
              <w:bottom w:w="80" w:type="dxa"/>
              <w:right w:w="80" w:type="dxa"/>
            </w:tcMar>
            <w:vAlign w:val="center"/>
          </w:tcPr>
          <w:p w14:paraId="4BC5F99F" w14:textId="77777777" w:rsidR="003D1DEF" w:rsidRDefault="00000000">
            <w:r>
              <w:rPr>
                <w:sz w:val="16"/>
              </w:rPr>
              <w:t>Patterns do not prove why pressure occurred.</w:t>
            </w:r>
          </w:p>
        </w:tc>
        <w:tc>
          <w:tcPr>
            <w:tcW w:w="3312" w:type="dxa"/>
            <w:shd w:val="clear" w:color="auto" w:fill="F7FAFC"/>
            <w:tcMar>
              <w:top w:w="80" w:type="dxa"/>
              <w:left w:w="80" w:type="dxa"/>
              <w:bottom w:w="80" w:type="dxa"/>
              <w:right w:w="80" w:type="dxa"/>
            </w:tcMar>
            <w:vAlign w:val="center"/>
          </w:tcPr>
          <w:p w14:paraId="0506381C" w14:textId="77777777" w:rsidR="003D1DEF" w:rsidRDefault="00000000">
            <w:r>
              <w:rPr>
                <w:sz w:val="16"/>
              </w:rPr>
              <w:t>Add contextual variables and statistical modeling.</w:t>
            </w:r>
          </w:p>
        </w:tc>
      </w:tr>
      <w:tr w:rsidR="003D1DEF" w14:paraId="4EC417B9" w14:textId="77777777">
        <w:trPr>
          <w:jc w:val="center"/>
        </w:trPr>
        <w:tc>
          <w:tcPr>
            <w:tcW w:w="2592" w:type="dxa"/>
            <w:shd w:val="clear" w:color="auto" w:fill="FFFFFF"/>
            <w:tcMar>
              <w:top w:w="80" w:type="dxa"/>
              <w:left w:w="80" w:type="dxa"/>
              <w:bottom w:w="80" w:type="dxa"/>
              <w:right w:w="80" w:type="dxa"/>
            </w:tcMar>
            <w:vAlign w:val="center"/>
          </w:tcPr>
          <w:p w14:paraId="43082069" w14:textId="77777777" w:rsidR="003D1DEF" w:rsidRDefault="00000000">
            <w:r>
              <w:rPr>
                <w:sz w:val="16"/>
              </w:rPr>
              <w:t>Filter and granularity dependency</w:t>
            </w:r>
          </w:p>
        </w:tc>
        <w:tc>
          <w:tcPr>
            <w:tcW w:w="3600" w:type="dxa"/>
            <w:shd w:val="clear" w:color="auto" w:fill="FFFFFF"/>
            <w:tcMar>
              <w:top w:w="80" w:type="dxa"/>
              <w:left w:w="80" w:type="dxa"/>
              <w:bottom w:w="80" w:type="dxa"/>
              <w:right w:w="80" w:type="dxa"/>
            </w:tcMar>
            <w:vAlign w:val="center"/>
          </w:tcPr>
          <w:p w14:paraId="29D022CE" w14:textId="77777777" w:rsidR="003D1DEF" w:rsidRDefault="00000000">
            <w:r>
              <w:rPr>
                <w:sz w:val="16"/>
              </w:rPr>
              <w:t>KPI values change by selected date window and time granularity.</w:t>
            </w:r>
          </w:p>
        </w:tc>
        <w:tc>
          <w:tcPr>
            <w:tcW w:w="3312" w:type="dxa"/>
            <w:shd w:val="clear" w:color="auto" w:fill="FFFFFF"/>
            <w:tcMar>
              <w:top w:w="80" w:type="dxa"/>
              <w:left w:w="80" w:type="dxa"/>
              <w:bottom w:w="80" w:type="dxa"/>
              <w:right w:w="80" w:type="dxa"/>
            </w:tcMar>
            <w:vAlign w:val="center"/>
          </w:tcPr>
          <w:p w14:paraId="30D3F754" w14:textId="77777777" w:rsidR="003D1DEF" w:rsidRDefault="00000000">
            <w:r>
              <w:rPr>
                <w:sz w:val="16"/>
              </w:rPr>
              <w:t>Publish dataset, dashboard, and report versions together.</w:t>
            </w:r>
          </w:p>
        </w:tc>
      </w:tr>
    </w:tbl>
    <w:p w14:paraId="53CEF59D" w14:textId="77777777" w:rsidR="003D1DEF" w:rsidRDefault="003D1DEF"/>
    <w:tbl>
      <w:tblPr>
        <w:tblStyle w:val="TableGrid"/>
        <w:tblW w:w="0" w:type="auto"/>
        <w:tblLook w:val="04A0" w:firstRow="1" w:lastRow="0" w:firstColumn="1" w:lastColumn="0" w:noHBand="0" w:noVBand="1"/>
      </w:tblPr>
      <w:tblGrid>
        <w:gridCol w:w="10037"/>
      </w:tblGrid>
      <w:tr w:rsidR="003D1DEF" w14:paraId="3430E651" w14:textId="77777777">
        <w:trPr>
          <w:tblHeader/>
        </w:trPr>
        <w:tc>
          <w:tcPr>
            <w:tcW w:w="10037" w:type="dxa"/>
            <w:shd w:val="clear" w:color="auto" w:fill="EAF8F6"/>
            <w:tcMar>
              <w:top w:w="120" w:type="dxa"/>
              <w:left w:w="120" w:type="dxa"/>
              <w:bottom w:w="120" w:type="dxa"/>
              <w:right w:w="120" w:type="dxa"/>
            </w:tcMar>
          </w:tcPr>
          <w:p w14:paraId="45B166F8" w14:textId="77777777" w:rsidR="003D1DEF" w:rsidRDefault="00000000">
            <w:r>
              <w:rPr>
                <w:b/>
                <w:color w:val="0F766E"/>
                <w:sz w:val="20"/>
              </w:rPr>
              <w:t>Scope Boundary</w:t>
            </w:r>
          </w:p>
          <w:p w14:paraId="41C81741" w14:textId="77777777" w:rsidR="003D1DEF" w:rsidRDefault="00000000">
            <w:r>
              <w:rPr>
                <w:sz w:val="20"/>
              </w:rPr>
              <w:t>The paper evaluates system capacity and care-load indicators from dashboard evidence. It should not be read as a child welfare audit, facility inspection, staffing assessment, legal analysis, or causal policy evaluation.</w:t>
            </w:r>
          </w:p>
        </w:tc>
      </w:tr>
    </w:tbl>
    <w:p w14:paraId="530072C3" w14:textId="77777777" w:rsidR="003D1DEF" w:rsidRDefault="00000000">
      <w:pPr>
        <w:pStyle w:val="Heading2"/>
        <w:spacing w:before="120" w:after="40"/>
      </w:pPr>
      <w:r>
        <w:t>8.1 Responsible Use Note</w:t>
      </w:r>
    </w:p>
    <w:p w14:paraId="533F8BAA" w14:textId="77777777" w:rsidR="003D1DEF" w:rsidRDefault="00000000">
      <w:pPr>
        <w:spacing w:after="80"/>
      </w:pPr>
      <w:r>
        <w:rPr>
          <w:sz w:val="18"/>
        </w:rPr>
        <w:t>The dashboard evidence should be used as a monitoring and planning layer, not as a legal, clinical, or causal conclusion. A healthy selected view means that current KPI signals are favorable; it does not mean future pressure cannot reappear. For publication and portfolio use, the safest interpretation is to describe patterns, operating signals, and decision triggers while clearly separating them from child-level outcomes, facility performance, and policy causation.</w:t>
      </w:r>
    </w:p>
    <w:tbl>
      <w:tblPr>
        <w:tblW w:w="0" w:type="auto"/>
        <w:jc w:val="center"/>
        <w:tblLook w:val="04A0" w:firstRow="1" w:lastRow="0" w:firstColumn="1" w:lastColumn="0" w:noHBand="0" w:noVBand="1"/>
      </w:tblPr>
      <w:tblGrid>
        <w:gridCol w:w="3346"/>
        <w:gridCol w:w="3346"/>
        <w:gridCol w:w="3346"/>
      </w:tblGrid>
      <w:tr w:rsidR="003D1DEF" w14:paraId="0CBB5C8E" w14:textId="77777777">
        <w:trPr>
          <w:tblHeader/>
          <w:jc w:val="center"/>
        </w:trPr>
        <w:tc>
          <w:tcPr>
            <w:tcW w:w="3346" w:type="dxa"/>
            <w:shd w:val="clear" w:color="auto" w:fill="0B3F56"/>
            <w:vAlign w:val="center"/>
          </w:tcPr>
          <w:p w14:paraId="47DDD704" w14:textId="77777777" w:rsidR="003D1DEF" w:rsidRDefault="00000000">
            <w:pPr>
              <w:spacing w:after="0"/>
            </w:pPr>
            <w:r>
              <w:rPr>
                <w:b/>
                <w:color w:val="FFFFFF"/>
                <w:sz w:val="16"/>
              </w:rPr>
              <w:t>Use Case</w:t>
            </w:r>
          </w:p>
        </w:tc>
        <w:tc>
          <w:tcPr>
            <w:tcW w:w="3346" w:type="dxa"/>
            <w:shd w:val="clear" w:color="auto" w:fill="0B3F56"/>
            <w:vAlign w:val="center"/>
          </w:tcPr>
          <w:p w14:paraId="248EA1A0" w14:textId="77777777" w:rsidR="003D1DEF" w:rsidRDefault="00000000">
            <w:pPr>
              <w:spacing w:after="0"/>
            </w:pPr>
            <w:r>
              <w:rPr>
                <w:b/>
                <w:color w:val="FFFFFF"/>
                <w:sz w:val="16"/>
              </w:rPr>
              <w:t>Allowed Interpretation</w:t>
            </w:r>
          </w:p>
        </w:tc>
        <w:tc>
          <w:tcPr>
            <w:tcW w:w="3346" w:type="dxa"/>
            <w:shd w:val="clear" w:color="auto" w:fill="0B3F56"/>
            <w:vAlign w:val="center"/>
          </w:tcPr>
          <w:p w14:paraId="0EDB438E" w14:textId="77777777" w:rsidR="003D1DEF" w:rsidRDefault="00000000">
            <w:pPr>
              <w:spacing w:after="0"/>
            </w:pPr>
            <w:r>
              <w:rPr>
                <w:b/>
                <w:color w:val="FFFFFF"/>
                <w:sz w:val="16"/>
              </w:rPr>
              <w:t>Avoid Overclaiming</w:t>
            </w:r>
          </w:p>
        </w:tc>
      </w:tr>
      <w:tr w:rsidR="003D1DEF" w14:paraId="4D3C856B" w14:textId="77777777">
        <w:trPr>
          <w:jc w:val="center"/>
        </w:trPr>
        <w:tc>
          <w:tcPr>
            <w:tcW w:w="3346" w:type="dxa"/>
            <w:vAlign w:val="center"/>
          </w:tcPr>
          <w:p w14:paraId="0ADA6F62" w14:textId="77777777" w:rsidR="003D1DEF" w:rsidRDefault="00000000">
            <w:pPr>
              <w:spacing w:after="0"/>
            </w:pPr>
            <w:r>
              <w:rPr>
                <w:sz w:val="14"/>
              </w:rPr>
              <w:t>Capacity monitoring</w:t>
            </w:r>
          </w:p>
        </w:tc>
        <w:tc>
          <w:tcPr>
            <w:tcW w:w="3346" w:type="dxa"/>
            <w:vAlign w:val="center"/>
          </w:tcPr>
          <w:p w14:paraId="78EFB420" w14:textId="77777777" w:rsidR="003D1DEF" w:rsidRDefault="00000000">
            <w:pPr>
              <w:spacing w:after="0"/>
            </w:pPr>
            <w:r>
              <w:rPr>
                <w:sz w:val="14"/>
              </w:rPr>
              <w:t>Use KPIs to identify load, relief, backlog, and volatility signals.</w:t>
            </w:r>
          </w:p>
        </w:tc>
        <w:tc>
          <w:tcPr>
            <w:tcW w:w="3346" w:type="dxa"/>
            <w:vAlign w:val="center"/>
          </w:tcPr>
          <w:p w14:paraId="1EDE324D" w14:textId="77777777" w:rsidR="003D1DEF" w:rsidRDefault="00000000">
            <w:pPr>
              <w:spacing w:after="0"/>
            </w:pPr>
            <w:r>
              <w:rPr>
                <w:sz w:val="14"/>
              </w:rPr>
              <w:t>Do not claim exact facility overcrowding without shelter capacity data.</w:t>
            </w:r>
          </w:p>
        </w:tc>
      </w:tr>
      <w:tr w:rsidR="003D1DEF" w14:paraId="47748C2F" w14:textId="77777777">
        <w:trPr>
          <w:jc w:val="center"/>
        </w:trPr>
        <w:tc>
          <w:tcPr>
            <w:tcW w:w="3346" w:type="dxa"/>
            <w:vAlign w:val="center"/>
          </w:tcPr>
          <w:p w14:paraId="25D744B9" w14:textId="77777777" w:rsidR="003D1DEF" w:rsidRDefault="00000000">
            <w:pPr>
              <w:spacing w:after="0"/>
            </w:pPr>
            <w:r>
              <w:rPr>
                <w:sz w:val="14"/>
              </w:rPr>
              <w:t>Operational planning</w:t>
            </w:r>
          </w:p>
        </w:tc>
        <w:tc>
          <w:tcPr>
            <w:tcW w:w="3346" w:type="dxa"/>
            <w:vAlign w:val="center"/>
          </w:tcPr>
          <w:p w14:paraId="4E74216E" w14:textId="77777777" w:rsidR="003D1DEF" w:rsidRDefault="00000000">
            <w:pPr>
              <w:spacing w:after="0"/>
            </w:pPr>
            <w:r>
              <w:rPr>
                <w:sz w:val="14"/>
              </w:rPr>
              <w:t>Use HHS share, pressure drivers, and discharge offset to guide monitoring cadence.</w:t>
            </w:r>
          </w:p>
        </w:tc>
        <w:tc>
          <w:tcPr>
            <w:tcW w:w="3346" w:type="dxa"/>
            <w:vAlign w:val="center"/>
          </w:tcPr>
          <w:p w14:paraId="583369F4" w14:textId="77777777" w:rsidR="003D1DEF" w:rsidRDefault="00000000">
            <w:pPr>
              <w:spacing w:after="0"/>
            </w:pPr>
            <w:r>
              <w:rPr>
                <w:sz w:val="14"/>
              </w:rPr>
              <w:t>Do not infer staffing adequacy without staffing data.</w:t>
            </w:r>
          </w:p>
        </w:tc>
      </w:tr>
      <w:tr w:rsidR="003D1DEF" w14:paraId="6D72EAE1" w14:textId="77777777">
        <w:trPr>
          <w:jc w:val="center"/>
        </w:trPr>
        <w:tc>
          <w:tcPr>
            <w:tcW w:w="3346" w:type="dxa"/>
            <w:vAlign w:val="center"/>
          </w:tcPr>
          <w:p w14:paraId="5D32B90B" w14:textId="77777777" w:rsidR="003D1DEF" w:rsidRDefault="00000000">
            <w:pPr>
              <w:spacing w:after="0"/>
            </w:pPr>
            <w:r>
              <w:rPr>
                <w:sz w:val="14"/>
              </w:rPr>
              <w:t>Portfolio publication</w:t>
            </w:r>
          </w:p>
        </w:tc>
        <w:tc>
          <w:tcPr>
            <w:tcW w:w="3346" w:type="dxa"/>
            <w:vAlign w:val="center"/>
          </w:tcPr>
          <w:p w14:paraId="7DF1D041" w14:textId="77777777" w:rsidR="003D1DEF" w:rsidRDefault="00000000">
            <w:pPr>
              <w:spacing w:after="0"/>
            </w:pPr>
            <w:r>
              <w:rPr>
                <w:sz w:val="14"/>
              </w:rPr>
              <w:t>Present dashboard outputs as applied analytics evidence with documented limitations.</w:t>
            </w:r>
          </w:p>
        </w:tc>
        <w:tc>
          <w:tcPr>
            <w:tcW w:w="3346" w:type="dxa"/>
            <w:vAlign w:val="center"/>
          </w:tcPr>
          <w:p w14:paraId="40CF5815" w14:textId="77777777" w:rsidR="003D1DEF" w:rsidRDefault="00000000">
            <w:pPr>
              <w:spacing w:after="0"/>
            </w:pPr>
            <w:r>
              <w:rPr>
                <w:sz w:val="14"/>
              </w:rPr>
              <w:t>Do not present descriptive findings as causal policy proof.</w:t>
            </w:r>
          </w:p>
        </w:tc>
      </w:tr>
    </w:tbl>
    <w:p w14:paraId="6CA99DFD" w14:textId="77777777" w:rsidR="003D1DEF" w:rsidRDefault="003D1DEF"/>
    <w:p w14:paraId="421EF49C" w14:textId="77777777" w:rsidR="003D1DEF" w:rsidRDefault="00000000">
      <w:r>
        <w:br w:type="page"/>
      </w:r>
    </w:p>
    <w:p w14:paraId="389AEEB2" w14:textId="77777777" w:rsidR="003D1DEF" w:rsidRDefault="00000000">
      <w:pPr>
        <w:pStyle w:val="Heading1"/>
        <w:spacing w:after="200"/>
      </w:pPr>
      <w:r>
        <w:rPr>
          <w:rFonts w:ascii="Calibri" w:hAnsi="Calibri"/>
          <w:color w:val="0B1F3A"/>
          <w:sz w:val="36"/>
        </w:rPr>
        <w:lastRenderedPageBreak/>
        <w:t>9. Key Performance Indicators</w:t>
      </w:r>
    </w:p>
    <w:p w14:paraId="2AC3FD54" w14:textId="77777777" w:rsidR="003D1DEF" w:rsidRDefault="00000000">
      <w:pPr>
        <w:jc w:val="both"/>
      </w:pPr>
      <w:r>
        <w:t>The KPI framework is built around five project-required measures: Total Children Under Care, Net Intake Pressure, Care Load Volatility Index, Backlog Accumulation Rate, and Discharge Offset Ratio. These KPIs collectively describe system responsibility, flow balance, stability, pressure frequency, and relief capacity.</w:t>
      </w:r>
    </w:p>
    <w:p w14:paraId="3BDA511D" w14:textId="77777777" w:rsidR="003D1DEF" w:rsidRDefault="00000000">
      <w:pPr>
        <w:jc w:val="both"/>
      </w:pPr>
      <w:r>
        <w:t>Figure 1 presents the official KPI card snapshot used as the executive KPI baseline. The table below translates the same indicators into formulas, interpretations, and action triggers for the research paper.</w:t>
      </w:r>
    </w:p>
    <w:tbl>
      <w:tblPr>
        <w:tblStyle w:val="TableGrid"/>
        <w:tblW w:w="0" w:type="auto"/>
        <w:jc w:val="center"/>
        <w:tblLook w:val="04A0" w:firstRow="1" w:lastRow="0" w:firstColumn="1" w:lastColumn="0" w:noHBand="0" w:noVBand="1"/>
      </w:tblPr>
      <w:tblGrid>
        <w:gridCol w:w="2026"/>
        <w:gridCol w:w="1361"/>
        <w:gridCol w:w="2386"/>
        <w:gridCol w:w="2159"/>
        <w:gridCol w:w="2265"/>
      </w:tblGrid>
      <w:tr w:rsidR="003D1DEF" w14:paraId="7A1C2124" w14:textId="77777777">
        <w:trPr>
          <w:tblHeader/>
          <w:jc w:val="center"/>
        </w:trPr>
        <w:tc>
          <w:tcPr>
            <w:tcW w:w="2160" w:type="dxa"/>
            <w:shd w:val="clear" w:color="auto" w:fill="0B3D5C"/>
            <w:tcMar>
              <w:top w:w="80" w:type="dxa"/>
              <w:left w:w="80" w:type="dxa"/>
              <w:bottom w:w="80" w:type="dxa"/>
              <w:right w:w="80" w:type="dxa"/>
            </w:tcMar>
            <w:vAlign w:val="center"/>
          </w:tcPr>
          <w:p w14:paraId="416697F5" w14:textId="77777777" w:rsidR="003D1DEF" w:rsidRDefault="00000000">
            <w:r>
              <w:rPr>
                <w:b/>
                <w:color w:val="FFFFFF"/>
                <w:sz w:val="15"/>
              </w:rPr>
              <w:t>KPI</w:t>
            </w:r>
          </w:p>
        </w:tc>
        <w:tc>
          <w:tcPr>
            <w:tcW w:w="1440" w:type="dxa"/>
            <w:shd w:val="clear" w:color="auto" w:fill="0B3D5C"/>
            <w:tcMar>
              <w:top w:w="80" w:type="dxa"/>
              <w:left w:w="80" w:type="dxa"/>
              <w:bottom w:w="80" w:type="dxa"/>
              <w:right w:w="80" w:type="dxa"/>
            </w:tcMar>
            <w:vAlign w:val="center"/>
          </w:tcPr>
          <w:p w14:paraId="17E0645A" w14:textId="77777777" w:rsidR="003D1DEF" w:rsidRDefault="00000000">
            <w:r>
              <w:rPr>
                <w:b/>
                <w:color w:val="FFFFFF"/>
                <w:sz w:val="15"/>
              </w:rPr>
              <w:t>Observed Value</w:t>
            </w:r>
          </w:p>
        </w:tc>
        <w:tc>
          <w:tcPr>
            <w:tcW w:w="2592" w:type="dxa"/>
            <w:shd w:val="clear" w:color="auto" w:fill="0B3D5C"/>
            <w:tcMar>
              <w:top w:w="80" w:type="dxa"/>
              <w:left w:w="80" w:type="dxa"/>
              <w:bottom w:w="80" w:type="dxa"/>
              <w:right w:w="80" w:type="dxa"/>
            </w:tcMar>
            <w:vAlign w:val="center"/>
          </w:tcPr>
          <w:p w14:paraId="16769C13" w14:textId="77777777" w:rsidR="003D1DEF" w:rsidRDefault="00000000">
            <w:r>
              <w:rPr>
                <w:b/>
                <w:color w:val="FFFFFF"/>
                <w:sz w:val="15"/>
              </w:rPr>
              <w:t>Formula / Logic</w:t>
            </w:r>
          </w:p>
        </w:tc>
        <w:tc>
          <w:tcPr>
            <w:tcW w:w="2304" w:type="dxa"/>
            <w:shd w:val="clear" w:color="auto" w:fill="0B3D5C"/>
            <w:tcMar>
              <w:top w:w="80" w:type="dxa"/>
              <w:left w:w="80" w:type="dxa"/>
              <w:bottom w:w="80" w:type="dxa"/>
              <w:right w:w="80" w:type="dxa"/>
            </w:tcMar>
            <w:vAlign w:val="center"/>
          </w:tcPr>
          <w:p w14:paraId="5F4E5466" w14:textId="77777777" w:rsidR="003D1DEF" w:rsidRDefault="00000000">
            <w:r>
              <w:rPr>
                <w:b/>
                <w:color w:val="FFFFFF"/>
                <w:sz w:val="15"/>
              </w:rPr>
              <w:t>Interpretation</w:t>
            </w:r>
          </w:p>
        </w:tc>
        <w:tc>
          <w:tcPr>
            <w:tcW w:w="2448" w:type="dxa"/>
            <w:shd w:val="clear" w:color="auto" w:fill="0B3D5C"/>
            <w:tcMar>
              <w:top w:w="80" w:type="dxa"/>
              <w:left w:w="80" w:type="dxa"/>
              <w:bottom w:w="80" w:type="dxa"/>
              <w:right w:w="80" w:type="dxa"/>
            </w:tcMar>
            <w:vAlign w:val="center"/>
          </w:tcPr>
          <w:p w14:paraId="5B08C28A" w14:textId="77777777" w:rsidR="003D1DEF" w:rsidRDefault="00000000">
            <w:r>
              <w:rPr>
                <w:b/>
                <w:color w:val="FFFFFF"/>
                <w:sz w:val="15"/>
              </w:rPr>
              <w:t>Action Trigger</w:t>
            </w:r>
          </w:p>
        </w:tc>
      </w:tr>
      <w:tr w:rsidR="003D1DEF" w14:paraId="380D4C56" w14:textId="77777777">
        <w:trPr>
          <w:jc w:val="center"/>
        </w:trPr>
        <w:tc>
          <w:tcPr>
            <w:tcW w:w="2160" w:type="dxa"/>
            <w:shd w:val="clear" w:color="auto" w:fill="F7FAFC"/>
            <w:tcMar>
              <w:top w:w="80" w:type="dxa"/>
              <w:left w:w="80" w:type="dxa"/>
              <w:bottom w:w="80" w:type="dxa"/>
              <w:right w:w="80" w:type="dxa"/>
            </w:tcMar>
            <w:vAlign w:val="center"/>
          </w:tcPr>
          <w:p w14:paraId="24304955" w14:textId="77777777" w:rsidR="003D1DEF" w:rsidRDefault="00000000">
            <w:r>
              <w:rPr>
                <w:sz w:val="15"/>
              </w:rPr>
              <w:t>Total Children Under Care</w:t>
            </w:r>
          </w:p>
        </w:tc>
        <w:tc>
          <w:tcPr>
            <w:tcW w:w="1440" w:type="dxa"/>
            <w:shd w:val="clear" w:color="auto" w:fill="F7FAFC"/>
            <w:tcMar>
              <w:top w:w="80" w:type="dxa"/>
              <w:left w:w="80" w:type="dxa"/>
              <w:bottom w:w="80" w:type="dxa"/>
              <w:right w:w="80" w:type="dxa"/>
            </w:tcMar>
            <w:vAlign w:val="center"/>
          </w:tcPr>
          <w:p w14:paraId="6B7A010B" w14:textId="77777777" w:rsidR="003D1DEF" w:rsidRDefault="00000000">
            <w:r>
              <w:rPr>
                <w:sz w:val="15"/>
              </w:rPr>
              <w:t>2,502</w:t>
            </w:r>
          </w:p>
        </w:tc>
        <w:tc>
          <w:tcPr>
            <w:tcW w:w="2592" w:type="dxa"/>
            <w:shd w:val="clear" w:color="auto" w:fill="F7FAFC"/>
            <w:tcMar>
              <w:top w:w="80" w:type="dxa"/>
              <w:left w:w="80" w:type="dxa"/>
              <w:bottom w:w="80" w:type="dxa"/>
              <w:right w:w="80" w:type="dxa"/>
            </w:tcMar>
            <w:vAlign w:val="center"/>
          </w:tcPr>
          <w:p w14:paraId="4286E18E" w14:textId="77777777" w:rsidR="003D1DEF" w:rsidRDefault="00000000">
            <w:r>
              <w:rPr>
                <w:sz w:val="15"/>
              </w:rPr>
              <w:t>CBP Custody + HHS Care</w:t>
            </w:r>
          </w:p>
        </w:tc>
        <w:tc>
          <w:tcPr>
            <w:tcW w:w="2304" w:type="dxa"/>
            <w:shd w:val="clear" w:color="auto" w:fill="F7FAFC"/>
            <w:tcMar>
              <w:top w:w="80" w:type="dxa"/>
              <w:left w:w="80" w:type="dxa"/>
              <w:bottom w:w="80" w:type="dxa"/>
              <w:right w:w="80" w:type="dxa"/>
            </w:tcMar>
            <w:vAlign w:val="center"/>
          </w:tcPr>
          <w:p w14:paraId="4B87E76A" w14:textId="77777777" w:rsidR="003D1DEF" w:rsidRDefault="00000000">
            <w:r>
              <w:rPr>
                <w:sz w:val="15"/>
              </w:rPr>
              <w:t>Current system-wide responsibility.</w:t>
            </w:r>
          </w:p>
        </w:tc>
        <w:tc>
          <w:tcPr>
            <w:tcW w:w="2448" w:type="dxa"/>
            <w:shd w:val="clear" w:color="auto" w:fill="F7FAFC"/>
            <w:tcMar>
              <w:top w:w="80" w:type="dxa"/>
              <w:left w:w="80" w:type="dxa"/>
              <w:bottom w:w="80" w:type="dxa"/>
              <w:right w:w="80" w:type="dxa"/>
            </w:tcMar>
            <w:vAlign w:val="center"/>
          </w:tcPr>
          <w:p w14:paraId="37C5BDC0" w14:textId="77777777" w:rsidR="003D1DEF" w:rsidRDefault="00000000">
            <w:r>
              <w:rPr>
                <w:sz w:val="15"/>
              </w:rPr>
              <w:t>Review if load approaches selected-period average or peak.</w:t>
            </w:r>
          </w:p>
        </w:tc>
      </w:tr>
      <w:tr w:rsidR="003D1DEF" w14:paraId="07E6A6EC" w14:textId="77777777">
        <w:trPr>
          <w:jc w:val="center"/>
        </w:trPr>
        <w:tc>
          <w:tcPr>
            <w:tcW w:w="2160" w:type="dxa"/>
            <w:shd w:val="clear" w:color="auto" w:fill="FFFFFF"/>
            <w:tcMar>
              <w:top w:w="80" w:type="dxa"/>
              <w:left w:w="80" w:type="dxa"/>
              <w:bottom w:w="80" w:type="dxa"/>
              <w:right w:w="80" w:type="dxa"/>
            </w:tcMar>
            <w:vAlign w:val="center"/>
          </w:tcPr>
          <w:p w14:paraId="7136540F" w14:textId="77777777" w:rsidR="003D1DEF" w:rsidRDefault="00000000">
            <w:r>
              <w:rPr>
                <w:sz w:val="15"/>
              </w:rPr>
              <w:t>Net Intake Pressure</w:t>
            </w:r>
          </w:p>
        </w:tc>
        <w:tc>
          <w:tcPr>
            <w:tcW w:w="1440" w:type="dxa"/>
            <w:shd w:val="clear" w:color="auto" w:fill="FFFFFF"/>
            <w:tcMar>
              <w:top w:w="80" w:type="dxa"/>
              <w:left w:w="80" w:type="dxa"/>
              <w:bottom w:w="80" w:type="dxa"/>
              <w:right w:w="80" w:type="dxa"/>
            </w:tcMar>
            <w:vAlign w:val="center"/>
          </w:tcPr>
          <w:p w14:paraId="4C43B4F7" w14:textId="77777777" w:rsidR="003D1DEF" w:rsidRDefault="00000000">
            <w:r>
              <w:rPr>
                <w:sz w:val="15"/>
              </w:rPr>
              <w:t>-44.7 / day</w:t>
            </w:r>
          </w:p>
        </w:tc>
        <w:tc>
          <w:tcPr>
            <w:tcW w:w="2592" w:type="dxa"/>
            <w:shd w:val="clear" w:color="auto" w:fill="FFFFFF"/>
            <w:tcMar>
              <w:top w:w="80" w:type="dxa"/>
              <w:left w:w="80" w:type="dxa"/>
              <w:bottom w:w="80" w:type="dxa"/>
              <w:right w:w="80" w:type="dxa"/>
            </w:tcMar>
            <w:vAlign w:val="center"/>
          </w:tcPr>
          <w:p w14:paraId="5C8248C3" w14:textId="77777777" w:rsidR="003D1DEF" w:rsidRDefault="00000000">
            <w:r>
              <w:rPr>
                <w:sz w:val="15"/>
              </w:rPr>
              <w:t>Transfers into HHS - HHS discharges</w:t>
            </w:r>
          </w:p>
        </w:tc>
        <w:tc>
          <w:tcPr>
            <w:tcW w:w="2304" w:type="dxa"/>
            <w:shd w:val="clear" w:color="auto" w:fill="FFFFFF"/>
            <w:tcMar>
              <w:top w:w="80" w:type="dxa"/>
              <w:left w:w="80" w:type="dxa"/>
              <w:bottom w:w="80" w:type="dxa"/>
              <w:right w:w="80" w:type="dxa"/>
            </w:tcMar>
            <w:vAlign w:val="center"/>
          </w:tcPr>
          <w:p w14:paraId="0D2E434D" w14:textId="77777777" w:rsidR="003D1DEF" w:rsidRDefault="00000000">
            <w:r>
              <w:rPr>
                <w:sz w:val="15"/>
              </w:rPr>
              <w:t>Relief improving; discharges exceed transfers.</w:t>
            </w:r>
          </w:p>
        </w:tc>
        <w:tc>
          <w:tcPr>
            <w:tcW w:w="2448" w:type="dxa"/>
            <w:shd w:val="clear" w:color="auto" w:fill="FFFFFF"/>
            <w:tcMar>
              <w:top w:w="80" w:type="dxa"/>
              <w:left w:w="80" w:type="dxa"/>
              <w:bottom w:w="80" w:type="dxa"/>
              <w:right w:w="80" w:type="dxa"/>
            </w:tcMar>
            <w:vAlign w:val="center"/>
          </w:tcPr>
          <w:p w14:paraId="42D88803" w14:textId="77777777" w:rsidR="003D1DEF" w:rsidRDefault="00000000">
            <w:r>
              <w:rPr>
                <w:sz w:val="15"/>
              </w:rPr>
              <w:t>Review if net intake turns positive for sustained periods.</w:t>
            </w:r>
          </w:p>
        </w:tc>
      </w:tr>
      <w:tr w:rsidR="003D1DEF" w14:paraId="12202080" w14:textId="77777777">
        <w:trPr>
          <w:jc w:val="center"/>
        </w:trPr>
        <w:tc>
          <w:tcPr>
            <w:tcW w:w="2160" w:type="dxa"/>
            <w:shd w:val="clear" w:color="auto" w:fill="F7FAFC"/>
            <w:tcMar>
              <w:top w:w="80" w:type="dxa"/>
              <w:left w:w="80" w:type="dxa"/>
              <w:bottom w:w="80" w:type="dxa"/>
              <w:right w:w="80" w:type="dxa"/>
            </w:tcMar>
            <w:vAlign w:val="center"/>
          </w:tcPr>
          <w:p w14:paraId="369E5851" w14:textId="77777777" w:rsidR="003D1DEF" w:rsidRDefault="00000000">
            <w:r>
              <w:rPr>
                <w:sz w:val="15"/>
              </w:rPr>
              <w:t>Discharge Offset Ratio</w:t>
            </w:r>
          </w:p>
        </w:tc>
        <w:tc>
          <w:tcPr>
            <w:tcW w:w="1440" w:type="dxa"/>
            <w:shd w:val="clear" w:color="auto" w:fill="F7FAFC"/>
            <w:tcMar>
              <w:top w:w="80" w:type="dxa"/>
              <w:left w:w="80" w:type="dxa"/>
              <w:bottom w:w="80" w:type="dxa"/>
              <w:right w:w="80" w:type="dxa"/>
            </w:tcMar>
            <w:vAlign w:val="center"/>
          </w:tcPr>
          <w:p w14:paraId="73AEF82F" w14:textId="77777777" w:rsidR="003D1DEF" w:rsidRDefault="00000000">
            <w:r>
              <w:rPr>
                <w:sz w:val="15"/>
              </w:rPr>
              <w:t>1.35x</w:t>
            </w:r>
          </w:p>
        </w:tc>
        <w:tc>
          <w:tcPr>
            <w:tcW w:w="2592" w:type="dxa"/>
            <w:shd w:val="clear" w:color="auto" w:fill="F7FAFC"/>
            <w:tcMar>
              <w:top w:w="80" w:type="dxa"/>
              <w:left w:w="80" w:type="dxa"/>
              <w:bottom w:w="80" w:type="dxa"/>
              <w:right w:w="80" w:type="dxa"/>
            </w:tcMar>
            <w:vAlign w:val="center"/>
          </w:tcPr>
          <w:p w14:paraId="1A741E55" w14:textId="77777777" w:rsidR="003D1DEF" w:rsidRDefault="00000000">
            <w:r>
              <w:rPr>
                <w:sz w:val="15"/>
              </w:rPr>
              <w:t>Discharges / Transfers</w:t>
            </w:r>
          </w:p>
        </w:tc>
        <w:tc>
          <w:tcPr>
            <w:tcW w:w="2304" w:type="dxa"/>
            <w:shd w:val="clear" w:color="auto" w:fill="F7FAFC"/>
            <w:tcMar>
              <w:top w:w="80" w:type="dxa"/>
              <w:left w:w="80" w:type="dxa"/>
              <w:bottom w:w="80" w:type="dxa"/>
              <w:right w:w="80" w:type="dxa"/>
            </w:tcMar>
            <w:vAlign w:val="center"/>
          </w:tcPr>
          <w:p w14:paraId="73BC7513" w14:textId="77777777" w:rsidR="003D1DEF" w:rsidRDefault="00000000">
            <w:r>
              <w:rPr>
                <w:sz w:val="15"/>
              </w:rPr>
              <w:t>Discharge relief is ahead of transfer inflow.</w:t>
            </w:r>
          </w:p>
        </w:tc>
        <w:tc>
          <w:tcPr>
            <w:tcW w:w="2448" w:type="dxa"/>
            <w:shd w:val="clear" w:color="auto" w:fill="F7FAFC"/>
            <w:tcMar>
              <w:top w:w="80" w:type="dxa"/>
              <w:left w:w="80" w:type="dxa"/>
              <w:bottom w:w="80" w:type="dxa"/>
              <w:right w:w="80" w:type="dxa"/>
            </w:tcMar>
            <w:vAlign w:val="center"/>
          </w:tcPr>
          <w:p w14:paraId="1FE43DB6" w14:textId="77777777" w:rsidR="003D1DEF" w:rsidRDefault="00000000">
            <w:r>
              <w:rPr>
                <w:sz w:val="15"/>
              </w:rPr>
              <w:t>Review if ratio falls below 1.00x.</w:t>
            </w:r>
          </w:p>
        </w:tc>
      </w:tr>
      <w:tr w:rsidR="003D1DEF" w14:paraId="3683AD6A" w14:textId="77777777">
        <w:trPr>
          <w:jc w:val="center"/>
        </w:trPr>
        <w:tc>
          <w:tcPr>
            <w:tcW w:w="2160" w:type="dxa"/>
            <w:shd w:val="clear" w:color="auto" w:fill="FFFFFF"/>
            <w:tcMar>
              <w:top w:w="80" w:type="dxa"/>
              <w:left w:w="80" w:type="dxa"/>
              <w:bottom w:w="80" w:type="dxa"/>
              <w:right w:w="80" w:type="dxa"/>
            </w:tcMar>
            <w:vAlign w:val="center"/>
          </w:tcPr>
          <w:p w14:paraId="758B7682" w14:textId="77777777" w:rsidR="003D1DEF" w:rsidRDefault="00000000">
            <w:r>
              <w:rPr>
                <w:sz w:val="15"/>
              </w:rPr>
              <w:t>Care Load Volatility Index</w:t>
            </w:r>
          </w:p>
        </w:tc>
        <w:tc>
          <w:tcPr>
            <w:tcW w:w="1440" w:type="dxa"/>
            <w:shd w:val="clear" w:color="auto" w:fill="FFFFFF"/>
            <w:tcMar>
              <w:top w:w="80" w:type="dxa"/>
              <w:left w:w="80" w:type="dxa"/>
              <w:bottom w:w="80" w:type="dxa"/>
              <w:right w:w="80" w:type="dxa"/>
            </w:tcMar>
            <w:vAlign w:val="center"/>
          </w:tcPr>
          <w:p w14:paraId="024E5948" w14:textId="77777777" w:rsidR="003D1DEF" w:rsidRDefault="00000000">
            <w:r>
              <w:rPr>
                <w:sz w:val="15"/>
              </w:rPr>
              <w:t>1.9%</w:t>
            </w:r>
          </w:p>
        </w:tc>
        <w:tc>
          <w:tcPr>
            <w:tcW w:w="2592" w:type="dxa"/>
            <w:shd w:val="clear" w:color="auto" w:fill="FFFFFF"/>
            <w:tcMar>
              <w:top w:w="80" w:type="dxa"/>
              <w:left w:w="80" w:type="dxa"/>
              <w:bottom w:w="80" w:type="dxa"/>
              <w:right w:w="80" w:type="dxa"/>
            </w:tcMar>
            <w:vAlign w:val="center"/>
          </w:tcPr>
          <w:p w14:paraId="12C3E2F8" w14:textId="77777777" w:rsidR="003D1DEF" w:rsidRDefault="00000000">
            <w:r>
              <w:rPr>
                <w:sz w:val="15"/>
              </w:rPr>
              <w:t>Standard deviation of growth rate</w:t>
            </w:r>
          </w:p>
        </w:tc>
        <w:tc>
          <w:tcPr>
            <w:tcW w:w="2304" w:type="dxa"/>
            <w:shd w:val="clear" w:color="auto" w:fill="FFFFFF"/>
            <w:tcMar>
              <w:top w:w="80" w:type="dxa"/>
              <w:left w:w="80" w:type="dxa"/>
              <w:bottom w:w="80" w:type="dxa"/>
              <w:right w:w="80" w:type="dxa"/>
            </w:tcMar>
            <w:vAlign w:val="center"/>
          </w:tcPr>
          <w:p w14:paraId="7FE70654" w14:textId="77777777" w:rsidR="003D1DEF" w:rsidRDefault="00000000">
            <w:r>
              <w:rPr>
                <w:sz w:val="15"/>
              </w:rPr>
              <w:t>Daily movement is stable.</w:t>
            </w:r>
          </w:p>
        </w:tc>
        <w:tc>
          <w:tcPr>
            <w:tcW w:w="2448" w:type="dxa"/>
            <w:shd w:val="clear" w:color="auto" w:fill="FFFFFF"/>
            <w:tcMar>
              <w:top w:w="80" w:type="dxa"/>
              <w:left w:w="80" w:type="dxa"/>
              <w:bottom w:w="80" w:type="dxa"/>
              <w:right w:w="80" w:type="dxa"/>
            </w:tcMar>
            <w:vAlign w:val="center"/>
          </w:tcPr>
          <w:p w14:paraId="5CEACB3C" w14:textId="77777777" w:rsidR="003D1DEF" w:rsidRDefault="00000000">
            <w:r>
              <w:rPr>
                <w:sz w:val="15"/>
              </w:rPr>
              <w:t>Review if volatility increases or disrupts planning reliability.</w:t>
            </w:r>
          </w:p>
        </w:tc>
      </w:tr>
      <w:tr w:rsidR="003D1DEF" w14:paraId="3BB0AD52" w14:textId="77777777">
        <w:trPr>
          <w:jc w:val="center"/>
        </w:trPr>
        <w:tc>
          <w:tcPr>
            <w:tcW w:w="2160" w:type="dxa"/>
            <w:shd w:val="clear" w:color="auto" w:fill="F7FAFC"/>
            <w:tcMar>
              <w:top w:w="80" w:type="dxa"/>
              <w:left w:w="80" w:type="dxa"/>
              <w:bottom w:w="80" w:type="dxa"/>
              <w:right w:w="80" w:type="dxa"/>
            </w:tcMar>
            <w:vAlign w:val="center"/>
          </w:tcPr>
          <w:p w14:paraId="74A09592" w14:textId="77777777" w:rsidR="003D1DEF" w:rsidRDefault="00000000">
            <w:r>
              <w:rPr>
                <w:sz w:val="15"/>
              </w:rPr>
              <w:t>Backlog Accumulation Rate</w:t>
            </w:r>
          </w:p>
        </w:tc>
        <w:tc>
          <w:tcPr>
            <w:tcW w:w="1440" w:type="dxa"/>
            <w:shd w:val="clear" w:color="auto" w:fill="F7FAFC"/>
            <w:tcMar>
              <w:top w:w="80" w:type="dxa"/>
              <w:left w:w="80" w:type="dxa"/>
              <w:bottom w:w="80" w:type="dxa"/>
              <w:right w:w="80" w:type="dxa"/>
            </w:tcMar>
            <w:vAlign w:val="center"/>
          </w:tcPr>
          <w:p w14:paraId="4F96E89E" w14:textId="77777777" w:rsidR="003D1DEF" w:rsidRDefault="00000000">
            <w:r>
              <w:rPr>
                <w:sz w:val="15"/>
              </w:rPr>
              <w:t>33.1%</w:t>
            </w:r>
          </w:p>
        </w:tc>
        <w:tc>
          <w:tcPr>
            <w:tcW w:w="2592" w:type="dxa"/>
            <w:shd w:val="clear" w:color="auto" w:fill="F7FAFC"/>
            <w:tcMar>
              <w:top w:w="80" w:type="dxa"/>
              <w:left w:w="80" w:type="dxa"/>
              <w:bottom w:w="80" w:type="dxa"/>
              <w:right w:w="80" w:type="dxa"/>
            </w:tcMar>
            <w:vAlign w:val="center"/>
          </w:tcPr>
          <w:p w14:paraId="6B66C27F" w14:textId="77777777" w:rsidR="003D1DEF" w:rsidRDefault="00000000">
            <w:r>
              <w:rPr>
                <w:sz w:val="15"/>
              </w:rPr>
              <w:t>Share of positive net intake days</w:t>
            </w:r>
          </w:p>
        </w:tc>
        <w:tc>
          <w:tcPr>
            <w:tcW w:w="2304" w:type="dxa"/>
            <w:shd w:val="clear" w:color="auto" w:fill="F7FAFC"/>
            <w:tcMar>
              <w:top w:w="80" w:type="dxa"/>
              <w:left w:w="80" w:type="dxa"/>
              <w:bottom w:w="80" w:type="dxa"/>
              <w:right w:w="80" w:type="dxa"/>
            </w:tcMar>
            <w:vAlign w:val="center"/>
          </w:tcPr>
          <w:p w14:paraId="60407ED1" w14:textId="77777777" w:rsidR="003D1DEF" w:rsidRDefault="00000000">
            <w:r>
              <w:rPr>
                <w:sz w:val="15"/>
              </w:rPr>
              <w:t>Pressure periods exist but are controlled.</w:t>
            </w:r>
          </w:p>
        </w:tc>
        <w:tc>
          <w:tcPr>
            <w:tcW w:w="2448" w:type="dxa"/>
            <w:shd w:val="clear" w:color="auto" w:fill="F7FAFC"/>
            <w:tcMar>
              <w:top w:w="80" w:type="dxa"/>
              <w:left w:w="80" w:type="dxa"/>
              <w:bottom w:w="80" w:type="dxa"/>
              <w:right w:w="80" w:type="dxa"/>
            </w:tcMar>
            <w:vAlign w:val="center"/>
          </w:tcPr>
          <w:p w14:paraId="254DFB5C" w14:textId="77777777" w:rsidR="003D1DEF" w:rsidRDefault="00000000">
            <w:r>
              <w:rPr>
                <w:sz w:val="15"/>
              </w:rPr>
              <w:t>Review if pressure-day share rises above controlled range.</w:t>
            </w:r>
          </w:p>
        </w:tc>
      </w:tr>
    </w:tbl>
    <w:p w14:paraId="03F605C6" w14:textId="77777777" w:rsidR="003D1DEF" w:rsidRDefault="003D1DEF"/>
    <w:p w14:paraId="10482E63" w14:textId="77777777" w:rsidR="003D1DEF" w:rsidRDefault="00000000">
      <w:pPr>
        <w:pStyle w:val="Heading2"/>
      </w:pPr>
      <w:r>
        <w:rPr>
          <w:rFonts w:ascii="Aptos" w:hAnsi="Aptos"/>
          <w:color w:val="0F766E"/>
        </w:rPr>
        <w:t>9.1 KPI Governance and Monitoring Triggers</w:t>
      </w:r>
    </w:p>
    <w:p w14:paraId="3C283AF2" w14:textId="77777777" w:rsidR="003D1DEF" w:rsidRDefault="00000000">
      <w:r>
        <w:rPr>
          <w:rFonts w:ascii="Aptos" w:hAnsi="Aptos"/>
          <w:sz w:val="20"/>
        </w:rPr>
        <w:t>The KPI cards should be read as a governance system rather than as isolated values. A favorable discharge offset ratio can coexist with pressure-period risk, and a low current load still needs context from the historical peak. The monitoring matrix below defines how each KPI should trigger review, escalation, or routine confirmation.</w:t>
      </w:r>
    </w:p>
    <w:tbl>
      <w:tblPr>
        <w:tblStyle w:val="TableGrid"/>
        <w:tblW w:w="0" w:type="auto"/>
        <w:jc w:val="center"/>
        <w:tblLook w:val="04A0" w:firstRow="1" w:lastRow="0" w:firstColumn="1" w:lastColumn="0" w:noHBand="0" w:noVBand="1"/>
      </w:tblPr>
      <w:tblGrid>
        <w:gridCol w:w="2160"/>
        <w:gridCol w:w="2304"/>
        <w:gridCol w:w="2448"/>
        <w:gridCol w:w="3312"/>
      </w:tblGrid>
      <w:tr w:rsidR="003D1DEF" w14:paraId="635547FE" w14:textId="77777777">
        <w:trPr>
          <w:tblHeader/>
          <w:jc w:val="center"/>
        </w:trPr>
        <w:tc>
          <w:tcPr>
            <w:tcW w:w="2160" w:type="dxa"/>
            <w:shd w:val="clear" w:color="auto" w:fill="0B3D56"/>
            <w:vAlign w:val="center"/>
          </w:tcPr>
          <w:p w14:paraId="6E6A2B7B" w14:textId="77777777" w:rsidR="003D1DEF" w:rsidRDefault="00000000">
            <w:r>
              <w:rPr>
                <w:rFonts w:ascii="Aptos" w:hAnsi="Aptos"/>
                <w:b/>
                <w:color w:val="FFFFFF"/>
                <w:sz w:val="17"/>
              </w:rPr>
              <w:t>KPI</w:t>
            </w:r>
          </w:p>
        </w:tc>
        <w:tc>
          <w:tcPr>
            <w:tcW w:w="2304" w:type="dxa"/>
            <w:shd w:val="clear" w:color="auto" w:fill="0B3D56"/>
            <w:vAlign w:val="center"/>
          </w:tcPr>
          <w:p w14:paraId="7A12F827" w14:textId="77777777" w:rsidR="003D1DEF" w:rsidRDefault="00000000">
            <w:r>
              <w:rPr>
                <w:rFonts w:ascii="Aptos" w:hAnsi="Aptos"/>
                <w:b/>
                <w:color w:val="FFFFFF"/>
                <w:sz w:val="17"/>
              </w:rPr>
              <w:t>Normal Reading</w:t>
            </w:r>
          </w:p>
        </w:tc>
        <w:tc>
          <w:tcPr>
            <w:tcW w:w="2448" w:type="dxa"/>
            <w:shd w:val="clear" w:color="auto" w:fill="0B3D56"/>
            <w:vAlign w:val="center"/>
          </w:tcPr>
          <w:p w14:paraId="44C6F4B7" w14:textId="77777777" w:rsidR="003D1DEF" w:rsidRDefault="00000000">
            <w:r>
              <w:rPr>
                <w:rFonts w:ascii="Aptos" w:hAnsi="Aptos"/>
                <w:b/>
                <w:color w:val="FFFFFF"/>
                <w:sz w:val="17"/>
              </w:rPr>
              <w:t>Review Trigger</w:t>
            </w:r>
          </w:p>
        </w:tc>
        <w:tc>
          <w:tcPr>
            <w:tcW w:w="3312" w:type="dxa"/>
            <w:shd w:val="clear" w:color="auto" w:fill="0B3D56"/>
            <w:vAlign w:val="center"/>
          </w:tcPr>
          <w:p w14:paraId="1FA6F6C3" w14:textId="77777777" w:rsidR="003D1DEF" w:rsidRDefault="00000000">
            <w:r>
              <w:rPr>
                <w:rFonts w:ascii="Aptos" w:hAnsi="Aptos"/>
                <w:b/>
                <w:color w:val="FFFFFF"/>
                <w:sz w:val="17"/>
              </w:rPr>
              <w:t>Required Interpretation</w:t>
            </w:r>
          </w:p>
        </w:tc>
      </w:tr>
      <w:tr w:rsidR="003D1DEF" w14:paraId="459403C4" w14:textId="77777777">
        <w:trPr>
          <w:jc w:val="center"/>
        </w:trPr>
        <w:tc>
          <w:tcPr>
            <w:tcW w:w="2160" w:type="dxa"/>
            <w:shd w:val="clear" w:color="auto" w:fill="F6F9FB"/>
            <w:vAlign w:val="center"/>
          </w:tcPr>
          <w:p w14:paraId="59B7BB1B" w14:textId="77777777" w:rsidR="003D1DEF" w:rsidRDefault="00000000">
            <w:r>
              <w:rPr>
                <w:rFonts w:ascii="Aptos" w:hAnsi="Aptos"/>
                <w:sz w:val="17"/>
              </w:rPr>
              <w:t>Total Children Under Care</w:t>
            </w:r>
          </w:p>
        </w:tc>
        <w:tc>
          <w:tcPr>
            <w:tcW w:w="2304" w:type="dxa"/>
            <w:shd w:val="clear" w:color="auto" w:fill="F6F9FB"/>
            <w:vAlign w:val="center"/>
          </w:tcPr>
          <w:p w14:paraId="7891E0DC" w14:textId="77777777" w:rsidR="003D1DEF" w:rsidRDefault="00000000">
            <w:r>
              <w:rPr>
                <w:rFonts w:ascii="Aptos" w:hAnsi="Aptos"/>
                <w:sz w:val="17"/>
              </w:rPr>
              <w:t>Routine review</w:t>
            </w:r>
          </w:p>
        </w:tc>
        <w:tc>
          <w:tcPr>
            <w:tcW w:w="2448" w:type="dxa"/>
            <w:shd w:val="clear" w:color="auto" w:fill="F6F9FB"/>
            <w:vAlign w:val="center"/>
          </w:tcPr>
          <w:p w14:paraId="0F6C40E6" w14:textId="77777777" w:rsidR="003D1DEF" w:rsidRDefault="00000000">
            <w:r>
              <w:rPr>
                <w:rFonts w:ascii="Aptos" w:hAnsi="Aptos"/>
                <w:sz w:val="17"/>
              </w:rPr>
              <w:t>Approaches selected-period average or rises sharply</w:t>
            </w:r>
          </w:p>
        </w:tc>
        <w:tc>
          <w:tcPr>
            <w:tcW w:w="3312" w:type="dxa"/>
            <w:shd w:val="clear" w:color="auto" w:fill="F6F9FB"/>
            <w:vAlign w:val="center"/>
          </w:tcPr>
          <w:p w14:paraId="47027D76" w14:textId="77777777" w:rsidR="003D1DEF" w:rsidRDefault="00000000">
            <w:r>
              <w:rPr>
                <w:rFonts w:ascii="Aptos" w:hAnsi="Aptos"/>
                <w:sz w:val="17"/>
              </w:rPr>
              <w:t>Compare current load with average, peak, and HHS share before escalation.</w:t>
            </w:r>
          </w:p>
        </w:tc>
      </w:tr>
      <w:tr w:rsidR="003D1DEF" w14:paraId="531EA206" w14:textId="77777777">
        <w:trPr>
          <w:jc w:val="center"/>
        </w:trPr>
        <w:tc>
          <w:tcPr>
            <w:tcW w:w="2160" w:type="dxa"/>
            <w:vAlign w:val="center"/>
          </w:tcPr>
          <w:p w14:paraId="5A613F42" w14:textId="77777777" w:rsidR="003D1DEF" w:rsidRDefault="00000000">
            <w:r>
              <w:rPr>
                <w:rFonts w:ascii="Aptos" w:hAnsi="Aptos"/>
                <w:sz w:val="17"/>
              </w:rPr>
              <w:t>Net Intake Pressure</w:t>
            </w:r>
          </w:p>
        </w:tc>
        <w:tc>
          <w:tcPr>
            <w:tcW w:w="2304" w:type="dxa"/>
            <w:vAlign w:val="center"/>
          </w:tcPr>
          <w:p w14:paraId="5FC4A4A3" w14:textId="77777777" w:rsidR="003D1DEF" w:rsidRDefault="00000000">
            <w:r>
              <w:rPr>
                <w:rFonts w:ascii="Aptos" w:hAnsi="Aptos"/>
                <w:sz w:val="17"/>
              </w:rPr>
              <w:t>Relief when negative</w:t>
            </w:r>
          </w:p>
        </w:tc>
        <w:tc>
          <w:tcPr>
            <w:tcW w:w="2448" w:type="dxa"/>
            <w:vAlign w:val="center"/>
          </w:tcPr>
          <w:p w14:paraId="15ECDD01" w14:textId="77777777" w:rsidR="003D1DEF" w:rsidRDefault="00000000">
            <w:r>
              <w:rPr>
                <w:rFonts w:ascii="Aptos" w:hAnsi="Aptos"/>
                <w:sz w:val="17"/>
              </w:rPr>
              <w:t>Turns positive for consecutive periods</w:t>
            </w:r>
          </w:p>
        </w:tc>
        <w:tc>
          <w:tcPr>
            <w:tcW w:w="3312" w:type="dxa"/>
            <w:vAlign w:val="center"/>
          </w:tcPr>
          <w:p w14:paraId="3AE73665" w14:textId="77777777" w:rsidR="003D1DEF" w:rsidRDefault="00000000">
            <w:r>
              <w:rPr>
                <w:rFonts w:ascii="Aptos" w:hAnsi="Aptos"/>
                <w:sz w:val="17"/>
              </w:rPr>
              <w:t>Review transfer-discharge balance and identify pressure windows.</w:t>
            </w:r>
          </w:p>
        </w:tc>
      </w:tr>
      <w:tr w:rsidR="003D1DEF" w14:paraId="228F078F" w14:textId="77777777">
        <w:trPr>
          <w:jc w:val="center"/>
        </w:trPr>
        <w:tc>
          <w:tcPr>
            <w:tcW w:w="2160" w:type="dxa"/>
            <w:shd w:val="clear" w:color="auto" w:fill="F6F9FB"/>
            <w:vAlign w:val="center"/>
          </w:tcPr>
          <w:p w14:paraId="593A9825" w14:textId="77777777" w:rsidR="003D1DEF" w:rsidRDefault="00000000">
            <w:r>
              <w:rPr>
                <w:rFonts w:ascii="Aptos" w:hAnsi="Aptos"/>
                <w:sz w:val="17"/>
              </w:rPr>
              <w:t>Discharge Offset Ratio</w:t>
            </w:r>
          </w:p>
        </w:tc>
        <w:tc>
          <w:tcPr>
            <w:tcW w:w="2304" w:type="dxa"/>
            <w:shd w:val="clear" w:color="auto" w:fill="F6F9FB"/>
            <w:vAlign w:val="center"/>
          </w:tcPr>
          <w:p w14:paraId="37EBA6B9" w14:textId="77777777" w:rsidR="003D1DEF" w:rsidRDefault="00000000">
            <w:r>
              <w:rPr>
                <w:rFonts w:ascii="Aptos" w:hAnsi="Aptos"/>
                <w:sz w:val="17"/>
              </w:rPr>
              <w:t>Relief-ahead at 1.00x or higher</w:t>
            </w:r>
          </w:p>
        </w:tc>
        <w:tc>
          <w:tcPr>
            <w:tcW w:w="2448" w:type="dxa"/>
            <w:shd w:val="clear" w:color="auto" w:fill="F6F9FB"/>
            <w:vAlign w:val="center"/>
          </w:tcPr>
          <w:p w14:paraId="6667D488" w14:textId="77777777" w:rsidR="003D1DEF" w:rsidRDefault="00000000">
            <w:r>
              <w:rPr>
                <w:rFonts w:ascii="Aptos" w:hAnsi="Aptos"/>
                <w:sz w:val="17"/>
              </w:rPr>
              <w:t>Falls below 1.00x</w:t>
            </w:r>
          </w:p>
        </w:tc>
        <w:tc>
          <w:tcPr>
            <w:tcW w:w="3312" w:type="dxa"/>
            <w:shd w:val="clear" w:color="auto" w:fill="F6F9FB"/>
            <w:vAlign w:val="center"/>
          </w:tcPr>
          <w:p w14:paraId="385150A1" w14:textId="77777777" w:rsidR="003D1DEF" w:rsidRDefault="00000000">
            <w:r>
              <w:rPr>
                <w:rFonts w:ascii="Aptos" w:hAnsi="Aptos"/>
                <w:sz w:val="17"/>
              </w:rPr>
              <w:t>Check whether discharges are no longer keeping pace with transfers.</w:t>
            </w:r>
          </w:p>
        </w:tc>
      </w:tr>
      <w:tr w:rsidR="003D1DEF" w14:paraId="49B1691A" w14:textId="77777777">
        <w:trPr>
          <w:jc w:val="center"/>
        </w:trPr>
        <w:tc>
          <w:tcPr>
            <w:tcW w:w="2160" w:type="dxa"/>
            <w:vAlign w:val="center"/>
          </w:tcPr>
          <w:p w14:paraId="6421AEF8" w14:textId="77777777" w:rsidR="003D1DEF" w:rsidRDefault="00000000">
            <w:r>
              <w:rPr>
                <w:rFonts w:ascii="Aptos" w:hAnsi="Aptos"/>
                <w:sz w:val="17"/>
              </w:rPr>
              <w:t>Care Load Volatility Index</w:t>
            </w:r>
          </w:p>
        </w:tc>
        <w:tc>
          <w:tcPr>
            <w:tcW w:w="2304" w:type="dxa"/>
            <w:vAlign w:val="center"/>
          </w:tcPr>
          <w:p w14:paraId="7B425EDE" w14:textId="77777777" w:rsidR="003D1DEF" w:rsidRDefault="00000000">
            <w:r>
              <w:rPr>
                <w:rFonts w:ascii="Aptos" w:hAnsi="Aptos"/>
                <w:sz w:val="17"/>
              </w:rPr>
              <w:t>Stable when low</w:t>
            </w:r>
          </w:p>
        </w:tc>
        <w:tc>
          <w:tcPr>
            <w:tcW w:w="2448" w:type="dxa"/>
            <w:vAlign w:val="center"/>
          </w:tcPr>
          <w:p w14:paraId="3C3E77BD" w14:textId="77777777" w:rsidR="003D1DEF" w:rsidRDefault="00000000">
            <w:r>
              <w:rPr>
                <w:rFonts w:ascii="Aptos" w:hAnsi="Aptos"/>
                <w:sz w:val="17"/>
              </w:rPr>
              <w:t>Rises enough to disrupt planning reliability</w:t>
            </w:r>
          </w:p>
        </w:tc>
        <w:tc>
          <w:tcPr>
            <w:tcW w:w="3312" w:type="dxa"/>
            <w:vAlign w:val="center"/>
          </w:tcPr>
          <w:p w14:paraId="438468B3" w14:textId="77777777" w:rsidR="003D1DEF" w:rsidRDefault="00000000">
            <w:r>
              <w:rPr>
                <w:rFonts w:ascii="Aptos" w:hAnsi="Aptos"/>
                <w:sz w:val="17"/>
              </w:rPr>
              <w:t>Avoid relying only on averages; examine growth-rate movement.</w:t>
            </w:r>
          </w:p>
        </w:tc>
      </w:tr>
      <w:tr w:rsidR="003D1DEF" w14:paraId="4EA52637" w14:textId="77777777">
        <w:trPr>
          <w:jc w:val="center"/>
        </w:trPr>
        <w:tc>
          <w:tcPr>
            <w:tcW w:w="2160" w:type="dxa"/>
            <w:shd w:val="clear" w:color="auto" w:fill="F6F9FB"/>
            <w:vAlign w:val="center"/>
          </w:tcPr>
          <w:p w14:paraId="3619EEA0" w14:textId="77777777" w:rsidR="003D1DEF" w:rsidRDefault="00000000">
            <w:r>
              <w:rPr>
                <w:rFonts w:ascii="Aptos" w:hAnsi="Aptos"/>
                <w:sz w:val="17"/>
              </w:rPr>
              <w:t>Backlog Accumulation Rate</w:t>
            </w:r>
          </w:p>
        </w:tc>
        <w:tc>
          <w:tcPr>
            <w:tcW w:w="2304" w:type="dxa"/>
            <w:shd w:val="clear" w:color="auto" w:fill="F6F9FB"/>
            <w:vAlign w:val="center"/>
          </w:tcPr>
          <w:p w14:paraId="1BE44459" w14:textId="77777777" w:rsidR="003D1DEF" w:rsidRDefault="00000000">
            <w:r>
              <w:rPr>
                <w:rFonts w:ascii="Aptos" w:hAnsi="Aptos"/>
                <w:sz w:val="17"/>
              </w:rPr>
              <w:t>Controlled below sustained pressure range</w:t>
            </w:r>
          </w:p>
        </w:tc>
        <w:tc>
          <w:tcPr>
            <w:tcW w:w="2448" w:type="dxa"/>
            <w:shd w:val="clear" w:color="auto" w:fill="F6F9FB"/>
            <w:vAlign w:val="center"/>
          </w:tcPr>
          <w:p w14:paraId="1F1EC41B" w14:textId="77777777" w:rsidR="003D1DEF" w:rsidRDefault="00000000">
            <w:r>
              <w:rPr>
                <w:rFonts w:ascii="Aptos" w:hAnsi="Aptos"/>
                <w:sz w:val="17"/>
              </w:rPr>
              <w:t>Pressure-period share rises</w:t>
            </w:r>
          </w:p>
        </w:tc>
        <w:tc>
          <w:tcPr>
            <w:tcW w:w="3312" w:type="dxa"/>
            <w:shd w:val="clear" w:color="auto" w:fill="F6F9FB"/>
            <w:vAlign w:val="center"/>
          </w:tcPr>
          <w:p w14:paraId="7A55F501" w14:textId="77777777" w:rsidR="003D1DEF" w:rsidRDefault="00000000">
            <w:r>
              <w:rPr>
                <w:rFonts w:ascii="Aptos" w:hAnsi="Aptos"/>
                <w:sz w:val="17"/>
              </w:rPr>
              <w:t>Review positive net intake streaks and backlog severity accumulation.</w:t>
            </w:r>
          </w:p>
        </w:tc>
      </w:tr>
    </w:tbl>
    <w:p w14:paraId="30B7F9C0" w14:textId="77777777" w:rsidR="003D1DEF" w:rsidRDefault="00000000">
      <w:r>
        <w:rPr>
          <w:rFonts w:ascii="Aptos" w:hAnsi="Aptos"/>
          <w:sz w:val="20"/>
        </w:rPr>
        <w:t>KPI interpretation rule: stock metrics, flow metrics, volatility metrics, and stress metrics must be evaluated together. This prevents a single favorable metric from hiding recurring pressure windows, and prevents historical peak context from overstating current risk.</w:t>
      </w:r>
    </w:p>
    <w:p w14:paraId="1CF51890" w14:textId="77777777" w:rsidR="003D1DEF" w:rsidRDefault="00000000">
      <w:r>
        <w:br w:type="page"/>
      </w:r>
    </w:p>
    <w:p w14:paraId="01BC0FAD" w14:textId="77777777" w:rsidR="003D1DEF" w:rsidRDefault="00000000">
      <w:pPr>
        <w:pStyle w:val="Heading2"/>
        <w:spacing w:before="160" w:after="80"/>
      </w:pPr>
      <w:r>
        <w:rPr>
          <w:color w:val="0F766E"/>
        </w:rPr>
        <w:lastRenderedPageBreak/>
        <w:t>9.2 KPI Health Ranking</w:t>
      </w:r>
    </w:p>
    <w:p w14:paraId="26B21EA4" w14:textId="77777777" w:rsidR="003D1DEF" w:rsidRDefault="00000000">
      <w:pPr>
        <w:jc w:val="center"/>
      </w:pPr>
      <w:r>
        <w:rPr>
          <w:noProof/>
        </w:rPr>
        <w:drawing>
          <wp:inline distT="0" distB="0" distL="0" distR="0" wp14:anchorId="068B6A85" wp14:editId="2D823301">
            <wp:extent cx="5852160" cy="2080863"/>
            <wp:effectExtent l="0" t="0" r="0" b="0"/>
            <wp:docPr id="3" name="Picture 3" descr="Horizontal bar chart showing KPI health scores for discharge offset ratio, volatility, net intake pressure, backlog accumulation rate, and total children under ca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8.jpg"/>
                    <pic:cNvPicPr/>
                  </pic:nvPicPr>
                  <pic:blipFill>
                    <a:blip r:embed="rId10"/>
                    <a:stretch>
                      <a:fillRect/>
                    </a:stretch>
                  </pic:blipFill>
                  <pic:spPr>
                    <a:xfrm>
                      <a:off x="0" y="0"/>
                      <a:ext cx="5852160" cy="2080863"/>
                    </a:xfrm>
                    <a:prstGeom prst="rect">
                      <a:avLst/>
                    </a:prstGeom>
                  </pic:spPr>
                </pic:pic>
              </a:graphicData>
            </a:graphic>
          </wp:inline>
        </w:drawing>
      </w:r>
    </w:p>
    <w:p w14:paraId="1A4E354D" w14:textId="77777777" w:rsidR="003D1DEF" w:rsidRDefault="00000000">
      <w:pPr>
        <w:jc w:val="center"/>
      </w:pPr>
      <w:r>
        <w:rPr>
          <w:i/>
          <w:color w:val="475569"/>
          <w:sz w:val="18"/>
        </w:rPr>
        <w:t>Figure 3. Guideline KPI Health Ranking comparing five capacity-monitoring KPIs on a 100-point scale.</w:t>
      </w:r>
    </w:p>
    <w:p w14:paraId="455F8C89" w14:textId="77777777" w:rsidR="003D1DEF" w:rsidRDefault="00000000">
      <w:pPr>
        <w:jc w:val="both"/>
      </w:pPr>
      <w:r>
        <w:t>The health ranking confirms that Discharge Offset Ratio, Care Load Volatility Index, and Net Intake Pressure score 92/100, Backlog Accumulation Rate scores 90/100, and Total Children Under Care scores 78/100.</w:t>
      </w:r>
    </w:p>
    <w:tbl>
      <w:tblPr>
        <w:tblStyle w:val="TableGrid"/>
        <w:tblW w:w="0" w:type="auto"/>
        <w:jc w:val="center"/>
        <w:tblLook w:val="04A0" w:firstRow="1" w:lastRow="0" w:firstColumn="1" w:lastColumn="0" w:noHBand="0" w:noVBand="1"/>
      </w:tblPr>
      <w:tblGrid>
        <w:gridCol w:w="2736"/>
        <w:gridCol w:w="1728"/>
        <w:gridCol w:w="5184"/>
      </w:tblGrid>
      <w:tr w:rsidR="003D1DEF" w14:paraId="5D2BD8D3" w14:textId="77777777">
        <w:trPr>
          <w:tblHeader/>
          <w:jc w:val="center"/>
        </w:trPr>
        <w:tc>
          <w:tcPr>
            <w:tcW w:w="2736" w:type="dxa"/>
            <w:shd w:val="clear" w:color="auto" w:fill="0B3D5C"/>
            <w:tcMar>
              <w:top w:w="80" w:type="dxa"/>
              <w:left w:w="80" w:type="dxa"/>
              <w:bottom w:w="80" w:type="dxa"/>
              <w:right w:w="80" w:type="dxa"/>
            </w:tcMar>
            <w:vAlign w:val="center"/>
          </w:tcPr>
          <w:p w14:paraId="7D9F3B22" w14:textId="77777777" w:rsidR="003D1DEF" w:rsidRDefault="00000000">
            <w:r>
              <w:rPr>
                <w:b/>
                <w:color w:val="FFFFFF"/>
                <w:sz w:val="16"/>
              </w:rPr>
              <w:t>KPI</w:t>
            </w:r>
          </w:p>
        </w:tc>
        <w:tc>
          <w:tcPr>
            <w:tcW w:w="1728" w:type="dxa"/>
            <w:shd w:val="clear" w:color="auto" w:fill="0B3D5C"/>
            <w:tcMar>
              <w:top w:w="80" w:type="dxa"/>
              <w:left w:w="80" w:type="dxa"/>
              <w:bottom w:w="80" w:type="dxa"/>
              <w:right w:w="80" w:type="dxa"/>
            </w:tcMar>
            <w:vAlign w:val="center"/>
          </w:tcPr>
          <w:p w14:paraId="60AC7F9C" w14:textId="77777777" w:rsidR="003D1DEF" w:rsidRDefault="00000000">
            <w:r>
              <w:rPr>
                <w:b/>
                <w:color w:val="FFFFFF"/>
                <w:sz w:val="16"/>
              </w:rPr>
              <w:t>Health Score</w:t>
            </w:r>
          </w:p>
        </w:tc>
        <w:tc>
          <w:tcPr>
            <w:tcW w:w="5184" w:type="dxa"/>
            <w:shd w:val="clear" w:color="auto" w:fill="0B3D5C"/>
            <w:tcMar>
              <w:top w:w="80" w:type="dxa"/>
              <w:left w:w="80" w:type="dxa"/>
              <w:bottom w:w="80" w:type="dxa"/>
              <w:right w:w="80" w:type="dxa"/>
            </w:tcMar>
            <w:vAlign w:val="center"/>
          </w:tcPr>
          <w:p w14:paraId="54A8720A" w14:textId="77777777" w:rsidR="003D1DEF" w:rsidRDefault="00000000">
            <w:r>
              <w:rPr>
                <w:b/>
                <w:color w:val="FFFFFF"/>
                <w:sz w:val="16"/>
              </w:rPr>
              <w:t>Meaning for Leadership</w:t>
            </w:r>
          </w:p>
        </w:tc>
      </w:tr>
      <w:tr w:rsidR="003D1DEF" w14:paraId="316A1764" w14:textId="77777777">
        <w:trPr>
          <w:jc w:val="center"/>
        </w:trPr>
        <w:tc>
          <w:tcPr>
            <w:tcW w:w="2736" w:type="dxa"/>
            <w:shd w:val="clear" w:color="auto" w:fill="F7FAFC"/>
            <w:tcMar>
              <w:top w:w="80" w:type="dxa"/>
              <w:left w:w="80" w:type="dxa"/>
              <w:bottom w:w="80" w:type="dxa"/>
              <w:right w:w="80" w:type="dxa"/>
            </w:tcMar>
            <w:vAlign w:val="center"/>
          </w:tcPr>
          <w:p w14:paraId="762A05C5" w14:textId="77777777" w:rsidR="003D1DEF" w:rsidRDefault="00000000">
            <w:r>
              <w:rPr>
                <w:sz w:val="16"/>
              </w:rPr>
              <w:t>Discharge Offset Ratio</w:t>
            </w:r>
          </w:p>
        </w:tc>
        <w:tc>
          <w:tcPr>
            <w:tcW w:w="1728" w:type="dxa"/>
            <w:shd w:val="clear" w:color="auto" w:fill="F7FAFC"/>
            <w:tcMar>
              <w:top w:w="80" w:type="dxa"/>
              <w:left w:w="80" w:type="dxa"/>
              <w:bottom w:w="80" w:type="dxa"/>
              <w:right w:w="80" w:type="dxa"/>
            </w:tcMar>
            <w:vAlign w:val="center"/>
          </w:tcPr>
          <w:p w14:paraId="452C3EB7" w14:textId="77777777" w:rsidR="003D1DEF" w:rsidRDefault="00000000">
            <w:r>
              <w:rPr>
                <w:sz w:val="16"/>
              </w:rPr>
              <w:t>92/100</w:t>
            </w:r>
          </w:p>
        </w:tc>
        <w:tc>
          <w:tcPr>
            <w:tcW w:w="5184" w:type="dxa"/>
            <w:shd w:val="clear" w:color="auto" w:fill="F7FAFC"/>
            <w:tcMar>
              <w:top w:w="80" w:type="dxa"/>
              <w:left w:w="80" w:type="dxa"/>
              <w:bottom w:w="80" w:type="dxa"/>
              <w:right w:w="80" w:type="dxa"/>
            </w:tcMar>
            <w:vAlign w:val="center"/>
          </w:tcPr>
          <w:p w14:paraId="4D6EDEE7" w14:textId="77777777" w:rsidR="003D1DEF" w:rsidRDefault="00000000">
            <w:r>
              <w:rPr>
                <w:sz w:val="16"/>
              </w:rPr>
              <w:t>Relief capacity is strong because discharges are exceeding transfers.</w:t>
            </w:r>
          </w:p>
        </w:tc>
      </w:tr>
      <w:tr w:rsidR="003D1DEF" w14:paraId="3FC825B7" w14:textId="77777777">
        <w:trPr>
          <w:jc w:val="center"/>
        </w:trPr>
        <w:tc>
          <w:tcPr>
            <w:tcW w:w="2736" w:type="dxa"/>
            <w:shd w:val="clear" w:color="auto" w:fill="FFFFFF"/>
            <w:tcMar>
              <w:top w:w="80" w:type="dxa"/>
              <w:left w:w="80" w:type="dxa"/>
              <w:bottom w:w="80" w:type="dxa"/>
              <w:right w:w="80" w:type="dxa"/>
            </w:tcMar>
            <w:vAlign w:val="center"/>
          </w:tcPr>
          <w:p w14:paraId="4E101824" w14:textId="77777777" w:rsidR="003D1DEF" w:rsidRDefault="00000000">
            <w:r>
              <w:rPr>
                <w:sz w:val="16"/>
              </w:rPr>
              <w:t>Care Load Volatility Index</w:t>
            </w:r>
          </w:p>
        </w:tc>
        <w:tc>
          <w:tcPr>
            <w:tcW w:w="1728" w:type="dxa"/>
            <w:shd w:val="clear" w:color="auto" w:fill="FFFFFF"/>
            <w:tcMar>
              <w:top w:w="80" w:type="dxa"/>
              <w:left w:w="80" w:type="dxa"/>
              <w:bottom w:w="80" w:type="dxa"/>
              <w:right w:w="80" w:type="dxa"/>
            </w:tcMar>
            <w:vAlign w:val="center"/>
          </w:tcPr>
          <w:p w14:paraId="5A7AFB7D" w14:textId="77777777" w:rsidR="003D1DEF" w:rsidRDefault="00000000">
            <w:r>
              <w:rPr>
                <w:sz w:val="16"/>
              </w:rPr>
              <w:t>92/100</w:t>
            </w:r>
          </w:p>
        </w:tc>
        <w:tc>
          <w:tcPr>
            <w:tcW w:w="5184" w:type="dxa"/>
            <w:shd w:val="clear" w:color="auto" w:fill="FFFFFF"/>
            <w:tcMar>
              <w:top w:w="80" w:type="dxa"/>
              <w:left w:w="80" w:type="dxa"/>
              <w:bottom w:w="80" w:type="dxa"/>
              <w:right w:w="80" w:type="dxa"/>
            </w:tcMar>
            <w:vAlign w:val="center"/>
          </w:tcPr>
          <w:p w14:paraId="3B0EBF28" w14:textId="77777777" w:rsidR="003D1DEF" w:rsidRDefault="00000000">
            <w:r>
              <w:rPr>
                <w:sz w:val="16"/>
              </w:rPr>
              <w:t>Daily volatility is stable in the selected view.</w:t>
            </w:r>
          </w:p>
        </w:tc>
      </w:tr>
      <w:tr w:rsidR="003D1DEF" w14:paraId="4A7CDE9E" w14:textId="77777777">
        <w:trPr>
          <w:jc w:val="center"/>
        </w:trPr>
        <w:tc>
          <w:tcPr>
            <w:tcW w:w="2736" w:type="dxa"/>
            <w:shd w:val="clear" w:color="auto" w:fill="F7FAFC"/>
            <w:tcMar>
              <w:top w:w="80" w:type="dxa"/>
              <w:left w:w="80" w:type="dxa"/>
              <w:bottom w:w="80" w:type="dxa"/>
              <w:right w:w="80" w:type="dxa"/>
            </w:tcMar>
            <w:vAlign w:val="center"/>
          </w:tcPr>
          <w:p w14:paraId="7C5BC28E" w14:textId="77777777" w:rsidR="003D1DEF" w:rsidRDefault="00000000">
            <w:r>
              <w:rPr>
                <w:sz w:val="16"/>
              </w:rPr>
              <w:t>Net Intake Pressure</w:t>
            </w:r>
          </w:p>
        </w:tc>
        <w:tc>
          <w:tcPr>
            <w:tcW w:w="1728" w:type="dxa"/>
            <w:shd w:val="clear" w:color="auto" w:fill="F7FAFC"/>
            <w:tcMar>
              <w:top w:w="80" w:type="dxa"/>
              <w:left w:w="80" w:type="dxa"/>
              <w:bottom w:w="80" w:type="dxa"/>
              <w:right w:w="80" w:type="dxa"/>
            </w:tcMar>
            <w:vAlign w:val="center"/>
          </w:tcPr>
          <w:p w14:paraId="6743C30F" w14:textId="77777777" w:rsidR="003D1DEF" w:rsidRDefault="00000000">
            <w:r>
              <w:rPr>
                <w:sz w:val="16"/>
              </w:rPr>
              <w:t>92/100</w:t>
            </w:r>
          </w:p>
        </w:tc>
        <w:tc>
          <w:tcPr>
            <w:tcW w:w="5184" w:type="dxa"/>
            <w:shd w:val="clear" w:color="auto" w:fill="F7FAFC"/>
            <w:tcMar>
              <w:top w:w="80" w:type="dxa"/>
              <w:left w:w="80" w:type="dxa"/>
              <w:bottom w:w="80" w:type="dxa"/>
              <w:right w:w="80" w:type="dxa"/>
            </w:tcMar>
            <w:vAlign w:val="center"/>
          </w:tcPr>
          <w:p w14:paraId="2D9F11DC" w14:textId="77777777" w:rsidR="003D1DEF" w:rsidRDefault="00000000">
            <w:r>
              <w:rPr>
                <w:sz w:val="16"/>
              </w:rPr>
              <w:t>Flow balance is relief-oriented rather than pressure-building.</w:t>
            </w:r>
          </w:p>
        </w:tc>
      </w:tr>
      <w:tr w:rsidR="003D1DEF" w14:paraId="2137D79A" w14:textId="77777777">
        <w:trPr>
          <w:jc w:val="center"/>
        </w:trPr>
        <w:tc>
          <w:tcPr>
            <w:tcW w:w="2736" w:type="dxa"/>
            <w:shd w:val="clear" w:color="auto" w:fill="FFFFFF"/>
            <w:tcMar>
              <w:top w:w="80" w:type="dxa"/>
              <w:left w:w="80" w:type="dxa"/>
              <w:bottom w:w="80" w:type="dxa"/>
              <w:right w:w="80" w:type="dxa"/>
            </w:tcMar>
            <w:vAlign w:val="center"/>
          </w:tcPr>
          <w:p w14:paraId="337527FE" w14:textId="77777777" w:rsidR="003D1DEF" w:rsidRDefault="00000000">
            <w:r>
              <w:rPr>
                <w:sz w:val="16"/>
              </w:rPr>
              <w:t>Backlog Accumulation Rate</w:t>
            </w:r>
          </w:p>
        </w:tc>
        <w:tc>
          <w:tcPr>
            <w:tcW w:w="1728" w:type="dxa"/>
            <w:shd w:val="clear" w:color="auto" w:fill="FFFFFF"/>
            <w:tcMar>
              <w:top w:w="80" w:type="dxa"/>
              <w:left w:w="80" w:type="dxa"/>
              <w:bottom w:w="80" w:type="dxa"/>
              <w:right w:w="80" w:type="dxa"/>
            </w:tcMar>
            <w:vAlign w:val="center"/>
          </w:tcPr>
          <w:p w14:paraId="308C17E3" w14:textId="77777777" w:rsidR="003D1DEF" w:rsidRDefault="00000000">
            <w:r>
              <w:rPr>
                <w:sz w:val="16"/>
              </w:rPr>
              <w:t>90/100</w:t>
            </w:r>
          </w:p>
        </w:tc>
        <w:tc>
          <w:tcPr>
            <w:tcW w:w="5184" w:type="dxa"/>
            <w:shd w:val="clear" w:color="auto" w:fill="FFFFFF"/>
            <w:tcMar>
              <w:top w:w="80" w:type="dxa"/>
              <w:left w:w="80" w:type="dxa"/>
              <w:bottom w:w="80" w:type="dxa"/>
              <w:right w:w="80" w:type="dxa"/>
            </w:tcMar>
            <w:vAlign w:val="center"/>
          </w:tcPr>
          <w:p w14:paraId="097D266D" w14:textId="77777777" w:rsidR="003D1DEF" w:rsidRDefault="00000000">
            <w:r>
              <w:rPr>
                <w:sz w:val="16"/>
              </w:rPr>
              <w:t>Backlog pressure is controlled but still worth monitoring.</w:t>
            </w:r>
          </w:p>
        </w:tc>
      </w:tr>
      <w:tr w:rsidR="003D1DEF" w14:paraId="18B96DDF" w14:textId="77777777">
        <w:trPr>
          <w:jc w:val="center"/>
        </w:trPr>
        <w:tc>
          <w:tcPr>
            <w:tcW w:w="2736" w:type="dxa"/>
            <w:shd w:val="clear" w:color="auto" w:fill="F7FAFC"/>
            <w:tcMar>
              <w:top w:w="80" w:type="dxa"/>
              <w:left w:w="80" w:type="dxa"/>
              <w:bottom w:w="80" w:type="dxa"/>
              <w:right w:w="80" w:type="dxa"/>
            </w:tcMar>
            <w:vAlign w:val="center"/>
          </w:tcPr>
          <w:p w14:paraId="7656E4AA" w14:textId="77777777" w:rsidR="003D1DEF" w:rsidRDefault="00000000">
            <w:r>
              <w:rPr>
                <w:sz w:val="16"/>
              </w:rPr>
              <w:t>Total Children Under Care</w:t>
            </w:r>
          </w:p>
        </w:tc>
        <w:tc>
          <w:tcPr>
            <w:tcW w:w="1728" w:type="dxa"/>
            <w:shd w:val="clear" w:color="auto" w:fill="F7FAFC"/>
            <w:tcMar>
              <w:top w:w="80" w:type="dxa"/>
              <w:left w:w="80" w:type="dxa"/>
              <w:bottom w:w="80" w:type="dxa"/>
              <w:right w:w="80" w:type="dxa"/>
            </w:tcMar>
            <w:vAlign w:val="center"/>
          </w:tcPr>
          <w:p w14:paraId="7E8F5706" w14:textId="77777777" w:rsidR="003D1DEF" w:rsidRDefault="00000000">
            <w:r>
              <w:rPr>
                <w:sz w:val="16"/>
              </w:rPr>
              <w:t>78/100</w:t>
            </w:r>
          </w:p>
        </w:tc>
        <w:tc>
          <w:tcPr>
            <w:tcW w:w="5184" w:type="dxa"/>
            <w:shd w:val="clear" w:color="auto" w:fill="F7FAFC"/>
            <w:tcMar>
              <w:top w:w="80" w:type="dxa"/>
              <w:left w:w="80" w:type="dxa"/>
              <w:bottom w:w="80" w:type="dxa"/>
              <w:right w:w="80" w:type="dxa"/>
            </w:tcMar>
            <w:vAlign w:val="center"/>
          </w:tcPr>
          <w:p w14:paraId="5C0A7864" w14:textId="77777777" w:rsidR="003D1DEF" w:rsidRDefault="00000000">
            <w:r>
              <w:rPr>
                <w:sz w:val="16"/>
              </w:rPr>
              <w:t>Active load remains the weakest KPI and should remain visible in reviews.</w:t>
            </w:r>
          </w:p>
        </w:tc>
      </w:tr>
    </w:tbl>
    <w:p w14:paraId="1CB8B9D0" w14:textId="77777777" w:rsidR="003D1DEF" w:rsidRDefault="003D1DEF"/>
    <w:tbl>
      <w:tblPr>
        <w:tblStyle w:val="TableGrid"/>
        <w:tblW w:w="0" w:type="auto"/>
        <w:tblLook w:val="04A0" w:firstRow="1" w:lastRow="0" w:firstColumn="1" w:lastColumn="0" w:noHBand="0" w:noVBand="1"/>
      </w:tblPr>
      <w:tblGrid>
        <w:gridCol w:w="10037"/>
      </w:tblGrid>
      <w:tr w:rsidR="003D1DEF" w14:paraId="33672F54" w14:textId="77777777">
        <w:trPr>
          <w:tblHeader/>
        </w:trPr>
        <w:tc>
          <w:tcPr>
            <w:tcW w:w="10037" w:type="dxa"/>
            <w:shd w:val="clear" w:color="auto" w:fill="EAF8F6"/>
            <w:tcMar>
              <w:top w:w="120" w:type="dxa"/>
              <w:left w:w="120" w:type="dxa"/>
              <w:bottom w:w="120" w:type="dxa"/>
              <w:right w:w="120" w:type="dxa"/>
            </w:tcMar>
          </w:tcPr>
          <w:p w14:paraId="75BD2412" w14:textId="77777777" w:rsidR="003D1DEF" w:rsidRDefault="00000000">
            <w:r>
              <w:rPr>
                <w:b/>
                <w:color w:val="0F766E"/>
                <w:sz w:val="20"/>
              </w:rPr>
              <w:t>Leadership Summary</w:t>
            </w:r>
          </w:p>
          <w:p w14:paraId="741DB9A0" w14:textId="77777777" w:rsidR="003D1DEF" w:rsidRDefault="00000000">
            <w:r>
              <w:rPr>
                <w:sz w:val="20"/>
              </w:rPr>
              <w:t>The KPI health ranking confirms that the operating view is healthy, but the weakest KPI remains Total Children Under Care. Leadership should treat this as a monitoring priority rather than a crisis signal: current load is controlled, yet active load must remain visible because it represents system-wide care responsibility.</w:t>
            </w:r>
          </w:p>
        </w:tc>
      </w:tr>
    </w:tbl>
    <w:p w14:paraId="188F7B44" w14:textId="77777777" w:rsidR="003D1DEF" w:rsidRDefault="003D1DEF"/>
    <w:p w14:paraId="537899B2" w14:textId="77777777" w:rsidR="003D1DEF" w:rsidRDefault="00000000">
      <w:r>
        <w:br w:type="page"/>
      </w:r>
    </w:p>
    <w:p w14:paraId="54AD3221" w14:textId="77777777" w:rsidR="003D1DEF" w:rsidRDefault="00000000">
      <w:pPr>
        <w:pStyle w:val="Heading1"/>
        <w:spacing w:after="200"/>
      </w:pPr>
      <w:r>
        <w:rPr>
          <w:rFonts w:ascii="Calibri" w:hAnsi="Calibri"/>
          <w:color w:val="0B1F3A"/>
          <w:sz w:val="36"/>
        </w:rPr>
        <w:lastRenderedPageBreak/>
        <w:t>10. Exploratory Data Analysis</w:t>
      </w:r>
    </w:p>
    <w:p w14:paraId="13690E7B" w14:textId="77777777" w:rsidR="003D1DEF" w:rsidRDefault="00000000">
      <w:pPr>
        <w:jc w:val="both"/>
      </w:pPr>
      <w:r>
        <w:t>Exploratory data analysis was used to identify how system load, pressure movement, capacity position, and diagnostic metrics behave across the selected timeline. The EDA confirms that the dashboard is not simply reporting current values; it is showing historical context, peak comparisons, relief signals, and metric relationships.</w:t>
      </w:r>
    </w:p>
    <w:p w14:paraId="405D4D24" w14:textId="77777777" w:rsidR="003D1DEF" w:rsidRDefault="00000000">
      <w:pPr>
        <w:pStyle w:val="Heading2"/>
        <w:spacing w:before="160" w:after="80"/>
      </w:pPr>
      <w:r>
        <w:rPr>
          <w:rFonts w:ascii="Calibri" w:hAnsi="Calibri"/>
          <w:color w:val="0F766E"/>
        </w:rPr>
        <w:t>10.1 System Load Trend EDA</w:t>
      </w:r>
    </w:p>
    <w:p w14:paraId="56652A5B" w14:textId="77777777" w:rsidR="003D1DEF" w:rsidRDefault="00000000">
      <w:pPr>
        <w:jc w:val="center"/>
      </w:pPr>
      <w:r>
        <w:rPr>
          <w:noProof/>
        </w:rPr>
        <w:drawing>
          <wp:inline distT="0" distB="0" distL="0" distR="0" wp14:anchorId="76EB7A29" wp14:editId="42BA7E11">
            <wp:extent cx="5989320" cy="2592910"/>
            <wp:effectExtent l="0" t="0" r="0" b="0"/>
            <wp:docPr id="4" name="Picture 4" descr="System Load Trend line chart with peak near 11,762, average around 6,233, and latest load near 2,502."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jpg"/>
                    <pic:cNvPicPr/>
                  </pic:nvPicPr>
                  <pic:blipFill>
                    <a:blip r:embed="rId11"/>
                    <a:stretch>
                      <a:fillRect/>
                    </a:stretch>
                  </pic:blipFill>
                  <pic:spPr>
                    <a:xfrm>
                      <a:off x="0" y="0"/>
                      <a:ext cx="5989320" cy="2592910"/>
                    </a:xfrm>
                    <a:prstGeom prst="rect">
                      <a:avLst/>
                    </a:prstGeom>
                  </pic:spPr>
                </pic:pic>
              </a:graphicData>
            </a:graphic>
          </wp:inline>
        </w:drawing>
      </w:r>
    </w:p>
    <w:p w14:paraId="0216BB74" w14:textId="77777777" w:rsidR="003D1DEF" w:rsidRDefault="00000000">
      <w:pPr>
        <w:jc w:val="center"/>
      </w:pPr>
      <w:r>
        <w:rPr>
          <w:i/>
          <w:color w:val="475569"/>
          <w:sz w:val="18"/>
        </w:rPr>
        <w:t>Figure 4. System Load Trend showing selected-period peak, rolling averages, average load, and latest load.</w:t>
      </w:r>
    </w:p>
    <w:p w14:paraId="3D22152D" w14:textId="77777777" w:rsidR="003D1DEF" w:rsidRDefault="00000000">
      <w:pPr>
        <w:jc w:val="both"/>
      </w:pPr>
      <w:r>
        <w:t>The system load trend shows a high-load period around late 2023 and early 2024, followed by a sharp decline into a lower operating range during 2025. The current latest load is far below the selected-period peak.</w:t>
      </w:r>
    </w:p>
    <w:p w14:paraId="5F93367D" w14:textId="77777777" w:rsidR="003D1DEF" w:rsidRDefault="00000000">
      <w:pPr>
        <w:pStyle w:val="Heading2"/>
        <w:spacing w:before="160" w:after="80"/>
      </w:pPr>
      <w:r>
        <w:rPr>
          <w:rFonts w:ascii="Calibri" w:hAnsi="Calibri"/>
          <w:color w:val="0F766E"/>
        </w:rPr>
        <w:t>10.2 Pressure vs Relief Movement EDA</w:t>
      </w:r>
    </w:p>
    <w:p w14:paraId="2D9E53C5" w14:textId="77777777" w:rsidR="003D1DEF" w:rsidRDefault="00000000">
      <w:pPr>
        <w:jc w:val="center"/>
      </w:pPr>
      <w:r>
        <w:rPr>
          <w:noProof/>
        </w:rPr>
        <w:drawing>
          <wp:inline distT="0" distB="0" distL="0" distR="0" wp14:anchorId="07831FBB" wp14:editId="4C64FC55">
            <wp:extent cx="5989320" cy="2199808"/>
            <wp:effectExtent l="0" t="0" r="0" b="0"/>
            <wp:docPr id="5" name="Picture 5" descr="Pressure vs Relief Movement bar chart with positive orange pressure bars and negative teal relief bar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jpg"/>
                    <pic:cNvPicPr/>
                  </pic:nvPicPr>
                  <pic:blipFill>
                    <a:blip r:embed="rId12"/>
                    <a:stretch>
                      <a:fillRect/>
                    </a:stretch>
                  </pic:blipFill>
                  <pic:spPr>
                    <a:xfrm>
                      <a:off x="0" y="0"/>
                      <a:ext cx="5989320" cy="2199808"/>
                    </a:xfrm>
                    <a:prstGeom prst="rect">
                      <a:avLst/>
                    </a:prstGeom>
                  </pic:spPr>
                </pic:pic>
              </a:graphicData>
            </a:graphic>
          </wp:inline>
        </w:drawing>
      </w:r>
    </w:p>
    <w:p w14:paraId="2E0077CC" w14:textId="77777777" w:rsidR="003D1DEF" w:rsidRDefault="00000000">
      <w:pPr>
        <w:jc w:val="center"/>
      </w:pPr>
      <w:r>
        <w:rPr>
          <w:i/>
          <w:color w:val="475569"/>
          <w:sz w:val="18"/>
        </w:rPr>
        <w:t>Figure 5. Pressure vs Relief Movement showing positive and negative growth-rate periods.</w:t>
      </w:r>
    </w:p>
    <w:p w14:paraId="63008EAB" w14:textId="77777777" w:rsidR="003D1DEF" w:rsidRDefault="00000000">
      <w:pPr>
        <w:jc w:val="both"/>
      </w:pPr>
      <w:r>
        <w:t>This chart shows that the selected timeline contains both pressure and relief periods. In the daily view, latest movement is stable and volatility remains low at 1.9%.</w:t>
      </w:r>
    </w:p>
    <w:p w14:paraId="276E33DA" w14:textId="77777777" w:rsidR="003D1DEF" w:rsidRDefault="00000000">
      <w:pPr>
        <w:pStyle w:val="Heading2"/>
        <w:spacing w:before="160" w:after="80"/>
      </w:pPr>
      <w:r>
        <w:rPr>
          <w:rFonts w:ascii="Calibri" w:hAnsi="Calibri"/>
          <w:color w:val="0F766E"/>
        </w:rPr>
        <w:lastRenderedPageBreak/>
        <w:t>10.3 Capacity Position EDA</w:t>
      </w:r>
    </w:p>
    <w:p w14:paraId="49C80417" w14:textId="77777777" w:rsidR="003D1DEF" w:rsidRDefault="00000000">
      <w:pPr>
        <w:jc w:val="center"/>
      </w:pPr>
      <w:r>
        <w:rPr>
          <w:noProof/>
        </w:rPr>
        <w:drawing>
          <wp:inline distT="0" distB="0" distL="0" distR="0" wp14:anchorId="593139F2" wp14:editId="5088D66D">
            <wp:extent cx="4846320" cy="3455382"/>
            <wp:effectExtent l="0" t="0" r="0" b="0"/>
            <wp:docPr id="6" name="Picture 6" descr="Horizontal bar chart showing lowest load 2002, current load 2502, average load 6233, and peak load 1176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jpg"/>
                    <pic:cNvPicPr/>
                  </pic:nvPicPr>
                  <pic:blipFill>
                    <a:blip r:embed="rId13"/>
                    <a:stretch>
                      <a:fillRect/>
                    </a:stretch>
                  </pic:blipFill>
                  <pic:spPr>
                    <a:xfrm>
                      <a:off x="0" y="0"/>
                      <a:ext cx="4846320" cy="3455382"/>
                    </a:xfrm>
                    <a:prstGeom prst="rect">
                      <a:avLst/>
                    </a:prstGeom>
                  </pic:spPr>
                </pic:pic>
              </a:graphicData>
            </a:graphic>
          </wp:inline>
        </w:drawing>
      </w:r>
    </w:p>
    <w:p w14:paraId="1951D4A7" w14:textId="77777777" w:rsidR="003D1DEF" w:rsidRDefault="00000000">
      <w:pPr>
        <w:jc w:val="center"/>
      </w:pPr>
      <w:r>
        <w:rPr>
          <w:i/>
          <w:color w:val="475569"/>
          <w:sz w:val="18"/>
        </w:rPr>
        <w:t>Figure 6. Capacity Position comparing lowest, current, average, and peak system load.</w:t>
      </w:r>
    </w:p>
    <w:p w14:paraId="7357CC87" w14:textId="77777777" w:rsidR="003D1DEF" w:rsidRDefault="00000000">
      <w:pPr>
        <w:jc w:val="both"/>
      </w:pPr>
      <w:r>
        <w:t>The current load of 2,502 is much closer to the lowest observed load of 2,002 than to the selected-period peak of 11,762. This supports the interpretation that the latest view is not operating near historical peak burden.</w:t>
      </w:r>
    </w:p>
    <w:tbl>
      <w:tblPr>
        <w:tblStyle w:val="TableGrid"/>
        <w:tblW w:w="0" w:type="auto"/>
        <w:jc w:val="center"/>
        <w:tblLook w:val="04A0" w:firstRow="1" w:lastRow="0" w:firstColumn="1" w:lastColumn="0" w:noHBand="0" w:noVBand="1"/>
      </w:tblPr>
      <w:tblGrid>
        <w:gridCol w:w="2448"/>
        <w:gridCol w:w="3888"/>
        <w:gridCol w:w="3168"/>
      </w:tblGrid>
      <w:tr w:rsidR="003D1DEF" w14:paraId="3CC5C8AF" w14:textId="77777777">
        <w:trPr>
          <w:tblHeader/>
          <w:jc w:val="center"/>
        </w:trPr>
        <w:tc>
          <w:tcPr>
            <w:tcW w:w="2448" w:type="dxa"/>
            <w:shd w:val="clear" w:color="auto" w:fill="0B3D5C"/>
            <w:tcMar>
              <w:top w:w="80" w:type="dxa"/>
              <w:left w:w="80" w:type="dxa"/>
              <w:bottom w:w="80" w:type="dxa"/>
              <w:right w:w="80" w:type="dxa"/>
            </w:tcMar>
            <w:vAlign w:val="center"/>
          </w:tcPr>
          <w:p w14:paraId="0A4E4A49" w14:textId="77777777" w:rsidR="003D1DEF" w:rsidRDefault="00000000">
            <w:r>
              <w:rPr>
                <w:b/>
                <w:color w:val="FFFFFF"/>
                <w:sz w:val="16"/>
              </w:rPr>
              <w:t>EDA Area</w:t>
            </w:r>
          </w:p>
        </w:tc>
        <w:tc>
          <w:tcPr>
            <w:tcW w:w="3888" w:type="dxa"/>
            <w:shd w:val="clear" w:color="auto" w:fill="0B3D5C"/>
            <w:tcMar>
              <w:top w:w="80" w:type="dxa"/>
              <w:left w:w="80" w:type="dxa"/>
              <w:bottom w:w="80" w:type="dxa"/>
              <w:right w:w="80" w:type="dxa"/>
            </w:tcMar>
            <w:vAlign w:val="center"/>
          </w:tcPr>
          <w:p w14:paraId="78849414" w14:textId="77777777" w:rsidR="003D1DEF" w:rsidRDefault="00000000">
            <w:r>
              <w:rPr>
                <w:b/>
                <w:color w:val="FFFFFF"/>
                <w:sz w:val="16"/>
              </w:rPr>
              <w:t>Pattern Observed</w:t>
            </w:r>
          </w:p>
        </w:tc>
        <w:tc>
          <w:tcPr>
            <w:tcW w:w="3168" w:type="dxa"/>
            <w:shd w:val="clear" w:color="auto" w:fill="0B3D5C"/>
            <w:tcMar>
              <w:top w:w="80" w:type="dxa"/>
              <w:left w:w="80" w:type="dxa"/>
              <w:bottom w:w="80" w:type="dxa"/>
              <w:right w:w="80" w:type="dxa"/>
            </w:tcMar>
            <w:vAlign w:val="center"/>
          </w:tcPr>
          <w:p w14:paraId="1131C100" w14:textId="77777777" w:rsidR="003D1DEF" w:rsidRDefault="00000000">
            <w:r>
              <w:rPr>
                <w:b/>
                <w:color w:val="FFFFFF"/>
                <w:sz w:val="16"/>
              </w:rPr>
              <w:t>Analytical Meaning</w:t>
            </w:r>
          </w:p>
        </w:tc>
      </w:tr>
      <w:tr w:rsidR="003D1DEF" w14:paraId="5F9D19EC" w14:textId="77777777">
        <w:trPr>
          <w:jc w:val="center"/>
        </w:trPr>
        <w:tc>
          <w:tcPr>
            <w:tcW w:w="2448" w:type="dxa"/>
            <w:shd w:val="clear" w:color="auto" w:fill="F7FAFC"/>
            <w:tcMar>
              <w:top w:w="80" w:type="dxa"/>
              <w:left w:w="80" w:type="dxa"/>
              <w:bottom w:w="80" w:type="dxa"/>
              <w:right w:w="80" w:type="dxa"/>
            </w:tcMar>
            <w:vAlign w:val="center"/>
          </w:tcPr>
          <w:p w14:paraId="0AB0B772" w14:textId="77777777" w:rsidR="003D1DEF" w:rsidRDefault="00000000">
            <w:r>
              <w:rPr>
                <w:sz w:val="16"/>
              </w:rPr>
              <w:t>System load trend</w:t>
            </w:r>
          </w:p>
        </w:tc>
        <w:tc>
          <w:tcPr>
            <w:tcW w:w="3888" w:type="dxa"/>
            <w:shd w:val="clear" w:color="auto" w:fill="F7FAFC"/>
            <w:tcMar>
              <w:top w:w="80" w:type="dxa"/>
              <w:left w:w="80" w:type="dxa"/>
              <w:bottom w:w="80" w:type="dxa"/>
              <w:right w:w="80" w:type="dxa"/>
            </w:tcMar>
            <w:vAlign w:val="center"/>
          </w:tcPr>
          <w:p w14:paraId="387A4A09" w14:textId="77777777" w:rsidR="003D1DEF" w:rsidRDefault="00000000">
            <w:r>
              <w:rPr>
                <w:sz w:val="16"/>
              </w:rPr>
              <w:t>High load in late 2023/early 2024, then lower range by 2025.</w:t>
            </w:r>
          </w:p>
        </w:tc>
        <w:tc>
          <w:tcPr>
            <w:tcW w:w="3168" w:type="dxa"/>
            <w:shd w:val="clear" w:color="auto" w:fill="F7FAFC"/>
            <w:tcMar>
              <w:top w:w="80" w:type="dxa"/>
              <w:left w:w="80" w:type="dxa"/>
              <w:bottom w:w="80" w:type="dxa"/>
              <w:right w:w="80" w:type="dxa"/>
            </w:tcMar>
            <w:vAlign w:val="center"/>
          </w:tcPr>
          <w:p w14:paraId="467708E5" w14:textId="77777777" w:rsidR="003D1DEF" w:rsidRDefault="00000000">
            <w:r>
              <w:rPr>
                <w:sz w:val="16"/>
              </w:rPr>
              <w:t>Historical peak context is important but latest view is much lower.</w:t>
            </w:r>
          </w:p>
        </w:tc>
      </w:tr>
      <w:tr w:rsidR="003D1DEF" w14:paraId="6906762D" w14:textId="77777777">
        <w:trPr>
          <w:jc w:val="center"/>
        </w:trPr>
        <w:tc>
          <w:tcPr>
            <w:tcW w:w="2448" w:type="dxa"/>
            <w:shd w:val="clear" w:color="auto" w:fill="FFFFFF"/>
            <w:tcMar>
              <w:top w:w="80" w:type="dxa"/>
              <w:left w:w="80" w:type="dxa"/>
              <w:bottom w:w="80" w:type="dxa"/>
              <w:right w:w="80" w:type="dxa"/>
            </w:tcMar>
            <w:vAlign w:val="center"/>
          </w:tcPr>
          <w:p w14:paraId="28F85FAF" w14:textId="77777777" w:rsidR="003D1DEF" w:rsidRDefault="00000000">
            <w:r>
              <w:rPr>
                <w:sz w:val="16"/>
              </w:rPr>
              <w:t>Pressure vs relief movement</w:t>
            </w:r>
          </w:p>
        </w:tc>
        <w:tc>
          <w:tcPr>
            <w:tcW w:w="3888" w:type="dxa"/>
            <w:shd w:val="clear" w:color="auto" w:fill="FFFFFF"/>
            <w:tcMar>
              <w:top w:w="80" w:type="dxa"/>
              <w:left w:w="80" w:type="dxa"/>
              <w:bottom w:w="80" w:type="dxa"/>
              <w:right w:w="80" w:type="dxa"/>
            </w:tcMar>
            <w:vAlign w:val="center"/>
          </w:tcPr>
          <w:p w14:paraId="5B7B7418" w14:textId="77777777" w:rsidR="003D1DEF" w:rsidRDefault="00000000">
            <w:r>
              <w:rPr>
                <w:sz w:val="16"/>
              </w:rPr>
              <w:t>Positive and negative movement periods appear across the timeline.</w:t>
            </w:r>
          </w:p>
        </w:tc>
        <w:tc>
          <w:tcPr>
            <w:tcW w:w="3168" w:type="dxa"/>
            <w:shd w:val="clear" w:color="auto" w:fill="FFFFFF"/>
            <w:tcMar>
              <w:top w:w="80" w:type="dxa"/>
              <w:left w:w="80" w:type="dxa"/>
              <w:bottom w:w="80" w:type="dxa"/>
              <w:right w:w="80" w:type="dxa"/>
            </w:tcMar>
            <w:vAlign w:val="center"/>
          </w:tcPr>
          <w:p w14:paraId="2A21AD6A" w14:textId="77777777" w:rsidR="003D1DEF" w:rsidRDefault="00000000">
            <w:r>
              <w:rPr>
                <w:sz w:val="16"/>
              </w:rPr>
              <w:t>The system cycles through pressure and relief rather than staying in one state.</w:t>
            </w:r>
          </w:p>
        </w:tc>
      </w:tr>
      <w:tr w:rsidR="003D1DEF" w14:paraId="6F0D11DA" w14:textId="77777777">
        <w:trPr>
          <w:jc w:val="center"/>
        </w:trPr>
        <w:tc>
          <w:tcPr>
            <w:tcW w:w="2448" w:type="dxa"/>
            <w:shd w:val="clear" w:color="auto" w:fill="F7FAFC"/>
            <w:tcMar>
              <w:top w:w="80" w:type="dxa"/>
              <w:left w:w="80" w:type="dxa"/>
              <w:bottom w:w="80" w:type="dxa"/>
              <w:right w:w="80" w:type="dxa"/>
            </w:tcMar>
            <w:vAlign w:val="center"/>
          </w:tcPr>
          <w:p w14:paraId="37F07ECE" w14:textId="77777777" w:rsidR="003D1DEF" w:rsidRDefault="00000000">
            <w:r>
              <w:rPr>
                <w:sz w:val="16"/>
              </w:rPr>
              <w:t>Capacity position</w:t>
            </w:r>
          </w:p>
        </w:tc>
        <w:tc>
          <w:tcPr>
            <w:tcW w:w="3888" w:type="dxa"/>
            <w:shd w:val="clear" w:color="auto" w:fill="F7FAFC"/>
            <w:tcMar>
              <w:top w:w="80" w:type="dxa"/>
              <w:left w:w="80" w:type="dxa"/>
              <w:bottom w:w="80" w:type="dxa"/>
              <w:right w:w="80" w:type="dxa"/>
            </w:tcMar>
            <w:vAlign w:val="center"/>
          </w:tcPr>
          <w:p w14:paraId="203D723D" w14:textId="77777777" w:rsidR="003D1DEF" w:rsidRDefault="00000000">
            <w:r>
              <w:rPr>
                <w:sz w:val="16"/>
              </w:rPr>
              <w:t>Current load is 21.3% of peak.</w:t>
            </w:r>
          </w:p>
        </w:tc>
        <w:tc>
          <w:tcPr>
            <w:tcW w:w="3168" w:type="dxa"/>
            <w:shd w:val="clear" w:color="auto" w:fill="F7FAFC"/>
            <w:tcMar>
              <w:top w:w="80" w:type="dxa"/>
              <w:left w:w="80" w:type="dxa"/>
              <w:bottom w:w="80" w:type="dxa"/>
              <w:right w:w="80" w:type="dxa"/>
            </w:tcMar>
            <w:vAlign w:val="center"/>
          </w:tcPr>
          <w:p w14:paraId="705459FC" w14:textId="77777777" w:rsidR="003D1DEF" w:rsidRDefault="00000000">
            <w:r>
              <w:rPr>
                <w:sz w:val="16"/>
              </w:rPr>
              <w:t>Current burden is controlled relative to selected-period peak.</w:t>
            </w:r>
          </w:p>
        </w:tc>
      </w:tr>
      <w:tr w:rsidR="003D1DEF" w14:paraId="16C01799" w14:textId="77777777">
        <w:trPr>
          <w:jc w:val="center"/>
        </w:trPr>
        <w:tc>
          <w:tcPr>
            <w:tcW w:w="2448" w:type="dxa"/>
            <w:shd w:val="clear" w:color="auto" w:fill="FFFFFF"/>
            <w:tcMar>
              <w:top w:w="80" w:type="dxa"/>
              <w:left w:w="80" w:type="dxa"/>
              <w:bottom w:w="80" w:type="dxa"/>
              <w:right w:w="80" w:type="dxa"/>
            </w:tcMar>
            <w:vAlign w:val="center"/>
          </w:tcPr>
          <w:p w14:paraId="6372DB65" w14:textId="77777777" w:rsidR="003D1DEF" w:rsidRDefault="00000000">
            <w:r>
              <w:rPr>
                <w:sz w:val="16"/>
              </w:rPr>
              <w:t>Diagnostic metrics</w:t>
            </w:r>
          </w:p>
        </w:tc>
        <w:tc>
          <w:tcPr>
            <w:tcW w:w="3888" w:type="dxa"/>
            <w:shd w:val="clear" w:color="auto" w:fill="FFFFFF"/>
            <w:tcMar>
              <w:top w:w="80" w:type="dxa"/>
              <w:left w:w="80" w:type="dxa"/>
              <w:bottom w:w="80" w:type="dxa"/>
              <w:right w:w="80" w:type="dxa"/>
            </w:tcMar>
            <w:vAlign w:val="center"/>
          </w:tcPr>
          <w:p w14:paraId="48578DA1" w14:textId="77777777" w:rsidR="003D1DEF" w:rsidRDefault="00000000">
            <w:r>
              <w:rPr>
                <w:sz w:val="16"/>
              </w:rPr>
              <w:t>HHS Care and Total System Load move together.</w:t>
            </w:r>
          </w:p>
        </w:tc>
        <w:tc>
          <w:tcPr>
            <w:tcW w:w="3168" w:type="dxa"/>
            <w:shd w:val="clear" w:color="auto" w:fill="FFFFFF"/>
            <w:tcMar>
              <w:top w:w="80" w:type="dxa"/>
              <w:left w:w="80" w:type="dxa"/>
              <w:bottom w:w="80" w:type="dxa"/>
              <w:right w:w="80" w:type="dxa"/>
            </w:tcMar>
            <w:vAlign w:val="center"/>
          </w:tcPr>
          <w:p w14:paraId="61E12E75" w14:textId="77777777" w:rsidR="003D1DEF" w:rsidRDefault="00000000">
            <w:r>
              <w:rPr>
                <w:sz w:val="16"/>
              </w:rPr>
              <w:t>HHS is the main active-load component.</w:t>
            </w:r>
          </w:p>
        </w:tc>
      </w:tr>
    </w:tbl>
    <w:p w14:paraId="6255FAEF" w14:textId="77777777" w:rsidR="003D1DEF" w:rsidRDefault="003D1DEF"/>
    <w:p w14:paraId="17887F10" w14:textId="77777777" w:rsidR="003D1DEF" w:rsidRDefault="00000000">
      <w:r>
        <w:br w:type="page"/>
      </w:r>
    </w:p>
    <w:p w14:paraId="6A7F534A" w14:textId="77777777" w:rsidR="003D1DEF" w:rsidRDefault="00000000">
      <w:pPr>
        <w:pStyle w:val="Heading2"/>
        <w:spacing w:before="120" w:after="40"/>
      </w:pPr>
      <w:r>
        <w:lastRenderedPageBreak/>
        <w:t>10.4 EDA Decision-Use Note</w:t>
      </w:r>
    </w:p>
    <w:p w14:paraId="31AB2CDA" w14:textId="77777777" w:rsidR="003D1DEF" w:rsidRDefault="00000000">
      <w:pPr>
        <w:spacing w:after="80"/>
      </w:pPr>
      <w:r>
        <w:rPr>
          <w:sz w:val="18"/>
        </w:rPr>
        <w:t>EDA should be read as a pattern-discovery layer before final result interpretation. The system-load trend provides historical context, the pressure-relief movement shows daily operating variation, the capacity-position chart compares current load with peak and average values, and the diagnostic metric explorer confirms whether stock and flow metrics move together or diverge. This sequence helps prevent isolated chart reading and supports evidence-based dashboard interpretation.</w:t>
      </w:r>
    </w:p>
    <w:p w14:paraId="0EE4816A" w14:textId="77777777" w:rsidR="003D1DEF" w:rsidRDefault="00000000">
      <w:pPr>
        <w:pStyle w:val="Heading1"/>
        <w:spacing w:after="200"/>
      </w:pPr>
      <w:r>
        <w:rPr>
          <w:rFonts w:ascii="Calibri" w:hAnsi="Calibri"/>
          <w:color w:val="0B1F3A"/>
          <w:sz w:val="36"/>
        </w:rPr>
        <w:t>11. Result and Analysis</w:t>
      </w:r>
    </w:p>
    <w:p w14:paraId="6F45674B" w14:textId="77777777" w:rsidR="003D1DEF" w:rsidRDefault="00000000">
      <w:pPr>
        <w:jc w:val="both"/>
      </w:pPr>
      <w:r>
        <w:t>This section converts the dashboard screenshots into analytical evidence. Each dashboard module is interpreted as a decision-support layer: system load overview, pressure and risk stability, CBP-HHS load comparison, net intake and backlog pressure, KPI health ranking, and pressure driver evidence.</w:t>
      </w:r>
    </w:p>
    <w:p w14:paraId="54989365" w14:textId="77777777" w:rsidR="003D1DEF" w:rsidRDefault="00000000">
      <w:pPr>
        <w:pStyle w:val="Heading2"/>
        <w:spacing w:before="160" w:after="80"/>
      </w:pPr>
      <w:r>
        <w:rPr>
          <w:rFonts w:ascii="Calibri" w:hAnsi="Calibri"/>
          <w:color w:val="0F766E"/>
        </w:rPr>
        <w:t>11.1 System Load Overview</w:t>
      </w:r>
    </w:p>
    <w:p w14:paraId="7C5B59F0" w14:textId="77777777" w:rsidR="003D1DEF" w:rsidRDefault="00000000">
      <w:pPr>
        <w:jc w:val="center"/>
      </w:pPr>
      <w:r>
        <w:rPr>
          <w:noProof/>
        </w:rPr>
        <w:drawing>
          <wp:inline distT="0" distB="0" distL="0" distR="0" wp14:anchorId="2C96E173" wp14:editId="3353C80D">
            <wp:extent cx="5989320" cy="1892266"/>
            <wp:effectExtent l="0" t="0" r="0" b="0"/>
            <wp:docPr id="7" name="Picture 7" descr="Module 1 intelligence cards with current system load, load change, load position, pressure state, rolling trend, risk stability, selected window, peak context, flow offset, dominant risk, and diagnostic metric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jpg"/>
                    <pic:cNvPicPr/>
                  </pic:nvPicPr>
                  <pic:blipFill>
                    <a:blip r:embed="rId14"/>
                    <a:stretch>
                      <a:fillRect/>
                    </a:stretch>
                  </pic:blipFill>
                  <pic:spPr>
                    <a:xfrm>
                      <a:off x="0" y="0"/>
                      <a:ext cx="5989320" cy="1892266"/>
                    </a:xfrm>
                    <a:prstGeom prst="rect">
                      <a:avLst/>
                    </a:prstGeom>
                  </pic:spPr>
                </pic:pic>
              </a:graphicData>
            </a:graphic>
          </wp:inline>
        </w:drawing>
      </w:r>
    </w:p>
    <w:p w14:paraId="57963AA1" w14:textId="77777777" w:rsidR="003D1DEF" w:rsidRDefault="00000000">
      <w:pPr>
        <w:jc w:val="center"/>
      </w:pPr>
      <w:r>
        <w:rPr>
          <w:i/>
          <w:color w:val="475569"/>
          <w:sz w:val="18"/>
        </w:rPr>
        <w:t>Figure 7. Module 1 command-center intelligence cards for system load, pressure state, peak context, flow offset, and dominant risk.</w:t>
      </w:r>
    </w:p>
    <w:p w14:paraId="395428CD" w14:textId="77777777" w:rsidR="003D1DEF" w:rsidRDefault="00000000">
      <w:pPr>
        <w:jc w:val="both"/>
      </w:pPr>
      <w:r>
        <w:t>The command-center cards identify a current load of 2,502, a load change of -20, load position at 21.3% of peak, selected window of 720 days, peak context of 11,762, flow offset of 1.35x, and Backlog Pressure as the dominant risk signal.</w:t>
      </w:r>
    </w:p>
    <w:p w14:paraId="6CAE130B" w14:textId="77777777" w:rsidR="003D1DEF" w:rsidRDefault="00000000">
      <w:pPr>
        <w:jc w:val="both"/>
      </w:pPr>
      <w:r>
        <w:t>The system load overview indicates that the latest selected view is stable. The current system load is not near the selected-period peak, and the latest load movement is decreasing. This does not eliminate monitoring need, but it changes the operational posture from emergency escalation to routine capacity monitoring and confirmation of sustained relief.</w:t>
      </w:r>
    </w:p>
    <w:tbl>
      <w:tblPr>
        <w:tblStyle w:val="TableGrid"/>
        <w:tblW w:w="0" w:type="auto"/>
        <w:jc w:val="center"/>
        <w:tblLook w:val="04A0" w:firstRow="1" w:lastRow="0" w:firstColumn="1" w:lastColumn="0" w:noHBand="0" w:noVBand="1"/>
      </w:tblPr>
      <w:tblGrid>
        <w:gridCol w:w="2448"/>
        <w:gridCol w:w="1728"/>
        <w:gridCol w:w="5472"/>
      </w:tblGrid>
      <w:tr w:rsidR="003D1DEF" w14:paraId="4465A8FB" w14:textId="77777777">
        <w:trPr>
          <w:tblHeader/>
          <w:jc w:val="center"/>
        </w:trPr>
        <w:tc>
          <w:tcPr>
            <w:tcW w:w="2448" w:type="dxa"/>
            <w:shd w:val="clear" w:color="auto" w:fill="0B3D5C"/>
            <w:tcMar>
              <w:top w:w="80" w:type="dxa"/>
              <w:left w:w="80" w:type="dxa"/>
              <w:bottom w:w="80" w:type="dxa"/>
              <w:right w:w="80" w:type="dxa"/>
            </w:tcMar>
            <w:vAlign w:val="center"/>
          </w:tcPr>
          <w:p w14:paraId="6D1D6D47" w14:textId="77777777" w:rsidR="003D1DEF" w:rsidRDefault="00000000">
            <w:r>
              <w:rPr>
                <w:b/>
                <w:color w:val="FFFFFF"/>
                <w:sz w:val="17"/>
              </w:rPr>
              <w:t>Metric</w:t>
            </w:r>
          </w:p>
        </w:tc>
        <w:tc>
          <w:tcPr>
            <w:tcW w:w="1728" w:type="dxa"/>
            <w:shd w:val="clear" w:color="auto" w:fill="0B3D5C"/>
            <w:tcMar>
              <w:top w:w="80" w:type="dxa"/>
              <w:left w:w="80" w:type="dxa"/>
              <w:bottom w:w="80" w:type="dxa"/>
              <w:right w:w="80" w:type="dxa"/>
            </w:tcMar>
            <w:vAlign w:val="center"/>
          </w:tcPr>
          <w:p w14:paraId="1CF6265F" w14:textId="77777777" w:rsidR="003D1DEF" w:rsidRDefault="00000000">
            <w:r>
              <w:rPr>
                <w:b/>
                <w:color w:val="FFFFFF"/>
                <w:sz w:val="17"/>
              </w:rPr>
              <w:t>Value</w:t>
            </w:r>
          </w:p>
        </w:tc>
        <w:tc>
          <w:tcPr>
            <w:tcW w:w="5472" w:type="dxa"/>
            <w:shd w:val="clear" w:color="auto" w:fill="0B3D5C"/>
            <w:tcMar>
              <w:top w:w="80" w:type="dxa"/>
              <w:left w:w="80" w:type="dxa"/>
              <w:bottom w:w="80" w:type="dxa"/>
              <w:right w:w="80" w:type="dxa"/>
            </w:tcMar>
            <w:vAlign w:val="center"/>
          </w:tcPr>
          <w:p w14:paraId="2A2ABB71" w14:textId="77777777" w:rsidR="003D1DEF" w:rsidRDefault="00000000">
            <w:r>
              <w:rPr>
                <w:b/>
                <w:color w:val="FFFFFF"/>
                <w:sz w:val="17"/>
              </w:rPr>
              <w:t>Interpretation</w:t>
            </w:r>
          </w:p>
        </w:tc>
      </w:tr>
      <w:tr w:rsidR="003D1DEF" w14:paraId="0BD4C169" w14:textId="77777777">
        <w:trPr>
          <w:jc w:val="center"/>
        </w:trPr>
        <w:tc>
          <w:tcPr>
            <w:tcW w:w="2448" w:type="dxa"/>
            <w:shd w:val="clear" w:color="auto" w:fill="F7FAFC"/>
            <w:tcMar>
              <w:top w:w="80" w:type="dxa"/>
              <w:left w:w="80" w:type="dxa"/>
              <w:bottom w:w="80" w:type="dxa"/>
              <w:right w:w="80" w:type="dxa"/>
            </w:tcMar>
            <w:vAlign w:val="center"/>
          </w:tcPr>
          <w:p w14:paraId="0B10713D" w14:textId="77777777" w:rsidR="003D1DEF" w:rsidRDefault="00000000">
            <w:r>
              <w:rPr>
                <w:sz w:val="17"/>
              </w:rPr>
              <w:t>Current System Load</w:t>
            </w:r>
          </w:p>
        </w:tc>
        <w:tc>
          <w:tcPr>
            <w:tcW w:w="1728" w:type="dxa"/>
            <w:shd w:val="clear" w:color="auto" w:fill="F7FAFC"/>
            <w:tcMar>
              <w:top w:w="80" w:type="dxa"/>
              <w:left w:w="80" w:type="dxa"/>
              <w:bottom w:w="80" w:type="dxa"/>
              <w:right w:w="80" w:type="dxa"/>
            </w:tcMar>
            <w:vAlign w:val="center"/>
          </w:tcPr>
          <w:p w14:paraId="10D4F2A7" w14:textId="77777777" w:rsidR="003D1DEF" w:rsidRDefault="00000000">
            <w:r>
              <w:rPr>
                <w:sz w:val="17"/>
              </w:rPr>
              <w:t>2,502</w:t>
            </w:r>
          </w:p>
        </w:tc>
        <w:tc>
          <w:tcPr>
            <w:tcW w:w="5472" w:type="dxa"/>
            <w:shd w:val="clear" w:color="auto" w:fill="F7FAFC"/>
            <w:tcMar>
              <w:top w:w="80" w:type="dxa"/>
              <w:left w:w="80" w:type="dxa"/>
              <w:bottom w:w="80" w:type="dxa"/>
              <w:right w:w="80" w:type="dxa"/>
            </w:tcMar>
            <w:vAlign w:val="center"/>
          </w:tcPr>
          <w:p w14:paraId="546D9AB4" w14:textId="77777777" w:rsidR="003D1DEF" w:rsidRDefault="00000000">
            <w:r>
              <w:rPr>
                <w:sz w:val="17"/>
              </w:rPr>
              <w:t>Current combined system responsibility across CBP and HHS.</w:t>
            </w:r>
          </w:p>
        </w:tc>
      </w:tr>
      <w:tr w:rsidR="003D1DEF" w14:paraId="5F3EE8C9" w14:textId="77777777">
        <w:trPr>
          <w:jc w:val="center"/>
        </w:trPr>
        <w:tc>
          <w:tcPr>
            <w:tcW w:w="2448" w:type="dxa"/>
            <w:shd w:val="clear" w:color="auto" w:fill="FFFFFF"/>
            <w:tcMar>
              <w:top w:w="80" w:type="dxa"/>
              <w:left w:w="80" w:type="dxa"/>
              <w:bottom w:w="80" w:type="dxa"/>
              <w:right w:w="80" w:type="dxa"/>
            </w:tcMar>
            <w:vAlign w:val="center"/>
          </w:tcPr>
          <w:p w14:paraId="7C0CA0B3" w14:textId="77777777" w:rsidR="003D1DEF" w:rsidRDefault="00000000">
            <w:r>
              <w:rPr>
                <w:sz w:val="17"/>
              </w:rPr>
              <w:t>Load Change</w:t>
            </w:r>
          </w:p>
        </w:tc>
        <w:tc>
          <w:tcPr>
            <w:tcW w:w="1728" w:type="dxa"/>
            <w:shd w:val="clear" w:color="auto" w:fill="FFFFFF"/>
            <w:tcMar>
              <w:top w:w="80" w:type="dxa"/>
              <w:left w:w="80" w:type="dxa"/>
              <w:bottom w:w="80" w:type="dxa"/>
              <w:right w:w="80" w:type="dxa"/>
            </w:tcMar>
            <w:vAlign w:val="center"/>
          </w:tcPr>
          <w:p w14:paraId="0B7DDEC7" w14:textId="77777777" w:rsidR="003D1DEF" w:rsidRDefault="00000000">
            <w:r>
              <w:rPr>
                <w:sz w:val="17"/>
              </w:rPr>
              <w:t>-20</w:t>
            </w:r>
          </w:p>
        </w:tc>
        <w:tc>
          <w:tcPr>
            <w:tcW w:w="5472" w:type="dxa"/>
            <w:shd w:val="clear" w:color="auto" w:fill="FFFFFF"/>
            <w:tcMar>
              <w:top w:w="80" w:type="dxa"/>
              <w:left w:w="80" w:type="dxa"/>
              <w:bottom w:w="80" w:type="dxa"/>
              <w:right w:w="80" w:type="dxa"/>
            </w:tcMar>
            <w:vAlign w:val="center"/>
          </w:tcPr>
          <w:p w14:paraId="76D8338F" w14:textId="77777777" w:rsidR="003D1DEF" w:rsidRDefault="00000000">
            <w:r>
              <w:rPr>
                <w:sz w:val="17"/>
              </w:rPr>
              <w:t>Latest movement is decreasing compared with prior day.</w:t>
            </w:r>
          </w:p>
        </w:tc>
      </w:tr>
      <w:tr w:rsidR="003D1DEF" w14:paraId="58AAF50F" w14:textId="77777777">
        <w:trPr>
          <w:jc w:val="center"/>
        </w:trPr>
        <w:tc>
          <w:tcPr>
            <w:tcW w:w="2448" w:type="dxa"/>
            <w:shd w:val="clear" w:color="auto" w:fill="F7FAFC"/>
            <w:tcMar>
              <w:top w:w="80" w:type="dxa"/>
              <w:left w:w="80" w:type="dxa"/>
              <w:bottom w:w="80" w:type="dxa"/>
              <w:right w:w="80" w:type="dxa"/>
            </w:tcMar>
            <w:vAlign w:val="center"/>
          </w:tcPr>
          <w:p w14:paraId="0B756055" w14:textId="77777777" w:rsidR="003D1DEF" w:rsidRDefault="00000000">
            <w:r>
              <w:rPr>
                <w:sz w:val="17"/>
              </w:rPr>
              <w:t>Load Position vs Peak</w:t>
            </w:r>
          </w:p>
        </w:tc>
        <w:tc>
          <w:tcPr>
            <w:tcW w:w="1728" w:type="dxa"/>
            <w:shd w:val="clear" w:color="auto" w:fill="F7FAFC"/>
            <w:tcMar>
              <w:top w:w="80" w:type="dxa"/>
              <w:left w:w="80" w:type="dxa"/>
              <w:bottom w:w="80" w:type="dxa"/>
              <w:right w:w="80" w:type="dxa"/>
            </w:tcMar>
            <w:vAlign w:val="center"/>
          </w:tcPr>
          <w:p w14:paraId="30FD5347" w14:textId="77777777" w:rsidR="003D1DEF" w:rsidRDefault="00000000">
            <w:r>
              <w:rPr>
                <w:sz w:val="17"/>
              </w:rPr>
              <w:t>21.3%</w:t>
            </w:r>
          </w:p>
        </w:tc>
        <w:tc>
          <w:tcPr>
            <w:tcW w:w="5472" w:type="dxa"/>
            <w:shd w:val="clear" w:color="auto" w:fill="F7FAFC"/>
            <w:tcMar>
              <w:top w:w="80" w:type="dxa"/>
              <w:left w:w="80" w:type="dxa"/>
              <w:bottom w:w="80" w:type="dxa"/>
              <w:right w:w="80" w:type="dxa"/>
            </w:tcMar>
            <w:vAlign w:val="center"/>
          </w:tcPr>
          <w:p w14:paraId="01709FB1" w14:textId="77777777" w:rsidR="003D1DEF" w:rsidRDefault="00000000">
            <w:r>
              <w:rPr>
                <w:sz w:val="17"/>
              </w:rPr>
              <w:t>Current load is far below selected-period peak.</w:t>
            </w:r>
          </w:p>
        </w:tc>
      </w:tr>
      <w:tr w:rsidR="003D1DEF" w14:paraId="315F606E" w14:textId="77777777">
        <w:trPr>
          <w:jc w:val="center"/>
        </w:trPr>
        <w:tc>
          <w:tcPr>
            <w:tcW w:w="2448" w:type="dxa"/>
            <w:shd w:val="clear" w:color="auto" w:fill="FFFFFF"/>
            <w:tcMar>
              <w:top w:w="80" w:type="dxa"/>
              <w:left w:w="80" w:type="dxa"/>
              <w:bottom w:w="80" w:type="dxa"/>
              <w:right w:w="80" w:type="dxa"/>
            </w:tcMar>
            <w:vAlign w:val="center"/>
          </w:tcPr>
          <w:p w14:paraId="31881D4A" w14:textId="77777777" w:rsidR="003D1DEF" w:rsidRDefault="00000000">
            <w:r>
              <w:rPr>
                <w:sz w:val="17"/>
              </w:rPr>
              <w:t>Selected Window</w:t>
            </w:r>
          </w:p>
        </w:tc>
        <w:tc>
          <w:tcPr>
            <w:tcW w:w="1728" w:type="dxa"/>
            <w:shd w:val="clear" w:color="auto" w:fill="FFFFFF"/>
            <w:tcMar>
              <w:top w:w="80" w:type="dxa"/>
              <w:left w:w="80" w:type="dxa"/>
              <w:bottom w:w="80" w:type="dxa"/>
              <w:right w:w="80" w:type="dxa"/>
            </w:tcMar>
            <w:vAlign w:val="center"/>
          </w:tcPr>
          <w:p w14:paraId="4DD860D8" w14:textId="77777777" w:rsidR="003D1DEF" w:rsidRDefault="00000000">
            <w:r>
              <w:rPr>
                <w:sz w:val="17"/>
              </w:rPr>
              <w:t>720 days</w:t>
            </w:r>
          </w:p>
        </w:tc>
        <w:tc>
          <w:tcPr>
            <w:tcW w:w="5472" w:type="dxa"/>
            <w:shd w:val="clear" w:color="auto" w:fill="FFFFFF"/>
            <w:tcMar>
              <w:top w:w="80" w:type="dxa"/>
              <w:left w:w="80" w:type="dxa"/>
              <w:bottom w:w="80" w:type="dxa"/>
              <w:right w:w="80" w:type="dxa"/>
            </w:tcMar>
            <w:vAlign w:val="center"/>
          </w:tcPr>
          <w:p w14:paraId="01082AD2" w14:textId="77777777" w:rsidR="003D1DEF" w:rsidRDefault="00000000">
            <w:r>
              <w:rPr>
                <w:sz w:val="17"/>
              </w:rPr>
              <w:t>The analysis covers a substantial daily timeline.</w:t>
            </w:r>
          </w:p>
        </w:tc>
      </w:tr>
      <w:tr w:rsidR="003D1DEF" w14:paraId="52498640" w14:textId="77777777">
        <w:trPr>
          <w:jc w:val="center"/>
        </w:trPr>
        <w:tc>
          <w:tcPr>
            <w:tcW w:w="2448" w:type="dxa"/>
            <w:shd w:val="clear" w:color="auto" w:fill="F7FAFC"/>
            <w:tcMar>
              <w:top w:w="80" w:type="dxa"/>
              <w:left w:w="80" w:type="dxa"/>
              <w:bottom w:w="80" w:type="dxa"/>
              <w:right w:w="80" w:type="dxa"/>
            </w:tcMar>
            <w:vAlign w:val="center"/>
          </w:tcPr>
          <w:p w14:paraId="330320E6" w14:textId="77777777" w:rsidR="003D1DEF" w:rsidRDefault="00000000">
            <w:r>
              <w:rPr>
                <w:sz w:val="17"/>
              </w:rPr>
              <w:t>Peak Context</w:t>
            </w:r>
          </w:p>
        </w:tc>
        <w:tc>
          <w:tcPr>
            <w:tcW w:w="1728" w:type="dxa"/>
            <w:shd w:val="clear" w:color="auto" w:fill="F7FAFC"/>
            <w:tcMar>
              <w:top w:w="80" w:type="dxa"/>
              <w:left w:w="80" w:type="dxa"/>
              <w:bottom w:w="80" w:type="dxa"/>
              <w:right w:w="80" w:type="dxa"/>
            </w:tcMar>
            <w:vAlign w:val="center"/>
          </w:tcPr>
          <w:p w14:paraId="1A11DABB" w14:textId="77777777" w:rsidR="003D1DEF" w:rsidRDefault="00000000">
            <w:r>
              <w:rPr>
                <w:sz w:val="17"/>
              </w:rPr>
              <w:t>11,762</w:t>
            </w:r>
          </w:p>
        </w:tc>
        <w:tc>
          <w:tcPr>
            <w:tcW w:w="5472" w:type="dxa"/>
            <w:shd w:val="clear" w:color="auto" w:fill="F7FAFC"/>
            <w:tcMar>
              <w:top w:w="80" w:type="dxa"/>
              <w:left w:w="80" w:type="dxa"/>
              <w:bottom w:w="80" w:type="dxa"/>
              <w:right w:w="80" w:type="dxa"/>
            </w:tcMar>
            <w:vAlign w:val="center"/>
          </w:tcPr>
          <w:p w14:paraId="3A00F87C" w14:textId="77777777" w:rsidR="003D1DEF" w:rsidRDefault="00000000">
            <w:r>
              <w:rPr>
                <w:sz w:val="17"/>
              </w:rPr>
              <w:t>Historical peak remains important for surge-readiness planning.</w:t>
            </w:r>
          </w:p>
        </w:tc>
      </w:tr>
      <w:tr w:rsidR="003D1DEF" w14:paraId="02CFC47E" w14:textId="77777777">
        <w:trPr>
          <w:jc w:val="center"/>
        </w:trPr>
        <w:tc>
          <w:tcPr>
            <w:tcW w:w="2448" w:type="dxa"/>
            <w:shd w:val="clear" w:color="auto" w:fill="FFFFFF"/>
            <w:tcMar>
              <w:top w:w="80" w:type="dxa"/>
              <w:left w:w="80" w:type="dxa"/>
              <w:bottom w:w="80" w:type="dxa"/>
              <w:right w:w="80" w:type="dxa"/>
            </w:tcMar>
            <w:vAlign w:val="center"/>
          </w:tcPr>
          <w:p w14:paraId="69B01545" w14:textId="77777777" w:rsidR="003D1DEF" w:rsidRDefault="00000000">
            <w:r>
              <w:rPr>
                <w:sz w:val="17"/>
              </w:rPr>
              <w:t>Dominant Risk</w:t>
            </w:r>
          </w:p>
        </w:tc>
        <w:tc>
          <w:tcPr>
            <w:tcW w:w="1728" w:type="dxa"/>
            <w:shd w:val="clear" w:color="auto" w:fill="FFFFFF"/>
            <w:tcMar>
              <w:top w:w="80" w:type="dxa"/>
              <w:left w:w="80" w:type="dxa"/>
              <w:bottom w:w="80" w:type="dxa"/>
              <w:right w:w="80" w:type="dxa"/>
            </w:tcMar>
            <w:vAlign w:val="center"/>
          </w:tcPr>
          <w:p w14:paraId="232CF7F9" w14:textId="77777777" w:rsidR="003D1DEF" w:rsidRDefault="00000000">
            <w:r>
              <w:rPr>
                <w:sz w:val="17"/>
              </w:rPr>
              <w:t>Backlog Pressure</w:t>
            </w:r>
          </w:p>
        </w:tc>
        <w:tc>
          <w:tcPr>
            <w:tcW w:w="5472" w:type="dxa"/>
            <w:shd w:val="clear" w:color="auto" w:fill="FFFFFF"/>
            <w:tcMar>
              <w:top w:w="80" w:type="dxa"/>
              <w:left w:w="80" w:type="dxa"/>
              <w:bottom w:w="80" w:type="dxa"/>
              <w:right w:w="80" w:type="dxa"/>
            </w:tcMar>
            <w:vAlign w:val="center"/>
          </w:tcPr>
          <w:p w14:paraId="0F31C142" w14:textId="77777777" w:rsidR="003D1DEF" w:rsidRDefault="00000000">
            <w:r>
              <w:rPr>
                <w:sz w:val="17"/>
              </w:rPr>
              <w:t>Backlog pressure is the leading monitoring signal despite stable conditions.</w:t>
            </w:r>
          </w:p>
        </w:tc>
      </w:tr>
    </w:tbl>
    <w:p w14:paraId="77B1BC22" w14:textId="77777777" w:rsidR="003D1DEF" w:rsidRDefault="003D1DEF"/>
    <w:p w14:paraId="788B648E" w14:textId="77777777" w:rsidR="003D1DEF" w:rsidRDefault="00000000">
      <w:pPr>
        <w:pStyle w:val="Heading2"/>
        <w:spacing w:before="160" w:after="80"/>
      </w:pPr>
      <w:r>
        <w:rPr>
          <w:rFonts w:ascii="Calibri" w:hAnsi="Calibri"/>
          <w:color w:val="0F766E"/>
        </w:rPr>
        <w:lastRenderedPageBreak/>
        <w:t>11.2 Pressure, Relief, and Risk Stability</w:t>
      </w:r>
    </w:p>
    <w:p w14:paraId="169D8443" w14:textId="77777777" w:rsidR="003D1DEF" w:rsidRDefault="00000000">
      <w:pPr>
        <w:jc w:val="center"/>
      </w:pPr>
      <w:r>
        <w:rPr>
          <w:noProof/>
        </w:rPr>
        <w:drawing>
          <wp:inline distT="0" distB="0" distL="0" distR="0" wp14:anchorId="302E7B4E" wp14:editId="023D3E59">
            <wp:extent cx="4937760" cy="3563643"/>
            <wp:effectExtent l="0" t="0" r="0" b="0"/>
            <wp:docPr id="8" name="Picture 8" descr="Risk and Stability horizontal bar chart showing normalized risk signal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jpg"/>
                    <pic:cNvPicPr/>
                  </pic:nvPicPr>
                  <pic:blipFill>
                    <a:blip r:embed="rId15"/>
                    <a:stretch>
                      <a:fillRect/>
                    </a:stretch>
                  </pic:blipFill>
                  <pic:spPr>
                    <a:xfrm>
                      <a:off x="0" y="0"/>
                      <a:ext cx="4937760" cy="3563643"/>
                    </a:xfrm>
                    <a:prstGeom prst="rect">
                      <a:avLst/>
                    </a:prstGeom>
                  </pic:spPr>
                </pic:pic>
              </a:graphicData>
            </a:graphic>
          </wp:inline>
        </w:drawing>
      </w:r>
    </w:p>
    <w:p w14:paraId="33E7CEBD" w14:textId="77777777" w:rsidR="003D1DEF" w:rsidRDefault="00000000">
      <w:pPr>
        <w:jc w:val="center"/>
      </w:pPr>
      <w:r>
        <w:rPr>
          <w:i/>
          <w:color w:val="475569"/>
          <w:sz w:val="18"/>
        </w:rPr>
        <w:t>Figure 8. Risk and Stability profile showing normalized backlog, volatility, load position, discharge offset gap, and positive intake streak.</w:t>
      </w:r>
    </w:p>
    <w:p w14:paraId="5EF2FEAD" w14:textId="77777777" w:rsidR="003D1DEF" w:rsidRDefault="00000000">
      <w:pPr>
        <w:jc w:val="both"/>
      </w:pPr>
      <w:r>
        <w:t>The risk and stability chart shows Backlog Pressure at 33.1%, Volatility at 1.9%, Load Position at 21.3% of peak, Discharge Offset Gap at 1.35x, and Positive Intake Streak at 0 periods.</w:t>
      </w:r>
    </w:p>
    <w:p w14:paraId="2B2120C5" w14:textId="77777777" w:rsidR="003D1DEF" w:rsidRDefault="00000000">
      <w:pPr>
        <w:jc w:val="both"/>
      </w:pPr>
      <w:r>
        <w:t>Risk interpretation should combine multiple signals. Backlog Pressure is the most visible risk signal, but volatility, load position, and positive intake streak are controlled in the selected daily view. The discharge offset ratio further supports the relief-oriented interpretation because discharges exceed transfers.</w:t>
      </w:r>
    </w:p>
    <w:p w14:paraId="30F2EAF4" w14:textId="77777777" w:rsidR="003D1DEF" w:rsidRDefault="00000000">
      <w:pPr>
        <w:pStyle w:val="Heading2"/>
        <w:spacing w:before="160" w:after="80"/>
      </w:pPr>
      <w:r>
        <w:rPr>
          <w:rFonts w:ascii="Calibri" w:hAnsi="Calibri"/>
          <w:color w:val="0F766E"/>
        </w:rPr>
        <w:t>11.3 CBP vs HHS Load Comparison</w:t>
      </w:r>
    </w:p>
    <w:p w14:paraId="722C4DC2" w14:textId="77777777" w:rsidR="003D1DEF" w:rsidRDefault="00000000">
      <w:pPr>
        <w:jc w:val="center"/>
      </w:pPr>
      <w:r>
        <w:rPr>
          <w:noProof/>
        </w:rPr>
        <w:drawing>
          <wp:inline distT="0" distB="0" distL="0" distR="0" wp14:anchorId="028D9C1A" wp14:editId="0DAA34AB">
            <wp:extent cx="5989320" cy="3104596"/>
            <wp:effectExtent l="0" t="0" r="0" b="0"/>
            <wp:docPr id="9" name="Picture 9" descr="CBP vs HHS Load Comparison module showing HHS absorption pressure and six responsibility split card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jpg"/>
                    <pic:cNvPicPr/>
                  </pic:nvPicPr>
                  <pic:blipFill>
                    <a:blip r:embed="rId16"/>
                    <a:stretch>
                      <a:fillRect/>
                    </a:stretch>
                  </pic:blipFill>
                  <pic:spPr>
                    <a:xfrm>
                      <a:off x="0" y="0"/>
                      <a:ext cx="5989320" cy="3104596"/>
                    </a:xfrm>
                    <a:prstGeom prst="rect">
                      <a:avLst/>
                    </a:prstGeom>
                  </pic:spPr>
                </pic:pic>
              </a:graphicData>
            </a:graphic>
          </wp:inline>
        </w:drawing>
      </w:r>
    </w:p>
    <w:p w14:paraId="28AFF161" w14:textId="77777777" w:rsidR="003D1DEF" w:rsidRDefault="00000000">
      <w:pPr>
        <w:jc w:val="center"/>
      </w:pPr>
      <w:r>
        <w:rPr>
          <w:i/>
          <w:color w:val="475569"/>
          <w:sz w:val="18"/>
        </w:rPr>
        <w:t>Figure 9. Module 2 CBP vs HHS Load Comparison with latest custody, HHS care, ratio, share shift, load gap, and period count.</w:t>
      </w:r>
    </w:p>
    <w:p w14:paraId="00CBF148" w14:textId="77777777" w:rsidR="003D1DEF" w:rsidRDefault="00000000">
      <w:pPr>
        <w:jc w:val="both"/>
      </w:pPr>
      <w:r>
        <w:lastRenderedPageBreak/>
        <w:t>The module shows latest CBP custody of 18, latest HHS care of 2,484, an HHS/CBP ratio of 138.00x, HHS share shift of +1.8 percentage points, load gap of +2,466, and 720 filtered periods.</w:t>
      </w:r>
    </w:p>
    <w:p w14:paraId="2AF3FEDF" w14:textId="77777777" w:rsidR="003D1DEF" w:rsidRDefault="00000000">
      <w:pPr>
        <w:jc w:val="center"/>
      </w:pPr>
      <w:r>
        <w:rPr>
          <w:noProof/>
        </w:rPr>
        <w:drawing>
          <wp:inline distT="0" distB="0" distL="0" distR="0" wp14:anchorId="55B33678" wp14:editId="573D6E35">
            <wp:extent cx="5989320" cy="2270005"/>
            <wp:effectExtent l="0" t="0" r="0" b="0"/>
            <wp:docPr id="10" name="Picture 10" descr="Line chart comparing total system load, HHS care, and CBP custody across the selected timelin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jpg"/>
                    <pic:cNvPicPr/>
                  </pic:nvPicPr>
                  <pic:blipFill>
                    <a:blip r:embed="rId17"/>
                    <a:stretch>
                      <a:fillRect/>
                    </a:stretch>
                  </pic:blipFill>
                  <pic:spPr>
                    <a:xfrm>
                      <a:off x="0" y="0"/>
                      <a:ext cx="5989320" cy="2270005"/>
                    </a:xfrm>
                    <a:prstGeom prst="rect">
                      <a:avLst/>
                    </a:prstGeom>
                  </pic:spPr>
                </pic:pic>
              </a:graphicData>
            </a:graphic>
          </wp:inline>
        </w:drawing>
      </w:r>
    </w:p>
    <w:p w14:paraId="6D856ED4" w14:textId="77777777" w:rsidR="003D1DEF" w:rsidRDefault="00000000">
      <w:pPr>
        <w:jc w:val="center"/>
      </w:pPr>
      <w:r>
        <w:rPr>
          <w:i/>
          <w:color w:val="475569"/>
          <w:sz w:val="18"/>
        </w:rPr>
        <w:t>Figure 10. CBP vs HHS Responsibility Trend showing HHS care as the dominant contributor to total system load.</w:t>
      </w:r>
    </w:p>
    <w:p w14:paraId="32F99ABD" w14:textId="77777777" w:rsidR="003D1DEF" w:rsidRDefault="00000000">
      <w:pPr>
        <w:jc w:val="both"/>
      </w:pPr>
      <w:r>
        <w:t>The HHS Care line closely follows Total System Load across the timeline, while CBP Custody remains much smaller. This indicates that downstream HHS care is the primary active-load responsibility center.</w:t>
      </w:r>
    </w:p>
    <w:p w14:paraId="2CB20D1E" w14:textId="77777777" w:rsidR="003D1DEF" w:rsidRDefault="00000000">
      <w:pPr>
        <w:jc w:val="center"/>
      </w:pPr>
      <w:r>
        <w:rPr>
          <w:noProof/>
        </w:rPr>
        <w:drawing>
          <wp:inline distT="0" distB="0" distL="0" distR="0" wp14:anchorId="6AB9BBFF" wp14:editId="726E102F">
            <wp:extent cx="4389120" cy="3354596"/>
            <wp:effectExtent l="0" t="0" r="0" b="0"/>
            <wp:docPr id="11" name="Picture 11" descr="Donut chart showing HHS Care 99.3 percent and CBP Custody 0.719 percent of latest responsibilit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jpg"/>
                    <pic:cNvPicPr/>
                  </pic:nvPicPr>
                  <pic:blipFill>
                    <a:blip r:embed="rId18"/>
                    <a:stretch>
                      <a:fillRect/>
                    </a:stretch>
                  </pic:blipFill>
                  <pic:spPr>
                    <a:xfrm>
                      <a:off x="0" y="0"/>
                      <a:ext cx="4389120" cy="3354596"/>
                    </a:xfrm>
                    <a:prstGeom prst="rect">
                      <a:avLst/>
                    </a:prstGeom>
                  </pic:spPr>
                </pic:pic>
              </a:graphicData>
            </a:graphic>
          </wp:inline>
        </w:drawing>
      </w:r>
    </w:p>
    <w:p w14:paraId="45AE042D" w14:textId="77777777" w:rsidR="003D1DEF" w:rsidRDefault="00000000">
      <w:pPr>
        <w:jc w:val="center"/>
      </w:pPr>
      <w:r>
        <w:rPr>
          <w:i/>
          <w:color w:val="475569"/>
          <w:sz w:val="18"/>
        </w:rPr>
        <w:t>Figure 11. Latest Responsibility Split showing latest HHS care share and CBP custody share.</w:t>
      </w:r>
    </w:p>
    <w:p w14:paraId="3FE308BE" w14:textId="77777777" w:rsidR="003D1DEF" w:rsidRDefault="00000000">
      <w:pPr>
        <w:jc w:val="both"/>
      </w:pPr>
      <w:r>
        <w:t>The latest responsibility split shows HHS Care at 99.3% of active load and CBP Custody at 0.719%. This confirms that current care responsibility is overwhelmingly concentrated downstream within HHS care.</w:t>
      </w:r>
    </w:p>
    <w:p w14:paraId="03D32510" w14:textId="77777777" w:rsidR="003D1DEF" w:rsidRDefault="00000000">
      <w:pPr>
        <w:jc w:val="center"/>
      </w:pPr>
      <w:r>
        <w:rPr>
          <w:noProof/>
        </w:rPr>
        <w:lastRenderedPageBreak/>
        <w:drawing>
          <wp:inline distT="0" distB="0" distL="0" distR="0" wp14:anchorId="036FC028" wp14:editId="712B735A">
            <wp:extent cx="5029200" cy="2992308"/>
            <wp:effectExtent l="0" t="0" r="0" b="0"/>
            <wp:docPr id="12" name="Picture 12" descr="Line chart showing HHS share near 100 percent and CBP share near zero over tim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jpg"/>
                    <pic:cNvPicPr/>
                  </pic:nvPicPr>
                  <pic:blipFill>
                    <a:blip r:embed="rId19"/>
                    <a:stretch>
                      <a:fillRect/>
                    </a:stretch>
                  </pic:blipFill>
                  <pic:spPr>
                    <a:xfrm>
                      <a:off x="0" y="0"/>
                      <a:ext cx="5029200" cy="2992308"/>
                    </a:xfrm>
                    <a:prstGeom prst="rect">
                      <a:avLst/>
                    </a:prstGeom>
                  </pic:spPr>
                </pic:pic>
              </a:graphicData>
            </a:graphic>
          </wp:inline>
        </w:drawing>
      </w:r>
    </w:p>
    <w:p w14:paraId="56418797" w14:textId="77777777" w:rsidR="003D1DEF" w:rsidRDefault="00000000">
      <w:pPr>
        <w:jc w:val="center"/>
      </w:pPr>
      <w:r>
        <w:rPr>
          <w:i/>
          <w:color w:val="475569"/>
          <w:sz w:val="18"/>
        </w:rPr>
        <w:t>Figure 12. Responsibility Share Shift comparing HHS share and CBP share across the selected timeline.</w:t>
      </w:r>
    </w:p>
    <w:p w14:paraId="2AFB8F36" w14:textId="77777777" w:rsidR="003D1DEF" w:rsidRDefault="00000000">
      <w:pPr>
        <w:jc w:val="both"/>
      </w:pPr>
      <w:r>
        <w:t>The responsibility share shift chart shows HHS share consistently near the top of total load and CBP share near the bottom, reinforcing the downstream care concentration pattern.</w:t>
      </w:r>
    </w:p>
    <w:tbl>
      <w:tblPr>
        <w:tblStyle w:val="TableGrid"/>
        <w:tblW w:w="0" w:type="auto"/>
        <w:jc w:val="center"/>
        <w:tblLook w:val="04A0" w:firstRow="1" w:lastRow="0" w:firstColumn="1" w:lastColumn="0" w:noHBand="0" w:noVBand="1"/>
      </w:tblPr>
      <w:tblGrid>
        <w:gridCol w:w="2448"/>
        <w:gridCol w:w="1728"/>
        <w:gridCol w:w="5472"/>
      </w:tblGrid>
      <w:tr w:rsidR="003D1DEF" w14:paraId="7381EAE1" w14:textId="77777777">
        <w:trPr>
          <w:tblHeader/>
          <w:jc w:val="center"/>
        </w:trPr>
        <w:tc>
          <w:tcPr>
            <w:tcW w:w="2448" w:type="dxa"/>
            <w:shd w:val="clear" w:color="auto" w:fill="0B3D5C"/>
            <w:tcMar>
              <w:top w:w="80" w:type="dxa"/>
              <w:left w:w="80" w:type="dxa"/>
              <w:bottom w:w="80" w:type="dxa"/>
              <w:right w:w="80" w:type="dxa"/>
            </w:tcMar>
            <w:vAlign w:val="center"/>
          </w:tcPr>
          <w:p w14:paraId="0FB1DEEA" w14:textId="77777777" w:rsidR="003D1DEF" w:rsidRDefault="00000000">
            <w:r>
              <w:rPr>
                <w:b/>
                <w:color w:val="FFFFFF"/>
                <w:sz w:val="17"/>
              </w:rPr>
              <w:t>Responsibility Metric</w:t>
            </w:r>
          </w:p>
        </w:tc>
        <w:tc>
          <w:tcPr>
            <w:tcW w:w="1728" w:type="dxa"/>
            <w:shd w:val="clear" w:color="auto" w:fill="0B3D5C"/>
            <w:tcMar>
              <w:top w:w="80" w:type="dxa"/>
              <w:left w:w="80" w:type="dxa"/>
              <w:bottom w:w="80" w:type="dxa"/>
              <w:right w:w="80" w:type="dxa"/>
            </w:tcMar>
            <w:vAlign w:val="center"/>
          </w:tcPr>
          <w:p w14:paraId="35C177BF" w14:textId="77777777" w:rsidR="003D1DEF" w:rsidRDefault="00000000">
            <w:r>
              <w:rPr>
                <w:b/>
                <w:color w:val="FFFFFF"/>
                <w:sz w:val="17"/>
              </w:rPr>
              <w:t>Observed Value</w:t>
            </w:r>
          </w:p>
        </w:tc>
        <w:tc>
          <w:tcPr>
            <w:tcW w:w="5472" w:type="dxa"/>
            <w:shd w:val="clear" w:color="auto" w:fill="0B3D5C"/>
            <w:tcMar>
              <w:top w:w="80" w:type="dxa"/>
              <w:left w:w="80" w:type="dxa"/>
              <w:bottom w:w="80" w:type="dxa"/>
              <w:right w:w="80" w:type="dxa"/>
            </w:tcMar>
            <w:vAlign w:val="center"/>
          </w:tcPr>
          <w:p w14:paraId="5A1BB1D4" w14:textId="77777777" w:rsidR="003D1DEF" w:rsidRDefault="00000000">
            <w:r>
              <w:rPr>
                <w:b/>
                <w:color w:val="FFFFFF"/>
                <w:sz w:val="17"/>
              </w:rPr>
              <w:t>Operational Meaning</w:t>
            </w:r>
          </w:p>
        </w:tc>
      </w:tr>
      <w:tr w:rsidR="003D1DEF" w14:paraId="3C467396" w14:textId="77777777">
        <w:trPr>
          <w:jc w:val="center"/>
        </w:trPr>
        <w:tc>
          <w:tcPr>
            <w:tcW w:w="2448" w:type="dxa"/>
            <w:shd w:val="clear" w:color="auto" w:fill="F7FAFC"/>
            <w:tcMar>
              <w:top w:w="80" w:type="dxa"/>
              <w:left w:w="80" w:type="dxa"/>
              <w:bottom w:w="80" w:type="dxa"/>
              <w:right w:w="80" w:type="dxa"/>
            </w:tcMar>
            <w:vAlign w:val="center"/>
          </w:tcPr>
          <w:p w14:paraId="5A1CA3E9" w14:textId="77777777" w:rsidR="003D1DEF" w:rsidRDefault="00000000">
            <w:r>
              <w:rPr>
                <w:sz w:val="17"/>
              </w:rPr>
              <w:t>Latest CBP Custody</w:t>
            </w:r>
          </w:p>
        </w:tc>
        <w:tc>
          <w:tcPr>
            <w:tcW w:w="1728" w:type="dxa"/>
            <w:shd w:val="clear" w:color="auto" w:fill="F7FAFC"/>
            <w:tcMar>
              <w:top w:w="80" w:type="dxa"/>
              <w:left w:w="80" w:type="dxa"/>
              <w:bottom w:w="80" w:type="dxa"/>
              <w:right w:w="80" w:type="dxa"/>
            </w:tcMar>
            <w:vAlign w:val="center"/>
          </w:tcPr>
          <w:p w14:paraId="17C90A52" w14:textId="77777777" w:rsidR="003D1DEF" w:rsidRDefault="00000000">
            <w:r>
              <w:rPr>
                <w:sz w:val="17"/>
              </w:rPr>
              <w:t>18</w:t>
            </w:r>
          </w:p>
        </w:tc>
        <w:tc>
          <w:tcPr>
            <w:tcW w:w="5472" w:type="dxa"/>
            <w:shd w:val="clear" w:color="auto" w:fill="F7FAFC"/>
            <w:tcMar>
              <w:top w:w="80" w:type="dxa"/>
              <w:left w:w="80" w:type="dxa"/>
              <w:bottom w:w="80" w:type="dxa"/>
              <w:right w:w="80" w:type="dxa"/>
            </w:tcMar>
            <w:vAlign w:val="center"/>
          </w:tcPr>
          <w:p w14:paraId="169DBC1D" w14:textId="77777777" w:rsidR="003D1DEF" w:rsidRDefault="00000000">
            <w:r>
              <w:rPr>
                <w:sz w:val="17"/>
              </w:rPr>
              <w:t>Very small active upstream custody component in latest view.</w:t>
            </w:r>
          </w:p>
        </w:tc>
      </w:tr>
      <w:tr w:rsidR="003D1DEF" w14:paraId="7443D5CE" w14:textId="77777777">
        <w:trPr>
          <w:jc w:val="center"/>
        </w:trPr>
        <w:tc>
          <w:tcPr>
            <w:tcW w:w="2448" w:type="dxa"/>
            <w:shd w:val="clear" w:color="auto" w:fill="FFFFFF"/>
            <w:tcMar>
              <w:top w:w="80" w:type="dxa"/>
              <w:left w:w="80" w:type="dxa"/>
              <w:bottom w:w="80" w:type="dxa"/>
              <w:right w:w="80" w:type="dxa"/>
            </w:tcMar>
            <w:vAlign w:val="center"/>
          </w:tcPr>
          <w:p w14:paraId="75CD0D2B" w14:textId="77777777" w:rsidR="003D1DEF" w:rsidRDefault="00000000">
            <w:r>
              <w:rPr>
                <w:sz w:val="17"/>
              </w:rPr>
              <w:t>Latest HHS Care</w:t>
            </w:r>
          </w:p>
        </w:tc>
        <w:tc>
          <w:tcPr>
            <w:tcW w:w="1728" w:type="dxa"/>
            <w:shd w:val="clear" w:color="auto" w:fill="FFFFFF"/>
            <w:tcMar>
              <w:top w:w="80" w:type="dxa"/>
              <w:left w:w="80" w:type="dxa"/>
              <w:bottom w:w="80" w:type="dxa"/>
              <w:right w:w="80" w:type="dxa"/>
            </w:tcMar>
            <w:vAlign w:val="center"/>
          </w:tcPr>
          <w:p w14:paraId="567F15FE" w14:textId="77777777" w:rsidR="003D1DEF" w:rsidRDefault="00000000">
            <w:r>
              <w:rPr>
                <w:sz w:val="17"/>
              </w:rPr>
              <w:t>2,484</w:t>
            </w:r>
          </w:p>
        </w:tc>
        <w:tc>
          <w:tcPr>
            <w:tcW w:w="5472" w:type="dxa"/>
            <w:shd w:val="clear" w:color="auto" w:fill="FFFFFF"/>
            <w:tcMar>
              <w:top w:w="80" w:type="dxa"/>
              <w:left w:w="80" w:type="dxa"/>
              <w:bottom w:w="80" w:type="dxa"/>
              <w:right w:w="80" w:type="dxa"/>
            </w:tcMar>
            <w:vAlign w:val="center"/>
          </w:tcPr>
          <w:p w14:paraId="647B965A" w14:textId="77777777" w:rsidR="003D1DEF" w:rsidRDefault="00000000">
            <w:r>
              <w:rPr>
                <w:sz w:val="17"/>
              </w:rPr>
              <w:t>Primary active care-load responsibility.</w:t>
            </w:r>
          </w:p>
        </w:tc>
      </w:tr>
      <w:tr w:rsidR="003D1DEF" w14:paraId="62CCA8B5" w14:textId="77777777">
        <w:trPr>
          <w:jc w:val="center"/>
        </w:trPr>
        <w:tc>
          <w:tcPr>
            <w:tcW w:w="2448" w:type="dxa"/>
            <w:shd w:val="clear" w:color="auto" w:fill="F7FAFC"/>
            <w:tcMar>
              <w:top w:w="80" w:type="dxa"/>
              <w:left w:w="80" w:type="dxa"/>
              <w:bottom w:w="80" w:type="dxa"/>
              <w:right w:w="80" w:type="dxa"/>
            </w:tcMar>
            <w:vAlign w:val="center"/>
          </w:tcPr>
          <w:p w14:paraId="696E3B3E" w14:textId="77777777" w:rsidR="003D1DEF" w:rsidRDefault="00000000">
            <w:r>
              <w:rPr>
                <w:sz w:val="17"/>
              </w:rPr>
              <w:t>HHS / CBP Ratio</w:t>
            </w:r>
          </w:p>
        </w:tc>
        <w:tc>
          <w:tcPr>
            <w:tcW w:w="1728" w:type="dxa"/>
            <w:shd w:val="clear" w:color="auto" w:fill="F7FAFC"/>
            <w:tcMar>
              <w:top w:w="80" w:type="dxa"/>
              <w:left w:w="80" w:type="dxa"/>
              <w:bottom w:w="80" w:type="dxa"/>
              <w:right w:w="80" w:type="dxa"/>
            </w:tcMar>
            <w:vAlign w:val="center"/>
          </w:tcPr>
          <w:p w14:paraId="44E399A8" w14:textId="77777777" w:rsidR="003D1DEF" w:rsidRDefault="00000000">
            <w:r>
              <w:rPr>
                <w:sz w:val="17"/>
              </w:rPr>
              <w:t>138.00x</w:t>
            </w:r>
          </w:p>
        </w:tc>
        <w:tc>
          <w:tcPr>
            <w:tcW w:w="5472" w:type="dxa"/>
            <w:shd w:val="clear" w:color="auto" w:fill="F7FAFC"/>
            <w:tcMar>
              <w:top w:w="80" w:type="dxa"/>
              <w:left w:w="80" w:type="dxa"/>
              <w:bottom w:w="80" w:type="dxa"/>
              <w:right w:w="80" w:type="dxa"/>
            </w:tcMar>
            <w:vAlign w:val="center"/>
          </w:tcPr>
          <w:p w14:paraId="6A8A9D97" w14:textId="77777777" w:rsidR="003D1DEF" w:rsidRDefault="00000000">
            <w:r>
              <w:rPr>
                <w:sz w:val="17"/>
              </w:rPr>
              <w:t>Downstream HHS load is far larger than CBP custody load.</w:t>
            </w:r>
          </w:p>
        </w:tc>
      </w:tr>
      <w:tr w:rsidR="003D1DEF" w14:paraId="5BE80973" w14:textId="77777777">
        <w:trPr>
          <w:jc w:val="center"/>
        </w:trPr>
        <w:tc>
          <w:tcPr>
            <w:tcW w:w="2448" w:type="dxa"/>
            <w:shd w:val="clear" w:color="auto" w:fill="FFFFFF"/>
            <w:tcMar>
              <w:top w:w="80" w:type="dxa"/>
              <w:left w:w="80" w:type="dxa"/>
              <w:bottom w:w="80" w:type="dxa"/>
              <w:right w:w="80" w:type="dxa"/>
            </w:tcMar>
            <w:vAlign w:val="center"/>
          </w:tcPr>
          <w:p w14:paraId="60711573" w14:textId="77777777" w:rsidR="003D1DEF" w:rsidRDefault="00000000">
            <w:r>
              <w:rPr>
                <w:sz w:val="17"/>
              </w:rPr>
              <w:t>HHS Share Shift</w:t>
            </w:r>
          </w:p>
        </w:tc>
        <w:tc>
          <w:tcPr>
            <w:tcW w:w="1728" w:type="dxa"/>
            <w:shd w:val="clear" w:color="auto" w:fill="FFFFFF"/>
            <w:tcMar>
              <w:top w:w="80" w:type="dxa"/>
              <w:left w:w="80" w:type="dxa"/>
              <w:bottom w:w="80" w:type="dxa"/>
              <w:right w:w="80" w:type="dxa"/>
            </w:tcMar>
            <w:vAlign w:val="center"/>
          </w:tcPr>
          <w:p w14:paraId="6D50B39E" w14:textId="77777777" w:rsidR="003D1DEF" w:rsidRDefault="00000000">
            <w:r>
              <w:rPr>
                <w:sz w:val="17"/>
              </w:rPr>
              <w:t>+1.8 pp</w:t>
            </w:r>
          </w:p>
        </w:tc>
        <w:tc>
          <w:tcPr>
            <w:tcW w:w="5472" w:type="dxa"/>
            <w:shd w:val="clear" w:color="auto" w:fill="FFFFFF"/>
            <w:tcMar>
              <w:top w:w="80" w:type="dxa"/>
              <w:left w:w="80" w:type="dxa"/>
              <w:bottom w:w="80" w:type="dxa"/>
              <w:right w:w="80" w:type="dxa"/>
            </w:tcMar>
            <w:vAlign w:val="center"/>
          </w:tcPr>
          <w:p w14:paraId="4C07A23E" w14:textId="77777777" w:rsidR="003D1DEF" w:rsidRDefault="00000000">
            <w:r>
              <w:rPr>
                <w:sz w:val="17"/>
              </w:rPr>
              <w:t>Latest HHS share is above selected-period average.</w:t>
            </w:r>
          </w:p>
        </w:tc>
      </w:tr>
      <w:tr w:rsidR="003D1DEF" w14:paraId="0731C61C" w14:textId="77777777">
        <w:trPr>
          <w:jc w:val="center"/>
        </w:trPr>
        <w:tc>
          <w:tcPr>
            <w:tcW w:w="2448" w:type="dxa"/>
            <w:shd w:val="clear" w:color="auto" w:fill="F7FAFC"/>
            <w:tcMar>
              <w:top w:w="80" w:type="dxa"/>
              <w:left w:w="80" w:type="dxa"/>
              <w:bottom w:w="80" w:type="dxa"/>
              <w:right w:w="80" w:type="dxa"/>
            </w:tcMar>
            <w:vAlign w:val="center"/>
          </w:tcPr>
          <w:p w14:paraId="6FBF7450" w14:textId="77777777" w:rsidR="003D1DEF" w:rsidRDefault="00000000">
            <w:r>
              <w:rPr>
                <w:sz w:val="17"/>
              </w:rPr>
              <w:t>Load Gap</w:t>
            </w:r>
          </w:p>
        </w:tc>
        <w:tc>
          <w:tcPr>
            <w:tcW w:w="1728" w:type="dxa"/>
            <w:shd w:val="clear" w:color="auto" w:fill="F7FAFC"/>
            <w:tcMar>
              <w:top w:w="80" w:type="dxa"/>
              <w:left w:w="80" w:type="dxa"/>
              <w:bottom w:w="80" w:type="dxa"/>
              <w:right w:w="80" w:type="dxa"/>
            </w:tcMar>
            <w:vAlign w:val="center"/>
          </w:tcPr>
          <w:p w14:paraId="1EDE24B7" w14:textId="77777777" w:rsidR="003D1DEF" w:rsidRDefault="00000000">
            <w:r>
              <w:rPr>
                <w:sz w:val="17"/>
              </w:rPr>
              <w:t>+2,466</w:t>
            </w:r>
          </w:p>
        </w:tc>
        <w:tc>
          <w:tcPr>
            <w:tcW w:w="5472" w:type="dxa"/>
            <w:shd w:val="clear" w:color="auto" w:fill="F7FAFC"/>
            <w:tcMar>
              <w:top w:w="80" w:type="dxa"/>
              <w:left w:w="80" w:type="dxa"/>
              <w:bottom w:w="80" w:type="dxa"/>
              <w:right w:w="80" w:type="dxa"/>
            </w:tcMar>
            <w:vAlign w:val="center"/>
          </w:tcPr>
          <w:p w14:paraId="4B333980" w14:textId="77777777" w:rsidR="003D1DEF" w:rsidRDefault="00000000">
            <w:r>
              <w:rPr>
                <w:sz w:val="17"/>
              </w:rPr>
              <w:t>HHS care minus CBP custody shows large downstream gap.</w:t>
            </w:r>
          </w:p>
        </w:tc>
      </w:tr>
    </w:tbl>
    <w:p w14:paraId="1B89D526" w14:textId="77777777" w:rsidR="003D1DEF" w:rsidRDefault="003D1DEF"/>
    <w:p w14:paraId="11C2D665" w14:textId="77777777" w:rsidR="003D1DEF" w:rsidRDefault="00000000">
      <w:pPr>
        <w:pStyle w:val="Heading2"/>
        <w:spacing w:before="160" w:after="80"/>
      </w:pPr>
      <w:r>
        <w:rPr>
          <w:rFonts w:ascii="Calibri" w:hAnsi="Calibri"/>
          <w:color w:val="0F766E"/>
        </w:rPr>
        <w:t>11.4 Net Intake and Backlog Pressure Analysis</w:t>
      </w:r>
    </w:p>
    <w:p w14:paraId="7AA78E05" w14:textId="77777777" w:rsidR="003D1DEF" w:rsidRDefault="00000000">
      <w:pPr>
        <w:jc w:val="center"/>
      </w:pPr>
      <w:r>
        <w:rPr>
          <w:noProof/>
        </w:rPr>
        <w:drawing>
          <wp:inline distT="0" distB="0" distL="0" distR="0" wp14:anchorId="2AF54612" wp14:editId="1E8DFC7A">
            <wp:extent cx="5989320" cy="3051163"/>
            <wp:effectExtent l="0" t="0" r="0" b="0"/>
            <wp:docPr id="13" name="Picture 13" descr="Module 3 Net Intake and Backlog Pressure Analysis cards showing relief dominant status and flow balance metric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jpg"/>
                    <pic:cNvPicPr/>
                  </pic:nvPicPr>
                  <pic:blipFill>
                    <a:blip r:embed="rId20"/>
                    <a:stretch>
                      <a:fillRect/>
                    </a:stretch>
                  </pic:blipFill>
                  <pic:spPr>
                    <a:xfrm>
                      <a:off x="0" y="0"/>
                      <a:ext cx="5989320" cy="3051163"/>
                    </a:xfrm>
                    <a:prstGeom prst="rect">
                      <a:avLst/>
                    </a:prstGeom>
                  </pic:spPr>
                </pic:pic>
              </a:graphicData>
            </a:graphic>
          </wp:inline>
        </w:drawing>
      </w:r>
    </w:p>
    <w:p w14:paraId="090051E7" w14:textId="77777777" w:rsidR="003D1DEF" w:rsidRDefault="00000000">
      <w:pPr>
        <w:jc w:val="center"/>
      </w:pPr>
      <w:r>
        <w:rPr>
          <w:i/>
          <w:color w:val="475569"/>
          <w:sz w:val="18"/>
        </w:rPr>
        <w:t>Figure 13. Module 3 Net Intake and Backlog Pressure Analysis with transfer, discharge, net intake, offset, and pressure-period cards.</w:t>
      </w:r>
    </w:p>
    <w:p w14:paraId="6C52B699" w14:textId="77777777" w:rsidR="003D1DEF" w:rsidRDefault="00000000">
      <w:pPr>
        <w:jc w:val="both"/>
      </w:pPr>
      <w:r>
        <w:lastRenderedPageBreak/>
        <w:t>Module 3 shows transfers into HHS at 92,641, discharges from HHS at 124,853, net intake total of -32,212, average net intake of -44.7 per day, discharge offset of 1.35x, pressure-period share of 33.1%, and longest pressure streak of 12.</w:t>
      </w:r>
    </w:p>
    <w:p w14:paraId="3C3407D0" w14:textId="77777777" w:rsidR="003D1DEF" w:rsidRDefault="00000000">
      <w:pPr>
        <w:jc w:val="center"/>
      </w:pPr>
      <w:r>
        <w:rPr>
          <w:noProof/>
        </w:rPr>
        <w:drawing>
          <wp:inline distT="0" distB="0" distL="0" distR="0" wp14:anchorId="481BA94A" wp14:editId="683A54F8">
            <wp:extent cx="5989320" cy="2304596"/>
            <wp:effectExtent l="0" t="0" r="0" b="0"/>
            <wp:docPr id="14" name="Picture 14" descr="Bar chart comparing transfers into HHS and discharges from HHS over tim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jpg"/>
                    <pic:cNvPicPr/>
                  </pic:nvPicPr>
                  <pic:blipFill>
                    <a:blip r:embed="rId21"/>
                    <a:stretch>
                      <a:fillRect/>
                    </a:stretch>
                  </pic:blipFill>
                  <pic:spPr>
                    <a:xfrm>
                      <a:off x="0" y="0"/>
                      <a:ext cx="5989320" cy="2304596"/>
                    </a:xfrm>
                    <a:prstGeom prst="rect">
                      <a:avLst/>
                    </a:prstGeom>
                  </pic:spPr>
                </pic:pic>
              </a:graphicData>
            </a:graphic>
          </wp:inline>
        </w:drawing>
      </w:r>
    </w:p>
    <w:p w14:paraId="331C96B2" w14:textId="77777777" w:rsidR="003D1DEF" w:rsidRDefault="00000000">
      <w:pPr>
        <w:jc w:val="center"/>
      </w:pPr>
      <w:r>
        <w:rPr>
          <w:i/>
          <w:color w:val="475569"/>
          <w:sz w:val="18"/>
        </w:rPr>
        <w:t>Figure 14. Transfers vs Discharges Flow Balance across the selected daily timeline.</w:t>
      </w:r>
    </w:p>
    <w:p w14:paraId="6ACE0639" w14:textId="77777777" w:rsidR="003D1DEF" w:rsidRDefault="00000000">
      <w:pPr>
        <w:jc w:val="both"/>
      </w:pPr>
      <w:r>
        <w:t>The flow balance chart compares incoming transfers to HHS with HHS discharges. The selected period shows strong discharge throughput relative to transfer flow, supporting the relief-oriented KPI interpretation.</w:t>
      </w:r>
    </w:p>
    <w:p w14:paraId="7CD1B78F" w14:textId="77777777" w:rsidR="003D1DEF" w:rsidRDefault="00000000">
      <w:pPr>
        <w:jc w:val="center"/>
      </w:pPr>
      <w:r>
        <w:rPr>
          <w:noProof/>
        </w:rPr>
        <w:drawing>
          <wp:inline distT="0" distB="0" distL="0" distR="0" wp14:anchorId="20DAAD2D" wp14:editId="00324D3A">
            <wp:extent cx="5989320" cy="2283318"/>
            <wp:effectExtent l="0" t="0" r="0" b="0"/>
            <wp:docPr id="15" name="Picture 15" descr="Bar and line chart showing net intake pressure and rolling net intake average with balanced flow baselin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jpg"/>
                    <pic:cNvPicPr/>
                  </pic:nvPicPr>
                  <pic:blipFill>
                    <a:blip r:embed="rId22"/>
                    <a:stretch>
                      <a:fillRect/>
                    </a:stretch>
                  </pic:blipFill>
                  <pic:spPr>
                    <a:xfrm>
                      <a:off x="0" y="0"/>
                      <a:ext cx="5989320" cy="2283318"/>
                    </a:xfrm>
                    <a:prstGeom prst="rect">
                      <a:avLst/>
                    </a:prstGeom>
                  </pic:spPr>
                </pic:pic>
              </a:graphicData>
            </a:graphic>
          </wp:inline>
        </w:drawing>
      </w:r>
    </w:p>
    <w:p w14:paraId="147BD6B9" w14:textId="77777777" w:rsidR="003D1DEF" w:rsidRDefault="00000000">
      <w:pPr>
        <w:jc w:val="center"/>
      </w:pPr>
      <w:r>
        <w:rPr>
          <w:i/>
          <w:color w:val="475569"/>
          <w:sz w:val="18"/>
        </w:rPr>
        <w:t>Figure 15. Net Intake Pressure and Relief Signal showing transfers minus discharges and rolling net intake average.</w:t>
      </w:r>
    </w:p>
    <w:p w14:paraId="6DE92EBA" w14:textId="77777777" w:rsidR="003D1DEF" w:rsidRDefault="00000000">
      <w:pPr>
        <w:jc w:val="both"/>
      </w:pPr>
      <w:r>
        <w:t>The net intake chart makes the pressure-relief logic explicit. Negative bars indicate relief periods in which discharges exceed transfers; positive bars indicate pressure periods in which transfers exceed discharges.</w:t>
      </w:r>
    </w:p>
    <w:p w14:paraId="25B28644" w14:textId="77777777" w:rsidR="003D1DEF" w:rsidRDefault="00000000">
      <w:pPr>
        <w:jc w:val="center"/>
      </w:pPr>
      <w:r>
        <w:rPr>
          <w:noProof/>
        </w:rPr>
        <w:lastRenderedPageBreak/>
        <w:drawing>
          <wp:inline distT="0" distB="0" distL="0" distR="0" wp14:anchorId="24C94E30" wp14:editId="59C9500B">
            <wp:extent cx="4937760" cy="2973799"/>
            <wp:effectExtent l="0" t="0" r="0" b="0"/>
            <wp:docPr id="16" name="Picture 16" descr="Backlog Severity Accumulation chart showing severity score spikes from zero to three over tim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jpg"/>
                    <pic:cNvPicPr/>
                  </pic:nvPicPr>
                  <pic:blipFill>
                    <a:blip r:embed="rId23"/>
                    <a:stretch>
                      <a:fillRect/>
                    </a:stretch>
                  </pic:blipFill>
                  <pic:spPr>
                    <a:xfrm>
                      <a:off x="0" y="0"/>
                      <a:ext cx="4937760" cy="2973799"/>
                    </a:xfrm>
                    <a:prstGeom prst="rect">
                      <a:avLst/>
                    </a:prstGeom>
                  </pic:spPr>
                </pic:pic>
              </a:graphicData>
            </a:graphic>
          </wp:inline>
        </w:drawing>
      </w:r>
    </w:p>
    <w:p w14:paraId="4CD5995F" w14:textId="77777777" w:rsidR="003D1DEF" w:rsidRDefault="00000000">
      <w:pPr>
        <w:jc w:val="center"/>
      </w:pPr>
      <w:r>
        <w:rPr>
          <w:i/>
          <w:color w:val="475569"/>
          <w:sz w:val="18"/>
        </w:rPr>
        <w:t>Figure 16. Backlog Severity Accumulation showing periods of pressure accumulation across the timeline.</w:t>
      </w:r>
    </w:p>
    <w:p w14:paraId="3969B3F8" w14:textId="77777777" w:rsidR="003D1DEF" w:rsidRDefault="00000000">
      <w:pPr>
        <w:jc w:val="both"/>
      </w:pPr>
      <w:r>
        <w:t>Backlog severity spikes appear during specific windows rather than remaining constantly elevated. This supports targeted monitoring of pressure windows instead of a blanket crisis interpretation.</w:t>
      </w:r>
    </w:p>
    <w:tbl>
      <w:tblPr>
        <w:tblStyle w:val="TableGrid"/>
        <w:tblW w:w="0" w:type="auto"/>
        <w:jc w:val="center"/>
        <w:tblLook w:val="04A0" w:firstRow="1" w:lastRow="0" w:firstColumn="1" w:lastColumn="0" w:noHBand="0" w:noVBand="1"/>
      </w:tblPr>
      <w:tblGrid>
        <w:gridCol w:w="2304"/>
        <w:gridCol w:w="1584"/>
        <w:gridCol w:w="5760"/>
      </w:tblGrid>
      <w:tr w:rsidR="003D1DEF" w14:paraId="060B289D" w14:textId="77777777">
        <w:trPr>
          <w:tblHeader/>
          <w:jc w:val="center"/>
        </w:trPr>
        <w:tc>
          <w:tcPr>
            <w:tcW w:w="2304" w:type="dxa"/>
            <w:shd w:val="clear" w:color="auto" w:fill="0B3D5C"/>
            <w:tcMar>
              <w:top w:w="80" w:type="dxa"/>
              <w:left w:w="80" w:type="dxa"/>
              <w:bottom w:w="80" w:type="dxa"/>
              <w:right w:w="80" w:type="dxa"/>
            </w:tcMar>
            <w:vAlign w:val="center"/>
          </w:tcPr>
          <w:p w14:paraId="2729FE7F" w14:textId="77777777" w:rsidR="003D1DEF" w:rsidRDefault="00000000">
            <w:r>
              <w:rPr>
                <w:b/>
                <w:color w:val="FFFFFF"/>
                <w:sz w:val="16"/>
              </w:rPr>
              <w:t>Flow Metric</w:t>
            </w:r>
          </w:p>
        </w:tc>
        <w:tc>
          <w:tcPr>
            <w:tcW w:w="1584" w:type="dxa"/>
            <w:shd w:val="clear" w:color="auto" w:fill="0B3D5C"/>
            <w:tcMar>
              <w:top w:w="80" w:type="dxa"/>
              <w:left w:w="80" w:type="dxa"/>
              <w:bottom w:w="80" w:type="dxa"/>
              <w:right w:w="80" w:type="dxa"/>
            </w:tcMar>
            <w:vAlign w:val="center"/>
          </w:tcPr>
          <w:p w14:paraId="111519F8" w14:textId="77777777" w:rsidR="003D1DEF" w:rsidRDefault="00000000">
            <w:r>
              <w:rPr>
                <w:b/>
                <w:color w:val="FFFFFF"/>
                <w:sz w:val="16"/>
              </w:rPr>
              <w:t>Value</w:t>
            </w:r>
          </w:p>
        </w:tc>
        <w:tc>
          <w:tcPr>
            <w:tcW w:w="5760" w:type="dxa"/>
            <w:shd w:val="clear" w:color="auto" w:fill="0B3D5C"/>
            <w:tcMar>
              <w:top w:w="80" w:type="dxa"/>
              <w:left w:w="80" w:type="dxa"/>
              <w:bottom w:w="80" w:type="dxa"/>
              <w:right w:w="80" w:type="dxa"/>
            </w:tcMar>
            <w:vAlign w:val="center"/>
          </w:tcPr>
          <w:p w14:paraId="7191EBAC" w14:textId="77777777" w:rsidR="003D1DEF" w:rsidRDefault="00000000">
            <w:r>
              <w:rPr>
                <w:b/>
                <w:color w:val="FFFFFF"/>
                <w:sz w:val="16"/>
              </w:rPr>
              <w:t>Interpretation</w:t>
            </w:r>
          </w:p>
        </w:tc>
      </w:tr>
      <w:tr w:rsidR="003D1DEF" w14:paraId="22B712ED" w14:textId="77777777">
        <w:trPr>
          <w:jc w:val="center"/>
        </w:trPr>
        <w:tc>
          <w:tcPr>
            <w:tcW w:w="2304" w:type="dxa"/>
            <w:shd w:val="clear" w:color="auto" w:fill="F7FAFC"/>
            <w:tcMar>
              <w:top w:w="80" w:type="dxa"/>
              <w:left w:w="80" w:type="dxa"/>
              <w:bottom w:w="80" w:type="dxa"/>
              <w:right w:w="80" w:type="dxa"/>
            </w:tcMar>
            <w:vAlign w:val="center"/>
          </w:tcPr>
          <w:p w14:paraId="7521BDB6" w14:textId="77777777" w:rsidR="003D1DEF" w:rsidRDefault="00000000">
            <w:r>
              <w:rPr>
                <w:sz w:val="16"/>
              </w:rPr>
              <w:t>Transfers into HHS</w:t>
            </w:r>
          </w:p>
        </w:tc>
        <w:tc>
          <w:tcPr>
            <w:tcW w:w="1584" w:type="dxa"/>
            <w:shd w:val="clear" w:color="auto" w:fill="F7FAFC"/>
            <w:tcMar>
              <w:top w:w="80" w:type="dxa"/>
              <w:left w:w="80" w:type="dxa"/>
              <w:bottom w:w="80" w:type="dxa"/>
              <w:right w:w="80" w:type="dxa"/>
            </w:tcMar>
            <w:vAlign w:val="center"/>
          </w:tcPr>
          <w:p w14:paraId="2A77F58A" w14:textId="77777777" w:rsidR="003D1DEF" w:rsidRDefault="00000000">
            <w:r>
              <w:rPr>
                <w:sz w:val="16"/>
              </w:rPr>
              <w:t>92,641</w:t>
            </w:r>
          </w:p>
        </w:tc>
        <w:tc>
          <w:tcPr>
            <w:tcW w:w="5760" w:type="dxa"/>
            <w:shd w:val="clear" w:color="auto" w:fill="F7FAFC"/>
            <w:tcMar>
              <w:top w:w="80" w:type="dxa"/>
              <w:left w:w="80" w:type="dxa"/>
              <w:bottom w:w="80" w:type="dxa"/>
              <w:right w:w="80" w:type="dxa"/>
            </w:tcMar>
            <w:vAlign w:val="center"/>
          </w:tcPr>
          <w:p w14:paraId="571383E0" w14:textId="77777777" w:rsidR="003D1DEF" w:rsidRDefault="00000000">
            <w:r>
              <w:rPr>
                <w:sz w:val="16"/>
              </w:rPr>
              <w:t>Total selected-period inflow into HHS care.</w:t>
            </w:r>
          </w:p>
        </w:tc>
      </w:tr>
      <w:tr w:rsidR="003D1DEF" w14:paraId="6A1CD9F5" w14:textId="77777777">
        <w:trPr>
          <w:jc w:val="center"/>
        </w:trPr>
        <w:tc>
          <w:tcPr>
            <w:tcW w:w="2304" w:type="dxa"/>
            <w:shd w:val="clear" w:color="auto" w:fill="FFFFFF"/>
            <w:tcMar>
              <w:top w:w="80" w:type="dxa"/>
              <w:left w:w="80" w:type="dxa"/>
              <w:bottom w:w="80" w:type="dxa"/>
              <w:right w:w="80" w:type="dxa"/>
            </w:tcMar>
            <w:vAlign w:val="center"/>
          </w:tcPr>
          <w:p w14:paraId="645DCCD0" w14:textId="77777777" w:rsidR="003D1DEF" w:rsidRDefault="00000000">
            <w:r>
              <w:rPr>
                <w:sz w:val="16"/>
              </w:rPr>
              <w:t>Discharges from HHS</w:t>
            </w:r>
          </w:p>
        </w:tc>
        <w:tc>
          <w:tcPr>
            <w:tcW w:w="1584" w:type="dxa"/>
            <w:shd w:val="clear" w:color="auto" w:fill="FFFFFF"/>
            <w:tcMar>
              <w:top w:w="80" w:type="dxa"/>
              <w:left w:w="80" w:type="dxa"/>
              <w:bottom w:w="80" w:type="dxa"/>
              <w:right w:w="80" w:type="dxa"/>
            </w:tcMar>
            <w:vAlign w:val="center"/>
          </w:tcPr>
          <w:p w14:paraId="7D8722AC" w14:textId="77777777" w:rsidR="003D1DEF" w:rsidRDefault="00000000">
            <w:r>
              <w:rPr>
                <w:sz w:val="16"/>
              </w:rPr>
              <w:t>124,853</w:t>
            </w:r>
          </w:p>
        </w:tc>
        <w:tc>
          <w:tcPr>
            <w:tcW w:w="5760" w:type="dxa"/>
            <w:shd w:val="clear" w:color="auto" w:fill="FFFFFF"/>
            <w:tcMar>
              <w:top w:w="80" w:type="dxa"/>
              <w:left w:w="80" w:type="dxa"/>
              <w:bottom w:w="80" w:type="dxa"/>
              <w:right w:w="80" w:type="dxa"/>
            </w:tcMar>
            <w:vAlign w:val="center"/>
          </w:tcPr>
          <w:p w14:paraId="444A1BE4" w14:textId="77777777" w:rsidR="003D1DEF" w:rsidRDefault="00000000">
            <w:r>
              <w:rPr>
                <w:sz w:val="16"/>
              </w:rPr>
              <w:t>Total selected-period relief from active HHS care.</w:t>
            </w:r>
          </w:p>
        </w:tc>
      </w:tr>
      <w:tr w:rsidR="003D1DEF" w14:paraId="5AB0752B" w14:textId="77777777">
        <w:trPr>
          <w:jc w:val="center"/>
        </w:trPr>
        <w:tc>
          <w:tcPr>
            <w:tcW w:w="2304" w:type="dxa"/>
            <w:shd w:val="clear" w:color="auto" w:fill="F7FAFC"/>
            <w:tcMar>
              <w:top w:w="80" w:type="dxa"/>
              <w:left w:w="80" w:type="dxa"/>
              <w:bottom w:w="80" w:type="dxa"/>
              <w:right w:w="80" w:type="dxa"/>
            </w:tcMar>
            <w:vAlign w:val="center"/>
          </w:tcPr>
          <w:p w14:paraId="6FE28DED" w14:textId="77777777" w:rsidR="003D1DEF" w:rsidRDefault="00000000">
            <w:r>
              <w:rPr>
                <w:sz w:val="16"/>
              </w:rPr>
              <w:t>Net Intake Total</w:t>
            </w:r>
          </w:p>
        </w:tc>
        <w:tc>
          <w:tcPr>
            <w:tcW w:w="1584" w:type="dxa"/>
            <w:shd w:val="clear" w:color="auto" w:fill="F7FAFC"/>
            <w:tcMar>
              <w:top w:w="80" w:type="dxa"/>
              <w:left w:w="80" w:type="dxa"/>
              <w:bottom w:w="80" w:type="dxa"/>
              <w:right w:w="80" w:type="dxa"/>
            </w:tcMar>
            <w:vAlign w:val="center"/>
          </w:tcPr>
          <w:p w14:paraId="616BBBF3" w14:textId="77777777" w:rsidR="003D1DEF" w:rsidRDefault="00000000">
            <w:r>
              <w:rPr>
                <w:sz w:val="16"/>
              </w:rPr>
              <w:t>-32,212</w:t>
            </w:r>
          </w:p>
        </w:tc>
        <w:tc>
          <w:tcPr>
            <w:tcW w:w="5760" w:type="dxa"/>
            <w:shd w:val="clear" w:color="auto" w:fill="F7FAFC"/>
            <w:tcMar>
              <w:top w:w="80" w:type="dxa"/>
              <w:left w:w="80" w:type="dxa"/>
              <w:bottom w:w="80" w:type="dxa"/>
              <w:right w:w="80" w:type="dxa"/>
            </w:tcMar>
            <w:vAlign w:val="center"/>
          </w:tcPr>
          <w:p w14:paraId="7D16470B" w14:textId="77777777" w:rsidR="003D1DEF" w:rsidRDefault="00000000">
            <w:r>
              <w:rPr>
                <w:sz w:val="16"/>
              </w:rPr>
              <w:t>Discharges exceed transfers across the selected period.</w:t>
            </w:r>
          </w:p>
        </w:tc>
      </w:tr>
      <w:tr w:rsidR="003D1DEF" w14:paraId="0F18D4E5" w14:textId="77777777">
        <w:trPr>
          <w:jc w:val="center"/>
        </w:trPr>
        <w:tc>
          <w:tcPr>
            <w:tcW w:w="2304" w:type="dxa"/>
            <w:shd w:val="clear" w:color="auto" w:fill="FFFFFF"/>
            <w:tcMar>
              <w:top w:w="80" w:type="dxa"/>
              <w:left w:w="80" w:type="dxa"/>
              <w:bottom w:w="80" w:type="dxa"/>
              <w:right w:w="80" w:type="dxa"/>
            </w:tcMar>
            <w:vAlign w:val="center"/>
          </w:tcPr>
          <w:p w14:paraId="3E8BDC58" w14:textId="77777777" w:rsidR="003D1DEF" w:rsidRDefault="00000000">
            <w:r>
              <w:rPr>
                <w:sz w:val="16"/>
              </w:rPr>
              <w:t>Average Net Intake</w:t>
            </w:r>
          </w:p>
        </w:tc>
        <w:tc>
          <w:tcPr>
            <w:tcW w:w="1584" w:type="dxa"/>
            <w:shd w:val="clear" w:color="auto" w:fill="FFFFFF"/>
            <w:tcMar>
              <w:top w:w="80" w:type="dxa"/>
              <w:left w:w="80" w:type="dxa"/>
              <w:bottom w:w="80" w:type="dxa"/>
              <w:right w:w="80" w:type="dxa"/>
            </w:tcMar>
            <w:vAlign w:val="center"/>
          </w:tcPr>
          <w:p w14:paraId="16910120" w14:textId="77777777" w:rsidR="003D1DEF" w:rsidRDefault="00000000">
            <w:r>
              <w:rPr>
                <w:sz w:val="16"/>
              </w:rPr>
              <w:t>-44.7/day</w:t>
            </w:r>
          </w:p>
        </w:tc>
        <w:tc>
          <w:tcPr>
            <w:tcW w:w="5760" w:type="dxa"/>
            <w:shd w:val="clear" w:color="auto" w:fill="FFFFFF"/>
            <w:tcMar>
              <w:top w:w="80" w:type="dxa"/>
              <w:left w:w="80" w:type="dxa"/>
              <w:bottom w:w="80" w:type="dxa"/>
              <w:right w:w="80" w:type="dxa"/>
            </w:tcMar>
            <w:vAlign w:val="center"/>
          </w:tcPr>
          <w:p w14:paraId="53E4E458" w14:textId="77777777" w:rsidR="003D1DEF" w:rsidRDefault="00000000">
            <w:r>
              <w:rPr>
                <w:sz w:val="16"/>
              </w:rPr>
              <w:t>Relief-oriented average flow balance.</w:t>
            </w:r>
          </w:p>
        </w:tc>
      </w:tr>
      <w:tr w:rsidR="003D1DEF" w14:paraId="697B90C8" w14:textId="77777777">
        <w:trPr>
          <w:jc w:val="center"/>
        </w:trPr>
        <w:tc>
          <w:tcPr>
            <w:tcW w:w="2304" w:type="dxa"/>
            <w:shd w:val="clear" w:color="auto" w:fill="F7FAFC"/>
            <w:tcMar>
              <w:top w:w="80" w:type="dxa"/>
              <w:left w:w="80" w:type="dxa"/>
              <w:bottom w:w="80" w:type="dxa"/>
              <w:right w:w="80" w:type="dxa"/>
            </w:tcMar>
            <w:vAlign w:val="center"/>
          </w:tcPr>
          <w:p w14:paraId="46AC0F43" w14:textId="77777777" w:rsidR="003D1DEF" w:rsidRDefault="00000000">
            <w:r>
              <w:rPr>
                <w:sz w:val="16"/>
              </w:rPr>
              <w:t>Discharge Offset</w:t>
            </w:r>
          </w:p>
        </w:tc>
        <w:tc>
          <w:tcPr>
            <w:tcW w:w="1584" w:type="dxa"/>
            <w:shd w:val="clear" w:color="auto" w:fill="F7FAFC"/>
            <w:tcMar>
              <w:top w:w="80" w:type="dxa"/>
              <w:left w:w="80" w:type="dxa"/>
              <w:bottom w:w="80" w:type="dxa"/>
              <w:right w:w="80" w:type="dxa"/>
            </w:tcMar>
            <w:vAlign w:val="center"/>
          </w:tcPr>
          <w:p w14:paraId="51D24E69" w14:textId="77777777" w:rsidR="003D1DEF" w:rsidRDefault="00000000">
            <w:r>
              <w:rPr>
                <w:sz w:val="16"/>
              </w:rPr>
              <w:t>1.35x</w:t>
            </w:r>
          </w:p>
        </w:tc>
        <w:tc>
          <w:tcPr>
            <w:tcW w:w="5760" w:type="dxa"/>
            <w:shd w:val="clear" w:color="auto" w:fill="F7FAFC"/>
            <w:tcMar>
              <w:top w:w="80" w:type="dxa"/>
              <w:left w:w="80" w:type="dxa"/>
              <w:bottom w:w="80" w:type="dxa"/>
              <w:right w:w="80" w:type="dxa"/>
            </w:tcMar>
            <w:vAlign w:val="center"/>
          </w:tcPr>
          <w:p w14:paraId="0C170084" w14:textId="77777777" w:rsidR="003D1DEF" w:rsidRDefault="00000000">
            <w:r>
              <w:rPr>
                <w:sz w:val="16"/>
              </w:rPr>
              <w:t>Discharges are 1.35 times transfers.</w:t>
            </w:r>
          </w:p>
        </w:tc>
      </w:tr>
      <w:tr w:rsidR="003D1DEF" w14:paraId="429D19AB" w14:textId="77777777">
        <w:trPr>
          <w:jc w:val="center"/>
        </w:trPr>
        <w:tc>
          <w:tcPr>
            <w:tcW w:w="2304" w:type="dxa"/>
            <w:shd w:val="clear" w:color="auto" w:fill="FFFFFF"/>
            <w:tcMar>
              <w:top w:w="80" w:type="dxa"/>
              <w:left w:w="80" w:type="dxa"/>
              <w:bottom w:w="80" w:type="dxa"/>
              <w:right w:w="80" w:type="dxa"/>
            </w:tcMar>
            <w:vAlign w:val="center"/>
          </w:tcPr>
          <w:p w14:paraId="446E37C6" w14:textId="77777777" w:rsidR="003D1DEF" w:rsidRDefault="00000000">
            <w:r>
              <w:rPr>
                <w:sz w:val="16"/>
              </w:rPr>
              <w:t>Pressure Period Share</w:t>
            </w:r>
          </w:p>
        </w:tc>
        <w:tc>
          <w:tcPr>
            <w:tcW w:w="1584" w:type="dxa"/>
            <w:shd w:val="clear" w:color="auto" w:fill="FFFFFF"/>
            <w:tcMar>
              <w:top w:w="80" w:type="dxa"/>
              <w:left w:w="80" w:type="dxa"/>
              <w:bottom w:w="80" w:type="dxa"/>
              <w:right w:w="80" w:type="dxa"/>
            </w:tcMar>
            <w:vAlign w:val="center"/>
          </w:tcPr>
          <w:p w14:paraId="535E8F14" w14:textId="77777777" w:rsidR="003D1DEF" w:rsidRDefault="00000000">
            <w:r>
              <w:rPr>
                <w:sz w:val="16"/>
              </w:rPr>
              <w:t>33.1%</w:t>
            </w:r>
          </w:p>
        </w:tc>
        <w:tc>
          <w:tcPr>
            <w:tcW w:w="5760" w:type="dxa"/>
            <w:shd w:val="clear" w:color="auto" w:fill="FFFFFF"/>
            <w:tcMar>
              <w:top w:w="80" w:type="dxa"/>
              <w:left w:w="80" w:type="dxa"/>
              <w:bottom w:w="80" w:type="dxa"/>
              <w:right w:w="80" w:type="dxa"/>
            </w:tcMar>
            <w:vAlign w:val="center"/>
          </w:tcPr>
          <w:p w14:paraId="6DA3DE89" w14:textId="77777777" w:rsidR="003D1DEF" w:rsidRDefault="00000000">
            <w:r>
              <w:rPr>
                <w:sz w:val="16"/>
              </w:rPr>
              <w:t>Pressure windows exist but are not dominant.</w:t>
            </w:r>
          </w:p>
        </w:tc>
      </w:tr>
      <w:tr w:rsidR="003D1DEF" w14:paraId="4F8208FC" w14:textId="77777777">
        <w:trPr>
          <w:jc w:val="center"/>
        </w:trPr>
        <w:tc>
          <w:tcPr>
            <w:tcW w:w="2304" w:type="dxa"/>
            <w:shd w:val="clear" w:color="auto" w:fill="F7FAFC"/>
            <w:tcMar>
              <w:top w:w="80" w:type="dxa"/>
              <w:left w:w="80" w:type="dxa"/>
              <w:bottom w:w="80" w:type="dxa"/>
              <w:right w:w="80" w:type="dxa"/>
            </w:tcMar>
            <w:vAlign w:val="center"/>
          </w:tcPr>
          <w:p w14:paraId="1FEE7E2E" w14:textId="77777777" w:rsidR="003D1DEF" w:rsidRDefault="00000000">
            <w:r>
              <w:rPr>
                <w:sz w:val="16"/>
              </w:rPr>
              <w:t>Longest Pressure Streak</w:t>
            </w:r>
          </w:p>
        </w:tc>
        <w:tc>
          <w:tcPr>
            <w:tcW w:w="1584" w:type="dxa"/>
            <w:shd w:val="clear" w:color="auto" w:fill="F7FAFC"/>
            <w:tcMar>
              <w:top w:w="80" w:type="dxa"/>
              <w:left w:w="80" w:type="dxa"/>
              <w:bottom w:w="80" w:type="dxa"/>
              <w:right w:w="80" w:type="dxa"/>
            </w:tcMar>
            <w:vAlign w:val="center"/>
          </w:tcPr>
          <w:p w14:paraId="1B6B6203" w14:textId="77777777" w:rsidR="003D1DEF" w:rsidRDefault="00000000">
            <w:r>
              <w:rPr>
                <w:sz w:val="16"/>
              </w:rPr>
              <w:t>12</w:t>
            </w:r>
          </w:p>
        </w:tc>
        <w:tc>
          <w:tcPr>
            <w:tcW w:w="5760" w:type="dxa"/>
            <w:shd w:val="clear" w:color="auto" w:fill="F7FAFC"/>
            <w:tcMar>
              <w:top w:w="80" w:type="dxa"/>
              <w:left w:w="80" w:type="dxa"/>
              <w:bottom w:w="80" w:type="dxa"/>
              <w:right w:w="80" w:type="dxa"/>
            </w:tcMar>
            <w:vAlign w:val="center"/>
          </w:tcPr>
          <w:p w14:paraId="019BC285" w14:textId="77777777" w:rsidR="003D1DEF" w:rsidRDefault="00000000">
            <w:r>
              <w:rPr>
                <w:sz w:val="16"/>
              </w:rPr>
              <w:t>Sustained pressure sequences still need monitoring.</w:t>
            </w:r>
          </w:p>
        </w:tc>
      </w:tr>
    </w:tbl>
    <w:p w14:paraId="4A9F8CE1" w14:textId="77777777" w:rsidR="003D1DEF" w:rsidRDefault="003D1DEF"/>
    <w:p w14:paraId="65EC772B" w14:textId="77777777" w:rsidR="003D1DEF" w:rsidRDefault="00000000">
      <w:pPr>
        <w:pStyle w:val="Heading2"/>
        <w:spacing w:before="160" w:after="80"/>
      </w:pPr>
      <w:r>
        <w:rPr>
          <w:rFonts w:ascii="Calibri" w:hAnsi="Calibri"/>
          <w:color w:val="0F766E"/>
        </w:rPr>
        <w:lastRenderedPageBreak/>
        <w:t>11.5 KPI Executive Summary and Health Ranking</w:t>
      </w:r>
    </w:p>
    <w:p w14:paraId="3BA487E2" w14:textId="77777777" w:rsidR="003D1DEF" w:rsidRDefault="00000000">
      <w:pPr>
        <w:jc w:val="center"/>
      </w:pPr>
      <w:r>
        <w:rPr>
          <w:noProof/>
        </w:rPr>
        <w:drawing>
          <wp:inline distT="0" distB="0" distL="0" distR="0" wp14:anchorId="1B109E99" wp14:editId="67A11CEF">
            <wp:extent cx="5989320" cy="3327400"/>
            <wp:effectExtent l="0" t="0" r="0" b="0"/>
            <wp:docPr id="17" name="Picture 17" descr="KPI Executive Summary and Health Ranking module with overall health score, strongest KPI, weakest KPI, watch KPIs, dominant pressure level, and primary driver."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jpg"/>
                    <pic:cNvPicPr/>
                  </pic:nvPicPr>
                  <pic:blipFill>
                    <a:blip r:embed="rId24"/>
                    <a:stretch>
                      <a:fillRect/>
                    </a:stretch>
                  </pic:blipFill>
                  <pic:spPr>
                    <a:xfrm>
                      <a:off x="0" y="0"/>
                      <a:ext cx="5989320" cy="3327400"/>
                    </a:xfrm>
                    <a:prstGeom prst="rect">
                      <a:avLst/>
                    </a:prstGeom>
                  </pic:spPr>
                </pic:pic>
              </a:graphicData>
            </a:graphic>
          </wp:inline>
        </w:drawing>
      </w:r>
    </w:p>
    <w:p w14:paraId="31FDCC15" w14:textId="77777777" w:rsidR="003D1DEF" w:rsidRDefault="00000000">
      <w:pPr>
        <w:jc w:val="center"/>
      </w:pPr>
      <w:r>
        <w:rPr>
          <w:i/>
          <w:color w:val="475569"/>
          <w:sz w:val="18"/>
        </w:rPr>
        <w:t>Figure 17. KPI Executive Summary and Health Ranking dashboard showing healthy operating view and executive KPI cards.</w:t>
      </w:r>
    </w:p>
    <w:p w14:paraId="708B1971" w14:textId="77777777" w:rsidR="003D1DEF" w:rsidRDefault="00000000">
      <w:pPr>
        <w:jc w:val="both"/>
      </w:pPr>
      <w:r>
        <w:t>The KPI executive summary reports Overall KPI Health of 88.8/100, Net Intake Pressure as the strongest KPI, Total Children Under Care as the weakest KPI, zero watch KPIs, Early Pressure Watch as the dominant pressure level, and Daily Strain Pressure as the primary driver.</w:t>
      </w:r>
    </w:p>
    <w:p w14:paraId="235BFFC2" w14:textId="77777777" w:rsidR="003D1DEF" w:rsidRDefault="00000000">
      <w:pPr>
        <w:jc w:val="both"/>
      </w:pPr>
      <w:r>
        <w:t>The executive KPI summary confirms that the selected daily view is healthy, but it also identifies where attention should continue. Total Children Under Care is the weakest KPI because active system load remains the core responsibility measure. Net Intake Pressure is the strongest KPI because relief flow is favorable in the selected view.</w:t>
      </w:r>
    </w:p>
    <w:p w14:paraId="1B6F8B1F" w14:textId="77777777" w:rsidR="003D1DEF" w:rsidRDefault="00000000">
      <w:pPr>
        <w:pStyle w:val="Heading2"/>
        <w:spacing w:before="160" w:after="80"/>
      </w:pPr>
      <w:r>
        <w:rPr>
          <w:rFonts w:ascii="Calibri" w:hAnsi="Calibri"/>
          <w:color w:val="0F766E"/>
        </w:rPr>
        <w:lastRenderedPageBreak/>
        <w:t>11.6 Pressure Stress Distribution and Driver Evidence</w:t>
      </w:r>
    </w:p>
    <w:p w14:paraId="2138EF58" w14:textId="77777777" w:rsidR="003D1DEF" w:rsidRDefault="00000000">
      <w:pPr>
        <w:jc w:val="center"/>
      </w:pPr>
      <w:r>
        <w:rPr>
          <w:noProof/>
        </w:rPr>
        <w:drawing>
          <wp:inline distT="0" distB="0" distL="0" distR="0" wp14:anchorId="2ADFF65C" wp14:editId="6CFAF2B9">
            <wp:extent cx="4389120" cy="3802951"/>
            <wp:effectExtent l="0" t="0" r="0" b="0"/>
            <wp:docPr id="18" name="Picture 18" descr="Donut chart showing pressure stress distribution across five stress categori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9.jpg"/>
                    <pic:cNvPicPr/>
                  </pic:nvPicPr>
                  <pic:blipFill>
                    <a:blip r:embed="rId25"/>
                    <a:stretch>
                      <a:fillRect/>
                    </a:stretch>
                  </pic:blipFill>
                  <pic:spPr>
                    <a:xfrm>
                      <a:off x="0" y="0"/>
                      <a:ext cx="4389120" cy="3802951"/>
                    </a:xfrm>
                    <a:prstGeom prst="rect">
                      <a:avLst/>
                    </a:prstGeom>
                  </pic:spPr>
                </pic:pic>
              </a:graphicData>
            </a:graphic>
          </wp:inline>
        </w:drawing>
      </w:r>
    </w:p>
    <w:p w14:paraId="2042B699" w14:textId="77777777" w:rsidR="003D1DEF" w:rsidRDefault="00000000">
      <w:pPr>
        <w:jc w:val="center"/>
      </w:pPr>
      <w:r>
        <w:rPr>
          <w:i/>
          <w:color w:val="475569"/>
          <w:sz w:val="18"/>
        </w:rPr>
        <w:t>Figure 18. Pressure Stress Distribution showing shares of early pressure watch, moderate stress, high stress, normal pressure, and critical pressure.</w:t>
      </w:r>
    </w:p>
    <w:p w14:paraId="3A63C4D4" w14:textId="77777777" w:rsidR="003D1DEF" w:rsidRDefault="00000000">
      <w:pPr>
        <w:jc w:val="both"/>
      </w:pPr>
      <w:r>
        <w:t>The distribution shows Early Pressure Watch at 27.2%, Moderate System Stress at 25.0%, High System Stress at 19.2%, Normal Operating Pressure at 17.8%, and Critical System Pressure at 10.8%. This demonstrates that historical stress categories exist even when the latest selected view is healthy.</w:t>
      </w:r>
    </w:p>
    <w:p w14:paraId="2082CA2A" w14:textId="77777777" w:rsidR="003D1DEF" w:rsidRDefault="00000000">
      <w:pPr>
        <w:jc w:val="center"/>
      </w:pPr>
      <w:r>
        <w:rPr>
          <w:noProof/>
        </w:rPr>
        <w:drawing>
          <wp:inline distT="0" distB="0" distL="0" distR="0" wp14:anchorId="723E9219" wp14:editId="6577C2B0">
            <wp:extent cx="5029200" cy="3393109"/>
            <wp:effectExtent l="0" t="0" r="0" b="0"/>
            <wp:docPr id="19" name="Picture 19" descr="Horizontal bar chart ranking primary pressure drivers by number of period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jpg"/>
                    <pic:cNvPicPr/>
                  </pic:nvPicPr>
                  <pic:blipFill>
                    <a:blip r:embed="rId26"/>
                    <a:stretch>
                      <a:fillRect/>
                    </a:stretch>
                  </pic:blipFill>
                  <pic:spPr>
                    <a:xfrm>
                      <a:off x="0" y="0"/>
                      <a:ext cx="5029200" cy="3393109"/>
                    </a:xfrm>
                    <a:prstGeom prst="rect">
                      <a:avLst/>
                    </a:prstGeom>
                  </pic:spPr>
                </pic:pic>
              </a:graphicData>
            </a:graphic>
          </wp:inline>
        </w:drawing>
      </w:r>
    </w:p>
    <w:p w14:paraId="54927C3B" w14:textId="77777777" w:rsidR="003D1DEF" w:rsidRDefault="00000000">
      <w:pPr>
        <w:jc w:val="center"/>
      </w:pPr>
      <w:r>
        <w:rPr>
          <w:i/>
          <w:color w:val="475569"/>
          <w:sz w:val="18"/>
        </w:rPr>
        <w:t>Figure 19. Primary Pressure Driver Evidence ranking daily strain, prolonged window, volatility, backlog, and sudden spike drivers.</w:t>
      </w:r>
    </w:p>
    <w:p w14:paraId="12B4CE82" w14:textId="77777777" w:rsidR="003D1DEF" w:rsidRDefault="00000000">
      <w:pPr>
        <w:jc w:val="both"/>
      </w:pPr>
      <w:r>
        <w:lastRenderedPageBreak/>
        <w:t>Daily Strain Pressure and Prolonged Window Pressure are the most frequent pressure drivers. Sudden Spike Pressure is the least frequent driver, which suggests that sustained operational strain is more important than one-off spike response.</w:t>
      </w:r>
    </w:p>
    <w:tbl>
      <w:tblPr>
        <w:tblStyle w:val="TableGrid"/>
        <w:tblW w:w="0" w:type="auto"/>
        <w:jc w:val="center"/>
        <w:tblLook w:val="04A0" w:firstRow="1" w:lastRow="0" w:firstColumn="1" w:lastColumn="0" w:noHBand="0" w:noVBand="1"/>
      </w:tblPr>
      <w:tblGrid>
        <w:gridCol w:w="2736"/>
        <w:gridCol w:w="1872"/>
        <w:gridCol w:w="5040"/>
      </w:tblGrid>
      <w:tr w:rsidR="003D1DEF" w14:paraId="6E4B7DB6" w14:textId="77777777">
        <w:trPr>
          <w:tblHeader/>
          <w:jc w:val="center"/>
        </w:trPr>
        <w:tc>
          <w:tcPr>
            <w:tcW w:w="2736" w:type="dxa"/>
            <w:shd w:val="clear" w:color="auto" w:fill="0B3D5C"/>
            <w:tcMar>
              <w:top w:w="80" w:type="dxa"/>
              <w:left w:w="80" w:type="dxa"/>
              <w:bottom w:w="80" w:type="dxa"/>
              <w:right w:w="80" w:type="dxa"/>
            </w:tcMar>
            <w:vAlign w:val="center"/>
          </w:tcPr>
          <w:p w14:paraId="3D631A5B" w14:textId="77777777" w:rsidR="003D1DEF" w:rsidRDefault="00000000">
            <w:r>
              <w:rPr>
                <w:b/>
                <w:color w:val="FFFFFF"/>
                <w:sz w:val="16"/>
              </w:rPr>
              <w:t>Pressure Evidence</w:t>
            </w:r>
          </w:p>
        </w:tc>
        <w:tc>
          <w:tcPr>
            <w:tcW w:w="1872" w:type="dxa"/>
            <w:shd w:val="clear" w:color="auto" w:fill="0B3D5C"/>
            <w:tcMar>
              <w:top w:w="80" w:type="dxa"/>
              <w:left w:w="80" w:type="dxa"/>
              <w:bottom w:w="80" w:type="dxa"/>
              <w:right w:w="80" w:type="dxa"/>
            </w:tcMar>
            <w:vAlign w:val="center"/>
          </w:tcPr>
          <w:p w14:paraId="1DF6F9B1" w14:textId="77777777" w:rsidR="003D1DEF" w:rsidRDefault="00000000">
            <w:r>
              <w:rPr>
                <w:b/>
                <w:color w:val="FFFFFF"/>
                <w:sz w:val="16"/>
              </w:rPr>
              <w:t>Value / Rank</w:t>
            </w:r>
          </w:p>
        </w:tc>
        <w:tc>
          <w:tcPr>
            <w:tcW w:w="5040" w:type="dxa"/>
            <w:shd w:val="clear" w:color="auto" w:fill="0B3D5C"/>
            <w:tcMar>
              <w:top w:w="80" w:type="dxa"/>
              <w:left w:w="80" w:type="dxa"/>
              <w:bottom w:w="80" w:type="dxa"/>
              <w:right w:w="80" w:type="dxa"/>
            </w:tcMar>
            <w:vAlign w:val="center"/>
          </w:tcPr>
          <w:p w14:paraId="26D5AC9B" w14:textId="77777777" w:rsidR="003D1DEF" w:rsidRDefault="00000000">
            <w:r>
              <w:rPr>
                <w:b/>
                <w:color w:val="FFFFFF"/>
                <w:sz w:val="16"/>
              </w:rPr>
              <w:t>Implication</w:t>
            </w:r>
          </w:p>
        </w:tc>
      </w:tr>
      <w:tr w:rsidR="003D1DEF" w14:paraId="5C3552F2" w14:textId="77777777">
        <w:trPr>
          <w:jc w:val="center"/>
        </w:trPr>
        <w:tc>
          <w:tcPr>
            <w:tcW w:w="2736" w:type="dxa"/>
            <w:shd w:val="clear" w:color="auto" w:fill="F7FAFC"/>
            <w:tcMar>
              <w:top w:w="80" w:type="dxa"/>
              <w:left w:w="80" w:type="dxa"/>
              <w:bottom w:w="80" w:type="dxa"/>
              <w:right w:w="80" w:type="dxa"/>
            </w:tcMar>
            <w:vAlign w:val="center"/>
          </w:tcPr>
          <w:p w14:paraId="6122B34A" w14:textId="77777777" w:rsidR="003D1DEF" w:rsidRDefault="00000000">
            <w:r>
              <w:rPr>
                <w:sz w:val="16"/>
              </w:rPr>
              <w:t>Early Pressure Watch</w:t>
            </w:r>
          </w:p>
        </w:tc>
        <w:tc>
          <w:tcPr>
            <w:tcW w:w="1872" w:type="dxa"/>
            <w:shd w:val="clear" w:color="auto" w:fill="F7FAFC"/>
            <w:tcMar>
              <w:top w:w="80" w:type="dxa"/>
              <w:left w:w="80" w:type="dxa"/>
              <w:bottom w:w="80" w:type="dxa"/>
              <w:right w:w="80" w:type="dxa"/>
            </w:tcMar>
            <w:vAlign w:val="center"/>
          </w:tcPr>
          <w:p w14:paraId="0B45079C" w14:textId="77777777" w:rsidR="003D1DEF" w:rsidRDefault="00000000">
            <w:r>
              <w:rPr>
                <w:sz w:val="16"/>
              </w:rPr>
              <w:t>27.2%</w:t>
            </w:r>
          </w:p>
        </w:tc>
        <w:tc>
          <w:tcPr>
            <w:tcW w:w="5040" w:type="dxa"/>
            <w:shd w:val="clear" w:color="auto" w:fill="F7FAFC"/>
            <w:tcMar>
              <w:top w:w="80" w:type="dxa"/>
              <w:left w:w="80" w:type="dxa"/>
              <w:bottom w:w="80" w:type="dxa"/>
              <w:right w:w="80" w:type="dxa"/>
            </w:tcMar>
            <w:vAlign w:val="center"/>
          </w:tcPr>
          <w:p w14:paraId="7241AA76" w14:textId="77777777" w:rsidR="003D1DEF" w:rsidRDefault="00000000">
            <w:r>
              <w:rPr>
                <w:sz w:val="16"/>
              </w:rPr>
              <w:t>Early monitoring signals are common and should not be ignored.</w:t>
            </w:r>
          </w:p>
        </w:tc>
      </w:tr>
      <w:tr w:rsidR="003D1DEF" w14:paraId="5E6DFA42" w14:textId="77777777">
        <w:trPr>
          <w:jc w:val="center"/>
        </w:trPr>
        <w:tc>
          <w:tcPr>
            <w:tcW w:w="2736" w:type="dxa"/>
            <w:shd w:val="clear" w:color="auto" w:fill="FFFFFF"/>
            <w:tcMar>
              <w:top w:w="80" w:type="dxa"/>
              <w:left w:w="80" w:type="dxa"/>
              <w:bottom w:w="80" w:type="dxa"/>
              <w:right w:w="80" w:type="dxa"/>
            </w:tcMar>
            <w:vAlign w:val="center"/>
          </w:tcPr>
          <w:p w14:paraId="04BC0547" w14:textId="77777777" w:rsidR="003D1DEF" w:rsidRDefault="00000000">
            <w:r>
              <w:rPr>
                <w:sz w:val="16"/>
              </w:rPr>
              <w:t>Moderate System Stress</w:t>
            </w:r>
          </w:p>
        </w:tc>
        <w:tc>
          <w:tcPr>
            <w:tcW w:w="1872" w:type="dxa"/>
            <w:shd w:val="clear" w:color="auto" w:fill="FFFFFF"/>
            <w:tcMar>
              <w:top w:w="80" w:type="dxa"/>
              <w:left w:w="80" w:type="dxa"/>
              <w:bottom w:w="80" w:type="dxa"/>
              <w:right w:w="80" w:type="dxa"/>
            </w:tcMar>
            <w:vAlign w:val="center"/>
          </w:tcPr>
          <w:p w14:paraId="3C2335D5" w14:textId="77777777" w:rsidR="003D1DEF" w:rsidRDefault="00000000">
            <w:r>
              <w:rPr>
                <w:sz w:val="16"/>
              </w:rPr>
              <w:t>25.0%</w:t>
            </w:r>
          </w:p>
        </w:tc>
        <w:tc>
          <w:tcPr>
            <w:tcW w:w="5040" w:type="dxa"/>
            <w:shd w:val="clear" w:color="auto" w:fill="FFFFFF"/>
            <w:tcMar>
              <w:top w:w="80" w:type="dxa"/>
              <w:left w:w="80" w:type="dxa"/>
              <w:bottom w:w="80" w:type="dxa"/>
              <w:right w:w="80" w:type="dxa"/>
            </w:tcMar>
            <w:vAlign w:val="center"/>
          </w:tcPr>
          <w:p w14:paraId="2DD4F955" w14:textId="77777777" w:rsidR="003D1DEF" w:rsidRDefault="00000000">
            <w:r>
              <w:rPr>
                <w:sz w:val="16"/>
              </w:rPr>
              <w:t>A significant share of periods require operational awareness.</w:t>
            </w:r>
          </w:p>
        </w:tc>
      </w:tr>
      <w:tr w:rsidR="003D1DEF" w14:paraId="097EE2F2" w14:textId="77777777">
        <w:trPr>
          <w:jc w:val="center"/>
        </w:trPr>
        <w:tc>
          <w:tcPr>
            <w:tcW w:w="2736" w:type="dxa"/>
            <w:shd w:val="clear" w:color="auto" w:fill="F7FAFC"/>
            <w:tcMar>
              <w:top w:w="80" w:type="dxa"/>
              <w:left w:w="80" w:type="dxa"/>
              <w:bottom w:w="80" w:type="dxa"/>
              <w:right w:w="80" w:type="dxa"/>
            </w:tcMar>
            <w:vAlign w:val="center"/>
          </w:tcPr>
          <w:p w14:paraId="3C26A1A6" w14:textId="77777777" w:rsidR="003D1DEF" w:rsidRDefault="00000000">
            <w:r>
              <w:rPr>
                <w:sz w:val="16"/>
              </w:rPr>
              <w:t>High System Stress</w:t>
            </w:r>
          </w:p>
        </w:tc>
        <w:tc>
          <w:tcPr>
            <w:tcW w:w="1872" w:type="dxa"/>
            <w:shd w:val="clear" w:color="auto" w:fill="F7FAFC"/>
            <w:tcMar>
              <w:top w:w="80" w:type="dxa"/>
              <w:left w:w="80" w:type="dxa"/>
              <w:bottom w:w="80" w:type="dxa"/>
              <w:right w:w="80" w:type="dxa"/>
            </w:tcMar>
            <w:vAlign w:val="center"/>
          </w:tcPr>
          <w:p w14:paraId="311437D2" w14:textId="77777777" w:rsidR="003D1DEF" w:rsidRDefault="00000000">
            <w:r>
              <w:rPr>
                <w:sz w:val="16"/>
              </w:rPr>
              <w:t>19.2%</w:t>
            </w:r>
          </w:p>
        </w:tc>
        <w:tc>
          <w:tcPr>
            <w:tcW w:w="5040" w:type="dxa"/>
            <w:shd w:val="clear" w:color="auto" w:fill="F7FAFC"/>
            <w:tcMar>
              <w:top w:w="80" w:type="dxa"/>
              <w:left w:w="80" w:type="dxa"/>
              <w:bottom w:w="80" w:type="dxa"/>
              <w:right w:w="80" w:type="dxa"/>
            </w:tcMar>
            <w:vAlign w:val="center"/>
          </w:tcPr>
          <w:p w14:paraId="6FAE36F2" w14:textId="77777777" w:rsidR="003D1DEF" w:rsidRDefault="00000000">
            <w:r>
              <w:rPr>
                <w:sz w:val="16"/>
              </w:rPr>
              <w:t>High-pressure periods occurred and justify resilience planning.</w:t>
            </w:r>
          </w:p>
        </w:tc>
      </w:tr>
      <w:tr w:rsidR="003D1DEF" w14:paraId="6026DCBA" w14:textId="77777777">
        <w:trPr>
          <w:jc w:val="center"/>
        </w:trPr>
        <w:tc>
          <w:tcPr>
            <w:tcW w:w="2736" w:type="dxa"/>
            <w:shd w:val="clear" w:color="auto" w:fill="FFFFFF"/>
            <w:tcMar>
              <w:top w:w="80" w:type="dxa"/>
              <w:left w:w="80" w:type="dxa"/>
              <w:bottom w:w="80" w:type="dxa"/>
              <w:right w:w="80" w:type="dxa"/>
            </w:tcMar>
            <w:vAlign w:val="center"/>
          </w:tcPr>
          <w:p w14:paraId="63D5094C" w14:textId="77777777" w:rsidR="003D1DEF" w:rsidRDefault="00000000">
            <w:r>
              <w:rPr>
                <w:sz w:val="16"/>
              </w:rPr>
              <w:t>Critical System Pressure</w:t>
            </w:r>
          </w:p>
        </w:tc>
        <w:tc>
          <w:tcPr>
            <w:tcW w:w="1872" w:type="dxa"/>
            <w:shd w:val="clear" w:color="auto" w:fill="FFFFFF"/>
            <w:tcMar>
              <w:top w:w="80" w:type="dxa"/>
              <w:left w:w="80" w:type="dxa"/>
              <w:bottom w:w="80" w:type="dxa"/>
              <w:right w:w="80" w:type="dxa"/>
            </w:tcMar>
            <w:vAlign w:val="center"/>
          </w:tcPr>
          <w:p w14:paraId="7ED288F7" w14:textId="77777777" w:rsidR="003D1DEF" w:rsidRDefault="00000000">
            <w:r>
              <w:rPr>
                <w:sz w:val="16"/>
              </w:rPr>
              <w:t>10.8%</w:t>
            </w:r>
          </w:p>
        </w:tc>
        <w:tc>
          <w:tcPr>
            <w:tcW w:w="5040" w:type="dxa"/>
            <w:shd w:val="clear" w:color="auto" w:fill="FFFFFF"/>
            <w:tcMar>
              <w:top w:w="80" w:type="dxa"/>
              <w:left w:w="80" w:type="dxa"/>
              <w:bottom w:w="80" w:type="dxa"/>
              <w:right w:w="80" w:type="dxa"/>
            </w:tcMar>
            <w:vAlign w:val="center"/>
          </w:tcPr>
          <w:p w14:paraId="6DDD5C32" w14:textId="77777777" w:rsidR="003D1DEF" w:rsidRDefault="00000000">
            <w:r>
              <w:rPr>
                <w:sz w:val="16"/>
              </w:rPr>
              <w:t>Critical periods are less frequent but operationally meaningful.</w:t>
            </w:r>
          </w:p>
        </w:tc>
      </w:tr>
      <w:tr w:rsidR="003D1DEF" w14:paraId="6018AA7C" w14:textId="77777777">
        <w:trPr>
          <w:jc w:val="center"/>
        </w:trPr>
        <w:tc>
          <w:tcPr>
            <w:tcW w:w="2736" w:type="dxa"/>
            <w:shd w:val="clear" w:color="auto" w:fill="F7FAFC"/>
            <w:tcMar>
              <w:top w:w="80" w:type="dxa"/>
              <w:left w:w="80" w:type="dxa"/>
              <w:bottom w:w="80" w:type="dxa"/>
              <w:right w:w="80" w:type="dxa"/>
            </w:tcMar>
            <w:vAlign w:val="center"/>
          </w:tcPr>
          <w:p w14:paraId="4DEEC16F" w14:textId="77777777" w:rsidR="003D1DEF" w:rsidRDefault="00000000">
            <w:r>
              <w:rPr>
                <w:sz w:val="16"/>
              </w:rPr>
              <w:t>Daily Strain Pressure</w:t>
            </w:r>
          </w:p>
        </w:tc>
        <w:tc>
          <w:tcPr>
            <w:tcW w:w="1872" w:type="dxa"/>
            <w:shd w:val="clear" w:color="auto" w:fill="F7FAFC"/>
            <w:tcMar>
              <w:top w:w="80" w:type="dxa"/>
              <w:left w:w="80" w:type="dxa"/>
              <w:bottom w:w="80" w:type="dxa"/>
              <w:right w:w="80" w:type="dxa"/>
            </w:tcMar>
            <w:vAlign w:val="center"/>
          </w:tcPr>
          <w:p w14:paraId="5B7F8E72" w14:textId="77777777" w:rsidR="003D1DEF" w:rsidRDefault="00000000">
            <w:r>
              <w:rPr>
                <w:sz w:val="16"/>
              </w:rPr>
              <w:t>Rank 1</w:t>
            </w:r>
          </w:p>
        </w:tc>
        <w:tc>
          <w:tcPr>
            <w:tcW w:w="5040" w:type="dxa"/>
            <w:shd w:val="clear" w:color="auto" w:fill="F7FAFC"/>
            <w:tcMar>
              <w:top w:w="80" w:type="dxa"/>
              <w:left w:w="80" w:type="dxa"/>
              <w:bottom w:w="80" w:type="dxa"/>
              <w:right w:w="80" w:type="dxa"/>
            </w:tcMar>
            <w:vAlign w:val="center"/>
          </w:tcPr>
          <w:p w14:paraId="4788A46C" w14:textId="77777777" w:rsidR="003D1DEF" w:rsidRDefault="00000000">
            <w:r>
              <w:rPr>
                <w:sz w:val="16"/>
              </w:rPr>
              <w:t>Routine strain management should be a central planning priority.</w:t>
            </w:r>
          </w:p>
        </w:tc>
      </w:tr>
      <w:tr w:rsidR="003D1DEF" w14:paraId="11F5C743" w14:textId="77777777">
        <w:trPr>
          <w:jc w:val="center"/>
        </w:trPr>
        <w:tc>
          <w:tcPr>
            <w:tcW w:w="2736" w:type="dxa"/>
            <w:shd w:val="clear" w:color="auto" w:fill="FFFFFF"/>
            <w:tcMar>
              <w:top w:w="80" w:type="dxa"/>
              <w:left w:w="80" w:type="dxa"/>
              <w:bottom w:w="80" w:type="dxa"/>
              <w:right w:w="80" w:type="dxa"/>
            </w:tcMar>
            <w:vAlign w:val="center"/>
          </w:tcPr>
          <w:p w14:paraId="2D513C6D" w14:textId="77777777" w:rsidR="003D1DEF" w:rsidRDefault="00000000">
            <w:r>
              <w:rPr>
                <w:sz w:val="16"/>
              </w:rPr>
              <w:t>Prolonged Window Pressure</w:t>
            </w:r>
          </w:p>
        </w:tc>
        <w:tc>
          <w:tcPr>
            <w:tcW w:w="1872" w:type="dxa"/>
            <w:shd w:val="clear" w:color="auto" w:fill="FFFFFF"/>
            <w:tcMar>
              <w:top w:w="80" w:type="dxa"/>
              <w:left w:w="80" w:type="dxa"/>
              <w:bottom w:w="80" w:type="dxa"/>
              <w:right w:w="80" w:type="dxa"/>
            </w:tcMar>
            <w:vAlign w:val="center"/>
          </w:tcPr>
          <w:p w14:paraId="2087F239" w14:textId="77777777" w:rsidR="003D1DEF" w:rsidRDefault="00000000">
            <w:r>
              <w:rPr>
                <w:sz w:val="16"/>
              </w:rPr>
              <w:t>Rank 2</w:t>
            </w:r>
          </w:p>
        </w:tc>
        <w:tc>
          <w:tcPr>
            <w:tcW w:w="5040" w:type="dxa"/>
            <w:shd w:val="clear" w:color="auto" w:fill="FFFFFF"/>
            <w:tcMar>
              <w:top w:w="80" w:type="dxa"/>
              <w:left w:w="80" w:type="dxa"/>
              <w:bottom w:w="80" w:type="dxa"/>
              <w:right w:w="80" w:type="dxa"/>
            </w:tcMar>
            <w:vAlign w:val="center"/>
          </w:tcPr>
          <w:p w14:paraId="1A643945" w14:textId="77777777" w:rsidR="003D1DEF" w:rsidRDefault="00000000">
            <w:r>
              <w:rPr>
                <w:sz w:val="16"/>
              </w:rPr>
              <w:t>Sustained windows require capacity buffer planning.</w:t>
            </w:r>
          </w:p>
        </w:tc>
      </w:tr>
    </w:tbl>
    <w:p w14:paraId="1CEA1BDA" w14:textId="77777777" w:rsidR="003D1DEF" w:rsidRDefault="003D1DEF"/>
    <w:p w14:paraId="5C3B2ABF" w14:textId="77777777" w:rsidR="003D1DEF" w:rsidRDefault="00000000">
      <w:r>
        <w:br w:type="page"/>
      </w:r>
    </w:p>
    <w:p w14:paraId="64E3D633" w14:textId="77777777" w:rsidR="003D1DEF" w:rsidRDefault="00000000">
      <w:pPr>
        <w:pStyle w:val="Heading1"/>
        <w:spacing w:after="200"/>
      </w:pPr>
      <w:r>
        <w:rPr>
          <w:rFonts w:ascii="Calibri" w:hAnsi="Calibri"/>
          <w:color w:val="0B1F3A"/>
          <w:sz w:val="36"/>
        </w:rPr>
        <w:lastRenderedPageBreak/>
        <w:t>12. Findings and Insights</w:t>
      </w:r>
    </w:p>
    <w:p w14:paraId="139D4330" w14:textId="77777777" w:rsidR="003D1DEF" w:rsidRDefault="00000000">
      <w:pPr>
        <w:jc w:val="both"/>
      </w:pPr>
      <w:r>
        <w:t>This section converts the dashboard results into senior healthcare capacity analytics insights. The main value of the dashboard is that it does not depend on one metric. It integrates current load, peak context, inflow-outflow balance, responsibility split, backlog pressure, stress distribution, and driver evidence.</w:t>
      </w:r>
    </w:p>
    <w:tbl>
      <w:tblPr>
        <w:tblStyle w:val="TableGrid"/>
        <w:tblW w:w="0" w:type="auto"/>
        <w:jc w:val="center"/>
        <w:tblLook w:val="04A0" w:firstRow="1" w:lastRow="0" w:firstColumn="1" w:lastColumn="0" w:noHBand="0" w:noVBand="1"/>
      </w:tblPr>
      <w:tblGrid>
        <w:gridCol w:w="2160"/>
        <w:gridCol w:w="2592"/>
        <w:gridCol w:w="2448"/>
        <w:gridCol w:w="2880"/>
      </w:tblGrid>
      <w:tr w:rsidR="003D1DEF" w14:paraId="207FA884" w14:textId="77777777">
        <w:trPr>
          <w:tblHeader/>
          <w:jc w:val="center"/>
        </w:trPr>
        <w:tc>
          <w:tcPr>
            <w:tcW w:w="2160" w:type="dxa"/>
            <w:shd w:val="clear" w:color="auto" w:fill="0B3D5C"/>
            <w:tcMar>
              <w:top w:w="80" w:type="dxa"/>
              <w:left w:w="80" w:type="dxa"/>
              <w:bottom w:w="80" w:type="dxa"/>
              <w:right w:w="80" w:type="dxa"/>
            </w:tcMar>
            <w:vAlign w:val="center"/>
          </w:tcPr>
          <w:p w14:paraId="1327480E" w14:textId="77777777" w:rsidR="003D1DEF" w:rsidRDefault="00000000">
            <w:r>
              <w:rPr>
                <w:b/>
                <w:color w:val="FFFFFF"/>
                <w:sz w:val="15"/>
              </w:rPr>
              <w:t>Finding</w:t>
            </w:r>
          </w:p>
        </w:tc>
        <w:tc>
          <w:tcPr>
            <w:tcW w:w="2592" w:type="dxa"/>
            <w:shd w:val="clear" w:color="auto" w:fill="0B3D5C"/>
            <w:tcMar>
              <w:top w:w="80" w:type="dxa"/>
              <w:left w:w="80" w:type="dxa"/>
              <w:bottom w:w="80" w:type="dxa"/>
              <w:right w:w="80" w:type="dxa"/>
            </w:tcMar>
            <w:vAlign w:val="center"/>
          </w:tcPr>
          <w:p w14:paraId="6503FCBA" w14:textId="77777777" w:rsidR="003D1DEF" w:rsidRDefault="00000000">
            <w:r>
              <w:rPr>
                <w:b/>
                <w:color w:val="FFFFFF"/>
                <w:sz w:val="15"/>
              </w:rPr>
              <w:t>Evidence</w:t>
            </w:r>
          </w:p>
        </w:tc>
        <w:tc>
          <w:tcPr>
            <w:tcW w:w="2448" w:type="dxa"/>
            <w:shd w:val="clear" w:color="auto" w:fill="0B3D5C"/>
            <w:tcMar>
              <w:top w:w="80" w:type="dxa"/>
              <w:left w:w="80" w:type="dxa"/>
              <w:bottom w:w="80" w:type="dxa"/>
              <w:right w:w="80" w:type="dxa"/>
            </w:tcMar>
            <w:vAlign w:val="center"/>
          </w:tcPr>
          <w:p w14:paraId="65035BE3" w14:textId="77777777" w:rsidR="003D1DEF" w:rsidRDefault="00000000">
            <w:r>
              <w:rPr>
                <w:b/>
                <w:color w:val="FFFFFF"/>
                <w:sz w:val="15"/>
              </w:rPr>
              <w:t>Insight</w:t>
            </w:r>
          </w:p>
        </w:tc>
        <w:tc>
          <w:tcPr>
            <w:tcW w:w="2880" w:type="dxa"/>
            <w:shd w:val="clear" w:color="auto" w:fill="0B3D5C"/>
            <w:tcMar>
              <w:top w:w="80" w:type="dxa"/>
              <w:left w:w="80" w:type="dxa"/>
              <w:bottom w:w="80" w:type="dxa"/>
              <w:right w:w="80" w:type="dxa"/>
            </w:tcMar>
            <w:vAlign w:val="center"/>
          </w:tcPr>
          <w:p w14:paraId="4CE8F805" w14:textId="77777777" w:rsidR="003D1DEF" w:rsidRDefault="00000000">
            <w:r>
              <w:rPr>
                <w:b/>
                <w:color w:val="FFFFFF"/>
                <w:sz w:val="15"/>
              </w:rPr>
              <w:t>Operational / Policy Meaning</w:t>
            </w:r>
          </w:p>
        </w:tc>
      </w:tr>
      <w:tr w:rsidR="003D1DEF" w14:paraId="217EEB07" w14:textId="77777777">
        <w:trPr>
          <w:jc w:val="center"/>
        </w:trPr>
        <w:tc>
          <w:tcPr>
            <w:tcW w:w="2160" w:type="dxa"/>
            <w:shd w:val="clear" w:color="auto" w:fill="F7FAFC"/>
            <w:tcMar>
              <w:top w:w="80" w:type="dxa"/>
              <w:left w:w="80" w:type="dxa"/>
              <w:bottom w:w="80" w:type="dxa"/>
              <w:right w:w="80" w:type="dxa"/>
            </w:tcMar>
            <w:vAlign w:val="center"/>
          </w:tcPr>
          <w:p w14:paraId="5C709B7B" w14:textId="77777777" w:rsidR="003D1DEF" w:rsidRDefault="00000000">
            <w:r>
              <w:rPr>
                <w:sz w:val="15"/>
              </w:rPr>
              <w:t>The selected view is healthy and relief-oriented.</w:t>
            </w:r>
          </w:p>
        </w:tc>
        <w:tc>
          <w:tcPr>
            <w:tcW w:w="2592" w:type="dxa"/>
            <w:shd w:val="clear" w:color="auto" w:fill="F7FAFC"/>
            <w:tcMar>
              <w:top w:w="80" w:type="dxa"/>
              <w:left w:w="80" w:type="dxa"/>
              <w:bottom w:w="80" w:type="dxa"/>
              <w:right w:w="80" w:type="dxa"/>
            </w:tcMar>
            <w:vAlign w:val="center"/>
          </w:tcPr>
          <w:p w14:paraId="67099B1E" w14:textId="77777777" w:rsidR="003D1DEF" w:rsidRDefault="00000000">
            <w:r>
              <w:rPr>
                <w:sz w:val="15"/>
              </w:rPr>
              <w:t>KPI health is 88.8/100; net intake is -44.7/day.</w:t>
            </w:r>
          </w:p>
        </w:tc>
        <w:tc>
          <w:tcPr>
            <w:tcW w:w="2448" w:type="dxa"/>
            <w:shd w:val="clear" w:color="auto" w:fill="F7FAFC"/>
            <w:tcMar>
              <w:top w:w="80" w:type="dxa"/>
              <w:left w:w="80" w:type="dxa"/>
              <w:bottom w:w="80" w:type="dxa"/>
              <w:right w:w="80" w:type="dxa"/>
            </w:tcMar>
            <w:vAlign w:val="center"/>
          </w:tcPr>
          <w:p w14:paraId="7690BB24" w14:textId="77777777" w:rsidR="003D1DEF" w:rsidRDefault="00000000">
            <w:r>
              <w:rPr>
                <w:sz w:val="15"/>
              </w:rPr>
              <w:t>Discharges are offsetting transfers in the selected daily view.</w:t>
            </w:r>
          </w:p>
        </w:tc>
        <w:tc>
          <w:tcPr>
            <w:tcW w:w="2880" w:type="dxa"/>
            <w:shd w:val="clear" w:color="auto" w:fill="F7FAFC"/>
            <w:tcMar>
              <w:top w:w="80" w:type="dxa"/>
              <w:left w:w="80" w:type="dxa"/>
              <w:bottom w:w="80" w:type="dxa"/>
              <w:right w:w="80" w:type="dxa"/>
            </w:tcMar>
            <w:vAlign w:val="center"/>
          </w:tcPr>
          <w:p w14:paraId="29684DD7" w14:textId="77777777" w:rsidR="003D1DEF" w:rsidRDefault="00000000">
            <w:r>
              <w:rPr>
                <w:sz w:val="15"/>
              </w:rPr>
              <w:t>Maintain monitoring rather than emergency escalation.</w:t>
            </w:r>
          </w:p>
        </w:tc>
      </w:tr>
      <w:tr w:rsidR="003D1DEF" w14:paraId="145378E7" w14:textId="77777777">
        <w:trPr>
          <w:jc w:val="center"/>
        </w:trPr>
        <w:tc>
          <w:tcPr>
            <w:tcW w:w="2160" w:type="dxa"/>
            <w:shd w:val="clear" w:color="auto" w:fill="FFFFFF"/>
            <w:tcMar>
              <w:top w:w="80" w:type="dxa"/>
              <w:left w:w="80" w:type="dxa"/>
              <w:bottom w:w="80" w:type="dxa"/>
              <w:right w:w="80" w:type="dxa"/>
            </w:tcMar>
            <w:vAlign w:val="center"/>
          </w:tcPr>
          <w:p w14:paraId="1D0B2EAE" w14:textId="77777777" w:rsidR="003D1DEF" w:rsidRDefault="00000000">
            <w:r>
              <w:rPr>
                <w:sz w:val="15"/>
              </w:rPr>
              <w:t>Current load is far below peak.</w:t>
            </w:r>
          </w:p>
        </w:tc>
        <w:tc>
          <w:tcPr>
            <w:tcW w:w="2592" w:type="dxa"/>
            <w:shd w:val="clear" w:color="auto" w:fill="FFFFFF"/>
            <w:tcMar>
              <w:top w:w="80" w:type="dxa"/>
              <w:left w:w="80" w:type="dxa"/>
              <w:bottom w:w="80" w:type="dxa"/>
              <w:right w:w="80" w:type="dxa"/>
            </w:tcMar>
            <w:vAlign w:val="center"/>
          </w:tcPr>
          <w:p w14:paraId="510A9975" w14:textId="77777777" w:rsidR="003D1DEF" w:rsidRDefault="00000000">
            <w:r>
              <w:rPr>
                <w:sz w:val="15"/>
              </w:rPr>
              <w:t>Current load 2,502; peak 11,762; current is 21.3% of peak.</w:t>
            </w:r>
          </w:p>
        </w:tc>
        <w:tc>
          <w:tcPr>
            <w:tcW w:w="2448" w:type="dxa"/>
            <w:shd w:val="clear" w:color="auto" w:fill="FFFFFF"/>
            <w:tcMar>
              <w:top w:w="80" w:type="dxa"/>
              <w:left w:w="80" w:type="dxa"/>
              <w:bottom w:w="80" w:type="dxa"/>
              <w:right w:w="80" w:type="dxa"/>
            </w:tcMar>
            <w:vAlign w:val="center"/>
          </w:tcPr>
          <w:p w14:paraId="1EAE0BF3" w14:textId="77777777" w:rsidR="003D1DEF" w:rsidRDefault="00000000">
            <w:r>
              <w:rPr>
                <w:sz w:val="15"/>
              </w:rPr>
              <w:t>The system is not near selected-period maximum burden.</w:t>
            </w:r>
          </w:p>
        </w:tc>
        <w:tc>
          <w:tcPr>
            <w:tcW w:w="2880" w:type="dxa"/>
            <w:shd w:val="clear" w:color="auto" w:fill="FFFFFF"/>
            <w:tcMar>
              <w:top w:w="80" w:type="dxa"/>
              <w:left w:w="80" w:type="dxa"/>
              <w:bottom w:w="80" w:type="dxa"/>
              <w:right w:w="80" w:type="dxa"/>
            </w:tcMar>
            <w:vAlign w:val="center"/>
          </w:tcPr>
          <w:p w14:paraId="160D3914" w14:textId="77777777" w:rsidR="003D1DEF" w:rsidRDefault="00000000">
            <w:r>
              <w:rPr>
                <w:sz w:val="15"/>
              </w:rPr>
              <w:t>Use peak history for surge planning but current state for daily decisions.</w:t>
            </w:r>
          </w:p>
        </w:tc>
      </w:tr>
      <w:tr w:rsidR="003D1DEF" w14:paraId="7360617A" w14:textId="77777777">
        <w:trPr>
          <w:jc w:val="center"/>
        </w:trPr>
        <w:tc>
          <w:tcPr>
            <w:tcW w:w="2160" w:type="dxa"/>
            <w:shd w:val="clear" w:color="auto" w:fill="F7FAFC"/>
            <w:tcMar>
              <w:top w:w="80" w:type="dxa"/>
              <w:left w:w="80" w:type="dxa"/>
              <w:bottom w:w="80" w:type="dxa"/>
              <w:right w:w="80" w:type="dxa"/>
            </w:tcMar>
            <w:vAlign w:val="center"/>
          </w:tcPr>
          <w:p w14:paraId="6151F814" w14:textId="77777777" w:rsidR="003D1DEF" w:rsidRDefault="00000000">
            <w:r>
              <w:rPr>
                <w:sz w:val="15"/>
              </w:rPr>
              <w:t>HHS carries dominant active responsibility.</w:t>
            </w:r>
          </w:p>
        </w:tc>
        <w:tc>
          <w:tcPr>
            <w:tcW w:w="2592" w:type="dxa"/>
            <w:shd w:val="clear" w:color="auto" w:fill="F7FAFC"/>
            <w:tcMar>
              <w:top w:w="80" w:type="dxa"/>
              <w:left w:w="80" w:type="dxa"/>
              <w:bottom w:w="80" w:type="dxa"/>
              <w:right w:w="80" w:type="dxa"/>
            </w:tcMar>
            <w:vAlign w:val="center"/>
          </w:tcPr>
          <w:p w14:paraId="20A70005" w14:textId="77777777" w:rsidR="003D1DEF" w:rsidRDefault="00000000">
            <w:r>
              <w:rPr>
                <w:sz w:val="15"/>
              </w:rPr>
              <w:t>HHS share is 99.3%; HHS/CBP ratio is 138.00x.</w:t>
            </w:r>
          </w:p>
        </w:tc>
        <w:tc>
          <w:tcPr>
            <w:tcW w:w="2448" w:type="dxa"/>
            <w:shd w:val="clear" w:color="auto" w:fill="F7FAFC"/>
            <w:tcMar>
              <w:top w:w="80" w:type="dxa"/>
              <w:left w:w="80" w:type="dxa"/>
              <w:bottom w:w="80" w:type="dxa"/>
              <w:right w:w="80" w:type="dxa"/>
            </w:tcMar>
            <w:vAlign w:val="center"/>
          </w:tcPr>
          <w:p w14:paraId="41B870BF" w14:textId="77777777" w:rsidR="003D1DEF" w:rsidRDefault="00000000">
            <w:r>
              <w:rPr>
                <w:sz w:val="15"/>
              </w:rPr>
              <w:t>Downstream care load is concentrated in HHS.</w:t>
            </w:r>
          </w:p>
        </w:tc>
        <w:tc>
          <w:tcPr>
            <w:tcW w:w="2880" w:type="dxa"/>
            <w:shd w:val="clear" w:color="auto" w:fill="F7FAFC"/>
            <w:tcMar>
              <w:top w:w="80" w:type="dxa"/>
              <w:left w:w="80" w:type="dxa"/>
              <w:bottom w:w="80" w:type="dxa"/>
              <w:right w:w="80" w:type="dxa"/>
            </w:tcMar>
            <w:vAlign w:val="center"/>
          </w:tcPr>
          <w:p w14:paraId="5BCA1A50" w14:textId="77777777" w:rsidR="003D1DEF" w:rsidRDefault="00000000">
            <w:r>
              <w:rPr>
                <w:sz w:val="15"/>
              </w:rPr>
              <w:t>Prioritize HHS shelter, staffing, placement, and discharge planning.</w:t>
            </w:r>
          </w:p>
        </w:tc>
      </w:tr>
      <w:tr w:rsidR="003D1DEF" w14:paraId="60A970A7" w14:textId="77777777">
        <w:trPr>
          <w:jc w:val="center"/>
        </w:trPr>
        <w:tc>
          <w:tcPr>
            <w:tcW w:w="2160" w:type="dxa"/>
            <w:shd w:val="clear" w:color="auto" w:fill="FFFFFF"/>
            <w:tcMar>
              <w:top w:w="80" w:type="dxa"/>
              <w:left w:w="80" w:type="dxa"/>
              <w:bottom w:w="80" w:type="dxa"/>
              <w:right w:w="80" w:type="dxa"/>
            </w:tcMar>
            <w:vAlign w:val="center"/>
          </w:tcPr>
          <w:p w14:paraId="53886D2C" w14:textId="77777777" w:rsidR="003D1DEF" w:rsidRDefault="00000000">
            <w:r>
              <w:rPr>
                <w:sz w:val="15"/>
              </w:rPr>
              <w:t>Flow balance is favorable.</w:t>
            </w:r>
          </w:p>
        </w:tc>
        <w:tc>
          <w:tcPr>
            <w:tcW w:w="2592" w:type="dxa"/>
            <w:shd w:val="clear" w:color="auto" w:fill="FFFFFF"/>
            <w:tcMar>
              <w:top w:w="80" w:type="dxa"/>
              <w:left w:w="80" w:type="dxa"/>
              <w:bottom w:w="80" w:type="dxa"/>
              <w:right w:w="80" w:type="dxa"/>
            </w:tcMar>
            <w:vAlign w:val="center"/>
          </w:tcPr>
          <w:p w14:paraId="33D10189" w14:textId="77777777" w:rsidR="003D1DEF" w:rsidRDefault="00000000">
            <w:r>
              <w:rPr>
                <w:sz w:val="15"/>
              </w:rPr>
              <w:t>Transfers 92,641; discharges 124,853; offset 1.35x.</w:t>
            </w:r>
          </w:p>
        </w:tc>
        <w:tc>
          <w:tcPr>
            <w:tcW w:w="2448" w:type="dxa"/>
            <w:shd w:val="clear" w:color="auto" w:fill="FFFFFF"/>
            <w:tcMar>
              <w:top w:w="80" w:type="dxa"/>
              <w:left w:w="80" w:type="dxa"/>
              <w:bottom w:w="80" w:type="dxa"/>
              <w:right w:w="80" w:type="dxa"/>
            </w:tcMar>
            <w:vAlign w:val="center"/>
          </w:tcPr>
          <w:p w14:paraId="7434A25C" w14:textId="77777777" w:rsidR="003D1DEF" w:rsidRDefault="00000000">
            <w:r>
              <w:rPr>
                <w:sz w:val="15"/>
              </w:rPr>
              <w:t>Outflow exceeds transfer inflow across the selected view.</w:t>
            </w:r>
          </w:p>
        </w:tc>
        <w:tc>
          <w:tcPr>
            <w:tcW w:w="2880" w:type="dxa"/>
            <w:shd w:val="clear" w:color="auto" w:fill="FFFFFF"/>
            <w:tcMar>
              <w:top w:w="80" w:type="dxa"/>
              <w:left w:w="80" w:type="dxa"/>
              <w:bottom w:w="80" w:type="dxa"/>
              <w:right w:w="80" w:type="dxa"/>
            </w:tcMar>
            <w:vAlign w:val="center"/>
          </w:tcPr>
          <w:p w14:paraId="2245891A" w14:textId="77777777" w:rsidR="003D1DEF" w:rsidRDefault="00000000">
            <w:r>
              <w:rPr>
                <w:sz w:val="15"/>
              </w:rPr>
              <w:t>Protect discharge and sponsor-placement throughput.</w:t>
            </w:r>
          </w:p>
        </w:tc>
      </w:tr>
      <w:tr w:rsidR="003D1DEF" w14:paraId="31668F1A" w14:textId="77777777">
        <w:trPr>
          <w:jc w:val="center"/>
        </w:trPr>
        <w:tc>
          <w:tcPr>
            <w:tcW w:w="2160" w:type="dxa"/>
            <w:shd w:val="clear" w:color="auto" w:fill="F7FAFC"/>
            <w:tcMar>
              <w:top w:w="80" w:type="dxa"/>
              <w:left w:w="80" w:type="dxa"/>
              <w:bottom w:w="80" w:type="dxa"/>
              <w:right w:w="80" w:type="dxa"/>
            </w:tcMar>
            <w:vAlign w:val="center"/>
          </w:tcPr>
          <w:p w14:paraId="5F539813" w14:textId="77777777" w:rsidR="003D1DEF" w:rsidRDefault="00000000">
            <w:r>
              <w:rPr>
                <w:sz w:val="15"/>
              </w:rPr>
              <w:t>Backlog pressure exists but is controlled.</w:t>
            </w:r>
          </w:p>
        </w:tc>
        <w:tc>
          <w:tcPr>
            <w:tcW w:w="2592" w:type="dxa"/>
            <w:shd w:val="clear" w:color="auto" w:fill="F7FAFC"/>
            <w:tcMar>
              <w:top w:w="80" w:type="dxa"/>
              <w:left w:w="80" w:type="dxa"/>
              <w:bottom w:w="80" w:type="dxa"/>
              <w:right w:w="80" w:type="dxa"/>
            </w:tcMar>
            <w:vAlign w:val="center"/>
          </w:tcPr>
          <w:p w14:paraId="24FDEFD7" w14:textId="77777777" w:rsidR="003D1DEF" w:rsidRDefault="00000000">
            <w:r>
              <w:rPr>
                <w:sz w:val="15"/>
              </w:rPr>
              <w:t>Backlog accumulation rate is 33.1%; longest pressure streak is 12.</w:t>
            </w:r>
          </w:p>
        </w:tc>
        <w:tc>
          <w:tcPr>
            <w:tcW w:w="2448" w:type="dxa"/>
            <w:shd w:val="clear" w:color="auto" w:fill="F7FAFC"/>
            <w:tcMar>
              <w:top w:w="80" w:type="dxa"/>
              <w:left w:w="80" w:type="dxa"/>
              <w:bottom w:w="80" w:type="dxa"/>
              <w:right w:w="80" w:type="dxa"/>
            </w:tcMar>
            <w:vAlign w:val="center"/>
          </w:tcPr>
          <w:p w14:paraId="3CE6C3E7" w14:textId="77777777" w:rsidR="003D1DEF" w:rsidRDefault="00000000">
            <w:r>
              <w:rPr>
                <w:sz w:val="15"/>
              </w:rPr>
              <w:t>Pressure windows still appear within a healthy view.</w:t>
            </w:r>
          </w:p>
        </w:tc>
        <w:tc>
          <w:tcPr>
            <w:tcW w:w="2880" w:type="dxa"/>
            <w:shd w:val="clear" w:color="auto" w:fill="F7FAFC"/>
            <w:tcMar>
              <w:top w:w="80" w:type="dxa"/>
              <w:left w:w="80" w:type="dxa"/>
              <w:bottom w:w="80" w:type="dxa"/>
              <w:right w:w="80" w:type="dxa"/>
            </w:tcMar>
            <w:vAlign w:val="center"/>
          </w:tcPr>
          <w:p w14:paraId="7BF6429E" w14:textId="77777777" w:rsidR="003D1DEF" w:rsidRDefault="00000000">
            <w:r>
              <w:rPr>
                <w:sz w:val="15"/>
              </w:rPr>
              <w:t>Track pressure periods and streaks, not only averages.</w:t>
            </w:r>
          </w:p>
        </w:tc>
      </w:tr>
      <w:tr w:rsidR="003D1DEF" w14:paraId="0686C02C" w14:textId="77777777">
        <w:trPr>
          <w:jc w:val="center"/>
        </w:trPr>
        <w:tc>
          <w:tcPr>
            <w:tcW w:w="2160" w:type="dxa"/>
            <w:shd w:val="clear" w:color="auto" w:fill="FFFFFF"/>
            <w:tcMar>
              <w:top w:w="80" w:type="dxa"/>
              <w:left w:w="80" w:type="dxa"/>
              <w:bottom w:w="80" w:type="dxa"/>
              <w:right w:w="80" w:type="dxa"/>
            </w:tcMar>
            <w:vAlign w:val="center"/>
          </w:tcPr>
          <w:p w14:paraId="468C9AE8" w14:textId="77777777" w:rsidR="003D1DEF" w:rsidRDefault="00000000">
            <w:r>
              <w:rPr>
                <w:sz w:val="15"/>
              </w:rPr>
              <w:t>Daily strain is the leading pressure driver.</w:t>
            </w:r>
          </w:p>
        </w:tc>
        <w:tc>
          <w:tcPr>
            <w:tcW w:w="2592" w:type="dxa"/>
            <w:shd w:val="clear" w:color="auto" w:fill="FFFFFF"/>
            <w:tcMar>
              <w:top w:w="80" w:type="dxa"/>
              <w:left w:w="80" w:type="dxa"/>
              <w:bottom w:w="80" w:type="dxa"/>
              <w:right w:w="80" w:type="dxa"/>
            </w:tcMar>
            <w:vAlign w:val="center"/>
          </w:tcPr>
          <w:p w14:paraId="1B1F948B" w14:textId="77777777" w:rsidR="003D1DEF" w:rsidRDefault="00000000">
            <w:r>
              <w:rPr>
                <w:sz w:val="15"/>
              </w:rPr>
              <w:t>Primary driver evidence ranks Daily Strain Pressure first.</w:t>
            </w:r>
          </w:p>
        </w:tc>
        <w:tc>
          <w:tcPr>
            <w:tcW w:w="2448" w:type="dxa"/>
            <w:shd w:val="clear" w:color="auto" w:fill="FFFFFF"/>
            <w:tcMar>
              <w:top w:w="80" w:type="dxa"/>
              <w:left w:w="80" w:type="dxa"/>
              <w:bottom w:w="80" w:type="dxa"/>
              <w:right w:w="80" w:type="dxa"/>
            </w:tcMar>
            <w:vAlign w:val="center"/>
          </w:tcPr>
          <w:p w14:paraId="25925F4E" w14:textId="77777777" w:rsidR="003D1DEF" w:rsidRDefault="00000000">
            <w:r>
              <w:rPr>
                <w:sz w:val="15"/>
              </w:rPr>
              <w:t>System pressure is more about sustained daily strain than sudden spikes.</w:t>
            </w:r>
          </w:p>
        </w:tc>
        <w:tc>
          <w:tcPr>
            <w:tcW w:w="2880" w:type="dxa"/>
            <w:shd w:val="clear" w:color="auto" w:fill="FFFFFF"/>
            <w:tcMar>
              <w:top w:w="80" w:type="dxa"/>
              <w:left w:w="80" w:type="dxa"/>
              <w:bottom w:w="80" w:type="dxa"/>
              <w:right w:w="80" w:type="dxa"/>
            </w:tcMar>
            <w:vAlign w:val="center"/>
          </w:tcPr>
          <w:p w14:paraId="7B5EFFC2" w14:textId="77777777" w:rsidR="003D1DEF" w:rsidRDefault="00000000">
            <w:r>
              <w:rPr>
                <w:sz w:val="15"/>
              </w:rPr>
              <w:t>Plan recurring operating buffers and routine reviews.</w:t>
            </w:r>
          </w:p>
        </w:tc>
      </w:tr>
    </w:tbl>
    <w:p w14:paraId="7A8713D9" w14:textId="77777777" w:rsidR="003D1DEF" w:rsidRDefault="003D1DEF"/>
    <w:p w14:paraId="2B11710E" w14:textId="77777777" w:rsidR="003D1DEF" w:rsidRDefault="00000000">
      <w:pPr>
        <w:jc w:val="both"/>
      </w:pPr>
      <w:r>
        <w:t>A key insight is that relief and risk can coexist. The negative net intake total and strong discharge offset ratio show relief-oriented movement, but stress distribution and primary pressure driver evidence show that pressure categories and sustained strain remain relevant. A mature operating view should therefore protect discharge throughput while continuing to monitor HHS load concentration and pressure windows.</w:t>
      </w:r>
    </w:p>
    <w:p w14:paraId="572AFE6D" w14:textId="77777777" w:rsidR="003D1DEF" w:rsidRDefault="00000000">
      <w:r>
        <w:br w:type="page"/>
      </w:r>
    </w:p>
    <w:p w14:paraId="276F7B5C" w14:textId="77777777" w:rsidR="003D1DEF" w:rsidRDefault="00000000">
      <w:pPr>
        <w:pStyle w:val="Heading1"/>
        <w:spacing w:after="200"/>
      </w:pPr>
      <w:r>
        <w:rPr>
          <w:rFonts w:ascii="Calibri" w:hAnsi="Calibri"/>
          <w:color w:val="0B1F3A"/>
          <w:sz w:val="36"/>
        </w:rPr>
        <w:lastRenderedPageBreak/>
        <w:t>13. Actionable Business / Policy Recommendations</w:t>
      </w:r>
    </w:p>
    <w:p w14:paraId="7ADC3124" w14:textId="77777777" w:rsidR="003D1DEF" w:rsidRDefault="00000000">
      <w:pPr>
        <w:jc w:val="both"/>
      </w:pPr>
      <w:r>
        <w:t>Recommendations are grounded in dashboard evidence. They are designed for program leadership, healthcare operations, analytics teams, and policy stakeholders who need a practical monitoring model for capacity, staffing, shelter planning, discharge throughput, and backlog relief.</w:t>
      </w:r>
    </w:p>
    <w:tbl>
      <w:tblPr>
        <w:tblStyle w:val="TableGrid"/>
        <w:tblW w:w="0" w:type="auto"/>
        <w:jc w:val="center"/>
        <w:tblLook w:val="04A0" w:firstRow="1" w:lastRow="0" w:firstColumn="1" w:lastColumn="0" w:noHBand="0" w:noVBand="1"/>
      </w:tblPr>
      <w:tblGrid>
        <w:gridCol w:w="846"/>
        <w:gridCol w:w="2465"/>
        <w:gridCol w:w="2883"/>
        <w:gridCol w:w="1929"/>
        <w:gridCol w:w="2074"/>
      </w:tblGrid>
      <w:tr w:rsidR="003D1DEF" w14:paraId="50750CB8" w14:textId="77777777">
        <w:trPr>
          <w:tblHeader/>
          <w:jc w:val="center"/>
        </w:trPr>
        <w:tc>
          <w:tcPr>
            <w:tcW w:w="864" w:type="dxa"/>
            <w:shd w:val="clear" w:color="auto" w:fill="0B3D5C"/>
            <w:tcMar>
              <w:top w:w="80" w:type="dxa"/>
              <w:left w:w="80" w:type="dxa"/>
              <w:bottom w:w="80" w:type="dxa"/>
              <w:right w:w="80" w:type="dxa"/>
            </w:tcMar>
            <w:vAlign w:val="center"/>
          </w:tcPr>
          <w:p w14:paraId="6C561F2C" w14:textId="77777777" w:rsidR="003D1DEF" w:rsidRDefault="00000000">
            <w:r>
              <w:rPr>
                <w:b/>
                <w:color w:val="FFFFFF"/>
                <w:sz w:val="14"/>
              </w:rPr>
              <w:t>Priority</w:t>
            </w:r>
          </w:p>
        </w:tc>
        <w:tc>
          <w:tcPr>
            <w:tcW w:w="2592" w:type="dxa"/>
            <w:shd w:val="clear" w:color="auto" w:fill="0B3D5C"/>
            <w:tcMar>
              <w:top w:w="80" w:type="dxa"/>
              <w:left w:w="80" w:type="dxa"/>
              <w:bottom w:w="80" w:type="dxa"/>
              <w:right w:w="80" w:type="dxa"/>
            </w:tcMar>
            <w:vAlign w:val="center"/>
          </w:tcPr>
          <w:p w14:paraId="3EF6C6CE" w14:textId="77777777" w:rsidR="003D1DEF" w:rsidRDefault="00000000">
            <w:r>
              <w:rPr>
                <w:b/>
                <w:color w:val="FFFFFF"/>
                <w:sz w:val="14"/>
              </w:rPr>
              <w:t>Evidence</w:t>
            </w:r>
          </w:p>
        </w:tc>
        <w:tc>
          <w:tcPr>
            <w:tcW w:w="3024" w:type="dxa"/>
            <w:shd w:val="clear" w:color="auto" w:fill="0B3D5C"/>
            <w:tcMar>
              <w:top w:w="80" w:type="dxa"/>
              <w:left w:w="80" w:type="dxa"/>
              <w:bottom w:w="80" w:type="dxa"/>
              <w:right w:w="80" w:type="dxa"/>
            </w:tcMar>
            <w:vAlign w:val="center"/>
          </w:tcPr>
          <w:p w14:paraId="1C35B55D" w14:textId="77777777" w:rsidR="003D1DEF" w:rsidRDefault="00000000">
            <w:r>
              <w:rPr>
                <w:b/>
                <w:color w:val="FFFFFF"/>
                <w:sz w:val="14"/>
              </w:rPr>
              <w:t>Recommendation</w:t>
            </w:r>
          </w:p>
        </w:tc>
        <w:tc>
          <w:tcPr>
            <w:tcW w:w="2016" w:type="dxa"/>
            <w:shd w:val="clear" w:color="auto" w:fill="0B3D5C"/>
            <w:tcMar>
              <w:top w:w="80" w:type="dxa"/>
              <w:left w:w="80" w:type="dxa"/>
              <w:bottom w:w="80" w:type="dxa"/>
              <w:right w:w="80" w:type="dxa"/>
            </w:tcMar>
            <w:vAlign w:val="center"/>
          </w:tcPr>
          <w:p w14:paraId="537B732C" w14:textId="77777777" w:rsidR="003D1DEF" w:rsidRDefault="00000000">
            <w:r>
              <w:rPr>
                <w:b/>
                <w:color w:val="FFFFFF"/>
                <w:sz w:val="14"/>
              </w:rPr>
              <w:t>Stakeholder / Function</w:t>
            </w:r>
          </w:p>
        </w:tc>
        <w:tc>
          <w:tcPr>
            <w:tcW w:w="2160" w:type="dxa"/>
            <w:shd w:val="clear" w:color="auto" w:fill="0B3D5C"/>
            <w:tcMar>
              <w:top w:w="80" w:type="dxa"/>
              <w:left w:w="80" w:type="dxa"/>
              <w:bottom w:w="80" w:type="dxa"/>
              <w:right w:w="80" w:type="dxa"/>
            </w:tcMar>
            <w:vAlign w:val="center"/>
          </w:tcPr>
          <w:p w14:paraId="41FE3647" w14:textId="77777777" w:rsidR="003D1DEF" w:rsidRDefault="00000000">
            <w:r>
              <w:rPr>
                <w:b/>
                <w:color w:val="FFFFFF"/>
                <w:sz w:val="14"/>
              </w:rPr>
              <w:t>Expected Impact</w:t>
            </w:r>
          </w:p>
        </w:tc>
      </w:tr>
      <w:tr w:rsidR="003D1DEF" w14:paraId="73BEFC53" w14:textId="77777777">
        <w:trPr>
          <w:jc w:val="center"/>
        </w:trPr>
        <w:tc>
          <w:tcPr>
            <w:tcW w:w="864" w:type="dxa"/>
            <w:shd w:val="clear" w:color="auto" w:fill="F7FAFC"/>
            <w:tcMar>
              <w:top w:w="80" w:type="dxa"/>
              <w:left w:w="80" w:type="dxa"/>
              <w:bottom w:w="80" w:type="dxa"/>
              <w:right w:w="80" w:type="dxa"/>
            </w:tcMar>
            <w:vAlign w:val="center"/>
          </w:tcPr>
          <w:p w14:paraId="3575E143" w14:textId="77777777" w:rsidR="003D1DEF" w:rsidRDefault="00000000">
            <w:r>
              <w:rPr>
                <w:sz w:val="14"/>
              </w:rPr>
              <w:t>High</w:t>
            </w:r>
          </w:p>
        </w:tc>
        <w:tc>
          <w:tcPr>
            <w:tcW w:w="2592" w:type="dxa"/>
            <w:shd w:val="clear" w:color="auto" w:fill="F7FAFC"/>
            <w:tcMar>
              <w:top w:w="80" w:type="dxa"/>
              <w:left w:w="80" w:type="dxa"/>
              <w:bottom w:w="80" w:type="dxa"/>
              <w:right w:w="80" w:type="dxa"/>
            </w:tcMar>
            <w:vAlign w:val="center"/>
          </w:tcPr>
          <w:p w14:paraId="064F88D5" w14:textId="77777777" w:rsidR="003D1DEF" w:rsidRDefault="00000000">
            <w:r>
              <w:rPr>
                <w:sz w:val="14"/>
              </w:rPr>
              <w:t>HHS Care is 99.3% of latest responsibility.</w:t>
            </w:r>
          </w:p>
        </w:tc>
        <w:tc>
          <w:tcPr>
            <w:tcW w:w="3024" w:type="dxa"/>
            <w:shd w:val="clear" w:color="auto" w:fill="F7FAFC"/>
            <w:tcMar>
              <w:top w:w="80" w:type="dxa"/>
              <w:left w:w="80" w:type="dxa"/>
              <w:bottom w:w="80" w:type="dxa"/>
              <w:right w:w="80" w:type="dxa"/>
            </w:tcMar>
            <w:vAlign w:val="center"/>
          </w:tcPr>
          <w:p w14:paraId="3440FD6A" w14:textId="77777777" w:rsidR="003D1DEF" w:rsidRDefault="00000000">
            <w:r>
              <w:rPr>
                <w:sz w:val="14"/>
              </w:rPr>
              <w:t>Prioritize HHS shelter, staffing, placement, and discharge capacity planning.</w:t>
            </w:r>
          </w:p>
        </w:tc>
        <w:tc>
          <w:tcPr>
            <w:tcW w:w="2016" w:type="dxa"/>
            <w:shd w:val="clear" w:color="auto" w:fill="F7FAFC"/>
            <w:tcMar>
              <w:top w:w="80" w:type="dxa"/>
              <w:left w:w="80" w:type="dxa"/>
              <w:bottom w:w="80" w:type="dxa"/>
              <w:right w:w="80" w:type="dxa"/>
            </w:tcMar>
            <w:vAlign w:val="center"/>
          </w:tcPr>
          <w:p w14:paraId="3C46A187" w14:textId="77777777" w:rsidR="003D1DEF" w:rsidRDefault="00000000">
            <w:r>
              <w:rPr>
                <w:sz w:val="14"/>
              </w:rPr>
              <w:t>HHS operations and care providers</w:t>
            </w:r>
          </w:p>
        </w:tc>
        <w:tc>
          <w:tcPr>
            <w:tcW w:w="2160" w:type="dxa"/>
            <w:shd w:val="clear" w:color="auto" w:fill="F7FAFC"/>
            <w:tcMar>
              <w:top w:w="80" w:type="dxa"/>
              <w:left w:w="80" w:type="dxa"/>
              <w:bottom w:w="80" w:type="dxa"/>
              <w:right w:w="80" w:type="dxa"/>
            </w:tcMar>
            <w:vAlign w:val="center"/>
          </w:tcPr>
          <w:p w14:paraId="7CAF7F99" w14:textId="77777777" w:rsidR="003D1DEF" w:rsidRDefault="00000000">
            <w:r>
              <w:rPr>
                <w:sz w:val="14"/>
              </w:rPr>
              <w:t>Protects the dominant downstream care responsibility center.</w:t>
            </w:r>
          </w:p>
        </w:tc>
      </w:tr>
      <w:tr w:rsidR="003D1DEF" w14:paraId="11153CEA" w14:textId="77777777">
        <w:trPr>
          <w:jc w:val="center"/>
        </w:trPr>
        <w:tc>
          <w:tcPr>
            <w:tcW w:w="864" w:type="dxa"/>
            <w:shd w:val="clear" w:color="auto" w:fill="FFFFFF"/>
            <w:tcMar>
              <w:top w:w="80" w:type="dxa"/>
              <w:left w:w="80" w:type="dxa"/>
              <w:bottom w:w="80" w:type="dxa"/>
              <w:right w:w="80" w:type="dxa"/>
            </w:tcMar>
            <w:vAlign w:val="center"/>
          </w:tcPr>
          <w:p w14:paraId="00E30427" w14:textId="77777777" w:rsidR="003D1DEF" w:rsidRDefault="00000000">
            <w:r>
              <w:rPr>
                <w:sz w:val="14"/>
              </w:rPr>
              <w:t>High</w:t>
            </w:r>
          </w:p>
        </w:tc>
        <w:tc>
          <w:tcPr>
            <w:tcW w:w="2592" w:type="dxa"/>
            <w:shd w:val="clear" w:color="auto" w:fill="FFFFFF"/>
            <w:tcMar>
              <w:top w:w="80" w:type="dxa"/>
              <w:left w:w="80" w:type="dxa"/>
              <w:bottom w:w="80" w:type="dxa"/>
              <w:right w:w="80" w:type="dxa"/>
            </w:tcMar>
            <w:vAlign w:val="center"/>
          </w:tcPr>
          <w:p w14:paraId="2022F35C" w14:textId="77777777" w:rsidR="003D1DEF" w:rsidRDefault="00000000">
            <w:r>
              <w:rPr>
                <w:sz w:val="14"/>
              </w:rPr>
              <w:t>Discharge Offset Ratio is 1.35x and Net Intake Total is -32,212.</w:t>
            </w:r>
          </w:p>
        </w:tc>
        <w:tc>
          <w:tcPr>
            <w:tcW w:w="3024" w:type="dxa"/>
            <w:shd w:val="clear" w:color="auto" w:fill="FFFFFF"/>
            <w:tcMar>
              <w:top w:w="80" w:type="dxa"/>
              <w:left w:w="80" w:type="dxa"/>
              <w:bottom w:w="80" w:type="dxa"/>
              <w:right w:w="80" w:type="dxa"/>
            </w:tcMar>
            <w:vAlign w:val="center"/>
          </w:tcPr>
          <w:p w14:paraId="77DEC3D2" w14:textId="77777777" w:rsidR="003D1DEF" w:rsidRDefault="00000000">
            <w:r>
              <w:rPr>
                <w:sz w:val="14"/>
              </w:rPr>
              <w:t>Maintain discharge throughput and sponsor placement flow.</w:t>
            </w:r>
          </w:p>
        </w:tc>
        <w:tc>
          <w:tcPr>
            <w:tcW w:w="2016" w:type="dxa"/>
            <w:shd w:val="clear" w:color="auto" w:fill="FFFFFF"/>
            <w:tcMar>
              <w:top w:w="80" w:type="dxa"/>
              <w:left w:w="80" w:type="dxa"/>
              <w:bottom w:w="80" w:type="dxa"/>
              <w:right w:w="80" w:type="dxa"/>
            </w:tcMar>
            <w:vAlign w:val="center"/>
          </w:tcPr>
          <w:p w14:paraId="380B4BDC" w14:textId="77777777" w:rsidR="003D1DEF" w:rsidRDefault="00000000">
            <w:r>
              <w:rPr>
                <w:sz w:val="14"/>
              </w:rPr>
              <w:t>Placement and reunification teams</w:t>
            </w:r>
          </w:p>
        </w:tc>
        <w:tc>
          <w:tcPr>
            <w:tcW w:w="2160" w:type="dxa"/>
            <w:shd w:val="clear" w:color="auto" w:fill="FFFFFF"/>
            <w:tcMar>
              <w:top w:w="80" w:type="dxa"/>
              <w:left w:w="80" w:type="dxa"/>
              <w:bottom w:w="80" w:type="dxa"/>
              <w:right w:w="80" w:type="dxa"/>
            </w:tcMar>
            <w:vAlign w:val="center"/>
          </w:tcPr>
          <w:p w14:paraId="2469FCD5" w14:textId="77777777" w:rsidR="003D1DEF" w:rsidRDefault="00000000">
            <w:r>
              <w:rPr>
                <w:sz w:val="14"/>
              </w:rPr>
              <w:t>Preserves relief-oriented flow balance.</w:t>
            </w:r>
          </w:p>
        </w:tc>
      </w:tr>
      <w:tr w:rsidR="003D1DEF" w14:paraId="24E51728" w14:textId="77777777">
        <w:trPr>
          <w:jc w:val="center"/>
        </w:trPr>
        <w:tc>
          <w:tcPr>
            <w:tcW w:w="864" w:type="dxa"/>
            <w:shd w:val="clear" w:color="auto" w:fill="F7FAFC"/>
            <w:tcMar>
              <w:top w:w="80" w:type="dxa"/>
              <w:left w:w="80" w:type="dxa"/>
              <w:bottom w:w="80" w:type="dxa"/>
              <w:right w:w="80" w:type="dxa"/>
            </w:tcMar>
            <w:vAlign w:val="center"/>
          </w:tcPr>
          <w:p w14:paraId="76CEA60F" w14:textId="77777777" w:rsidR="003D1DEF" w:rsidRDefault="00000000">
            <w:r>
              <w:rPr>
                <w:sz w:val="14"/>
              </w:rPr>
              <w:t>High</w:t>
            </w:r>
          </w:p>
        </w:tc>
        <w:tc>
          <w:tcPr>
            <w:tcW w:w="2592" w:type="dxa"/>
            <w:shd w:val="clear" w:color="auto" w:fill="F7FAFC"/>
            <w:tcMar>
              <w:top w:w="80" w:type="dxa"/>
              <w:left w:w="80" w:type="dxa"/>
              <w:bottom w:w="80" w:type="dxa"/>
              <w:right w:w="80" w:type="dxa"/>
            </w:tcMar>
            <w:vAlign w:val="center"/>
          </w:tcPr>
          <w:p w14:paraId="70C59178" w14:textId="77777777" w:rsidR="003D1DEF" w:rsidRDefault="00000000">
            <w:r>
              <w:rPr>
                <w:sz w:val="14"/>
              </w:rPr>
              <w:t>Daily Strain Pressure is the leading driver.</w:t>
            </w:r>
          </w:p>
        </w:tc>
        <w:tc>
          <w:tcPr>
            <w:tcW w:w="3024" w:type="dxa"/>
            <w:shd w:val="clear" w:color="auto" w:fill="F7FAFC"/>
            <w:tcMar>
              <w:top w:w="80" w:type="dxa"/>
              <w:left w:w="80" w:type="dxa"/>
              <w:bottom w:w="80" w:type="dxa"/>
              <w:right w:w="80" w:type="dxa"/>
            </w:tcMar>
            <w:vAlign w:val="center"/>
          </w:tcPr>
          <w:p w14:paraId="666AAAE4" w14:textId="77777777" w:rsidR="003D1DEF" w:rsidRDefault="00000000">
            <w:r>
              <w:rPr>
                <w:sz w:val="14"/>
              </w:rPr>
              <w:t>Monitor sustained daily strain rather than focusing only on sudden spikes.</w:t>
            </w:r>
          </w:p>
        </w:tc>
        <w:tc>
          <w:tcPr>
            <w:tcW w:w="2016" w:type="dxa"/>
            <w:shd w:val="clear" w:color="auto" w:fill="F7FAFC"/>
            <w:tcMar>
              <w:top w:w="80" w:type="dxa"/>
              <w:left w:w="80" w:type="dxa"/>
              <w:bottom w:w="80" w:type="dxa"/>
              <w:right w:w="80" w:type="dxa"/>
            </w:tcMar>
            <w:vAlign w:val="center"/>
          </w:tcPr>
          <w:p w14:paraId="252AE83D" w14:textId="77777777" w:rsidR="003D1DEF" w:rsidRDefault="00000000">
            <w:r>
              <w:rPr>
                <w:sz w:val="14"/>
              </w:rPr>
              <w:t>Operations leadership</w:t>
            </w:r>
          </w:p>
        </w:tc>
        <w:tc>
          <w:tcPr>
            <w:tcW w:w="2160" w:type="dxa"/>
            <w:shd w:val="clear" w:color="auto" w:fill="F7FAFC"/>
            <w:tcMar>
              <w:top w:w="80" w:type="dxa"/>
              <w:left w:w="80" w:type="dxa"/>
              <w:bottom w:w="80" w:type="dxa"/>
              <w:right w:w="80" w:type="dxa"/>
            </w:tcMar>
            <w:vAlign w:val="center"/>
          </w:tcPr>
          <w:p w14:paraId="7A1C25DA" w14:textId="77777777" w:rsidR="003D1DEF" w:rsidRDefault="00000000">
            <w:r>
              <w:rPr>
                <w:sz w:val="14"/>
              </w:rPr>
              <w:t>Improves day-to-day readiness and workload planning.</w:t>
            </w:r>
          </w:p>
        </w:tc>
      </w:tr>
      <w:tr w:rsidR="003D1DEF" w14:paraId="0543D058" w14:textId="77777777">
        <w:trPr>
          <w:jc w:val="center"/>
        </w:trPr>
        <w:tc>
          <w:tcPr>
            <w:tcW w:w="864" w:type="dxa"/>
            <w:shd w:val="clear" w:color="auto" w:fill="FFFFFF"/>
            <w:tcMar>
              <w:top w:w="80" w:type="dxa"/>
              <w:left w:w="80" w:type="dxa"/>
              <w:bottom w:w="80" w:type="dxa"/>
              <w:right w:w="80" w:type="dxa"/>
            </w:tcMar>
            <w:vAlign w:val="center"/>
          </w:tcPr>
          <w:p w14:paraId="03B60FDC" w14:textId="77777777" w:rsidR="003D1DEF" w:rsidRDefault="00000000">
            <w:r>
              <w:rPr>
                <w:sz w:val="14"/>
              </w:rPr>
              <w:t>Medium</w:t>
            </w:r>
          </w:p>
        </w:tc>
        <w:tc>
          <w:tcPr>
            <w:tcW w:w="2592" w:type="dxa"/>
            <w:shd w:val="clear" w:color="auto" w:fill="FFFFFF"/>
            <w:tcMar>
              <w:top w:w="80" w:type="dxa"/>
              <w:left w:w="80" w:type="dxa"/>
              <w:bottom w:w="80" w:type="dxa"/>
              <w:right w:w="80" w:type="dxa"/>
            </w:tcMar>
            <w:vAlign w:val="center"/>
          </w:tcPr>
          <w:p w14:paraId="7A8B127B" w14:textId="77777777" w:rsidR="003D1DEF" w:rsidRDefault="00000000">
            <w:r>
              <w:rPr>
                <w:sz w:val="14"/>
              </w:rPr>
              <w:t>Backlog Pressure is 33.1% and longest pressure streak is 12.</w:t>
            </w:r>
          </w:p>
        </w:tc>
        <w:tc>
          <w:tcPr>
            <w:tcW w:w="3024" w:type="dxa"/>
            <w:shd w:val="clear" w:color="auto" w:fill="FFFFFF"/>
            <w:tcMar>
              <w:top w:w="80" w:type="dxa"/>
              <w:left w:w="80" w:type="dxa"/>
              <w:bottom w:w="80" w:type="dxa"/>
              <w:right w:w="80" w:type="dxa"/>
            </w:tcMar>
            <w:vAlign w:val="center"/>
          </w:tcPr>
          <w:p w14:paraId="4450F54A" w14:textId="77777777" w:rsidR="003D1DEF" w:rsidRDefault="00000000">
            <w:r>
              <w:rPr>
                <w:sz w:val="14"/>
              </w:rPr>
              <w:t>Create a recurring backlog pressure and positive-intake streak review.</w:t>
            </w:r>
          </w:p>
        </w:tc>
        <w:tc>
          <w:tcPr>
            <w:tcW w:w="2016" w:type="dxa"/>
            <w:shd w:val="clear" w:color="auto" w:fill="FFFFFF"/>
            <w:tcMar>
              <w:top w:w="80" w:type="dxa"/>
              <w:left w:w="80" w:type="dxa"/>
              <w:bottom w:w="80" w:type="dxa"/>
              <w:right w:w="80" w:type="dxa"/>
            </w:tcMar>
            <w:vAlign w:val="center"/>
          </w:tcPr>
          <w:p w14:paraId="70DEF46B" w14:textId="77777777" w:rsidR="003D1DEF" w:rsidRDefault="00000000">
            <w:r>
              <w:rPr>
                <w:sz w:val="14"/>
              </w:rPr>
              <w:t>Analytics and policy teams</w:t>
            </w:r>
          </w:p>
        </w:tc>
        <w:tc>
          <w:tcPr>
            <w:tcW w:w="2160" w:type="dxa"/>
            <w:shd w:val="clear" w:color="auto" w:fill="FFFFFF"/>
            <w:tcMar>
              <w:top w:w="80" w:type="dxa"/>
              <w:left w:w="80" w:type="dxa"/>
              <w:bottom w:w="80" w:type="dxa"/>
              <w:right w:w="80" w:type="dxa"/>
            </w:tcMar>
            <w:vAlign w:val="center"/>
          </w:tcPr>
          <w:p w14:paraId="34539339" w14:textId="77777777" w:rsidR="003D1DEF" w:rsidRDefault="00000000">
            <w:r>
              <w:rPr>
                <w:sz w:val="14"/>
              </w:rPr>
              <w:t>Detects pressure accumulation before it becomes severe.</w:t>
            </w:r>
          </w:p>
        </w:tc>
      </w:tr>
      <w:tr w:rsidR="003D1DEF" w14:paraId="59BFB2CD" w14:textId="77777777">
        <w:trPr>
          <w:jc w:val="center"/>
        </w:trPr>
        <w:tc>
          <w:tcPr>
            <w:tcW w:w="864" w:type="dxa"/>
            <w:shd w:val="clear" w:color="auto" w:fill="F7FAFC"/>
            <w:tcMar>
              <w:top w:w="80" w:type="dxa"/>
              <w:left w:w="80" w:type="dxa"/>
              <w:bottom w:w="80" w:type="dxa"/>
              <w:right w:w="80" w:type="dxa"/>
            </w:tcMar>
            <w:vAlign w:val="center"/>
          </w:tcPr>
          <w:p w14:paraId="159C8342" w14:textId="77777777" w:rsidR="003D1DEF" w:rsidRDefault="00000000">
            <w:r>
              <w:rPr>
                <w:sz w:val="14"/>
              </w:rPr>
              <w:t>Medium</w:t>
            </w:r>
          </w:p>
        </w:tc>
        <w:tc>
          <w:tcPr>
            <w:tcW w:w="2592" w:type="dxa"/>
            <w:shd w:val="clear" w:color="auto" w:fill="F7FAFC"/>
            <w:tcMar>
              <w:top w:w="80" w:type="dxa"/>
              <w:left w:w="80" w:type="dxa"/>
              <w:bottom w:w="80" w:type="dxa"/>
              <w:right w:w="80" w:type="dxa"/>
            </w:tcMar>
            <w:vAlign w:val="center"/>
          </w:tcPr>
          <w:p w14:paraId="306432CD" w14:textId="77777777" w:rsidR="003D1DEF" w:rsidRDefault="00000000">
            <w:r>
              <w:rPr>
                <w:sz w:val="14"/>
              </w:rPr>
              <w:t>Current load is 21.3% of peak but peak history is 11,762.</w:t>
            </w:r>
          </w:p>
        </w:tc>
        <w:tc>
          <w:tcPr>
            <w:tcW w:w="3024" w:type="dxa"/>
            <w:shd w:val="clear" w:color="auto" w:fill="F7FAFC"/>
            <w:tcMar>
              <w:top w:w="80" w:type="dxa"/>
              <w:left w:w="80" w:type="dxa"/>
              <w:bottom w:w="80" w:type="dxa"/>
              <w:right w:w="80" w:type="dxa"/>
            </w:tcMar>
            <w:vAlign w:val="center"/>
          </w:tcPr>
          <w:p w14:paraId="0EFDA251" w14:textId="77777777" w:rsidR="003D1DEF" w:rsidRDefault="00000000">
            <w:r>
              <w:rPr>
                <w:sz w:val="14"/>
              </w:rPr>
              <w:t>Maintain surge-readiness assumptions despite current relief.</w:t>
            </w:r>
          </w:p>
        </w:tc>
        <w:tc>
          <w:tcPr>
            <w:tcW w:w="2016" w:type="dxa"/>
            <w:shd w:val="clear" w:color="auto" w:fill="F7FAFC"/>
            <w:tcMar>
              <w:top w:w="80" w:type="dxa"/>
              <w:left w:w="80" w:type="dxa"/>
              <w:bottom w:w="80" w:type="dxa"/>
              <w:right w:w="80" w:type="dxa"/>
            </w:tcMar>
            <w:vAlign w:val="center"/>
          </w:tcPr>
          <w:p w14:paraId="3348A79D" w14:textId="77777777" w:rsidR="003D1DEF" w:rsidRDefault="00000000">
            <w:r>
              <w:rPr>
                <w:sz w:val="14"/>
              </w:rPr>
              <w:t>Capacity planners</w:t>
            </w:r>
          </w:p>
        </w:tc>
        <w:tc>
          <w:tcPr>
            <w:tcW w:w="2160" w:type="dxa"/>
            <w:shd w:val="clear" w:color="auto" w:fill="F7FAFC"/>
            <w:tcMar>
              <w:top w:w="80" w:type="dxa"/>
              <w:left w:w="80" w:type="dxa"/>
              <w:bottom w:w="80" w:type="dxa"/>
              <w:right w:w="80" w:type="dxa"/>
            </w:tcMar>
            <w:vAlign w:val="center"/>
          </w:tcPr>
          <w:p w14:paraId="0552EFA1" w14:textId="77777777" w:rsidR="003D1DEF" w:rsidRDefault="00000000">
            <w:r>
              <w:rPr>
                <w:sz w:val="14"/>
              </w:rPr>
              <w:t>Prevents overconfidence when latest load is low.</w:t>
            </w:r>
          </w:p>
        </w:tc>
      </w:tr>
      <w:tr w:rsidR="003D1DEF" w14:paraId="30549EC6" w14:textId="77777777">
        <w:trPr>
          <w:jc w:val="center"/>
        </w:trPr>
        <w:tc>
          <w:tcPr>
            <w:tcW w:w="864" w:type="dxa"/>
            <w:shd w:val="clear" w:color="auto" w:fill="FFFFFF"/>
            <w:tcMar>
              <w:top w:w="80" w:type="dxa"/>
              <w:left w:w="80" w:type="dxa"/>
              <w:bottom w:w="80" w:type="dxa"/>
              <w:right w:w="80" w:type="dxa"/>
            </w:tcMar>
            <w:vAlign w:val="center"/>
          </w:tcPr>
          <w:p w14:paraId="2A3B4EF8" w14:textId="77777777" w:rsidR="003D1DEF" w:rsidRDefault="00000000">
            <w:r>
              <w:rPr>
                <w:sz w:val="14"/>
              </w:rPr>
              <w:t>Medium</w:t>
            </w:r>
          </w:p>
        </w:tc>
        <w:tc>
          <w:tcPr>
            <w:tcW w:w="2592" w:type="dxa"/>
            <w:shd w:val="clear" w:color="auto" w:fill="FFFFFF"/>
            <w:tcMar>
              <w:top w:w="80" w:type="dxa"/>
              <w:left w:w="80" w:type="dxa"/>
              <w:bottom w:w="80" w:type="dxa"/>
              <w:right w:w="80" w:type="dxa"/>
            </w:tcMar>
            <w:vAlign w:val="center"/>
          </w:tcPr>
          <w:p w14:paraId="40515A88" w14:textId="77777777" w:rsidR="003D1DEF" w:rsidRDefault="00000000">
            <w:r>
              <w:rPr>
                <w:sz w:val="14"/>
              </w:rPr>
              <w:t>KPI health is 88.8/100 with Total Children Under Care as weakest KPI.</w:t>
            </w:r>
          </w:p>
        </w:tc>
        <w:tc>
          <w:tcPr>
            <w:tcW w:w="3024" w:type="dxa"/>
            <w:shd w:val="clear" w:color="auto" w:fill="FFFFFF"/>
            <w:tcMar>
              <w:top w:w="80" w:type="dxa"/>
              <w:left w:w="80" w:type="dxa"/>
              <w:bottom w:w="80" w:type="dxa"/>
              <w:right w:w="80" w:type="dxa"/>
            </w:tcMar>
            <w:vAlign w:val="center"/>
          </w:tcPr>
          <w:p w14:paraId="0C0AF677" w14:textId="77777777" w:rsidR="003D1DEF" w:rsidRDefault="00000000">
            <w:r>
              <w:rPr>
                <w:sz w:val="14"/>
              </w:rPr>
              <w:t>Use monthly KPI governance to track movement in all five KPIs.</w:t>
            </w:r>
          </w:p>
        </w:tc>
        <w:tc>
          <w:tcPr>
            <w:tcW w:w="2016" w:type="dxa"/>
            <w:shd w:val="clear" w:color="auto" w:fill="FFFFFF"/>
            <w:tcMar>
              <w:top w:w="80" w:type="dxa"/>
              <w:left w:w="80" w:type="dxa"/>
              <w:bottom w:w="80" w:type="dxa"/>
              <w:right w:w="80" w:type="dxa"/>
            </w:tcMar>
            <w:vAlign w:val="center"/>
          </w:tcPr>
          <w:p w14:paraId="1B9DEBA7" w14:textId="77777777" w:rsidR="003D1DEF" w:rsidRDefault="00000000">
            <w:r>
              <w:rPr>
                <w:sz w:val="14"/>
              </w:rPr>
              <w:t>Program leadership</w:t>
            </w:r>
          </w:p>
        </w:tc>
        <w:tc>
          <w:tcPr>
            <w:tcW w:w="2160" w:type="dxa"/>
            <w:shd w:val="clear" w:color="auto" w:fill="FFFFFF"/>
            <w:tcMar>
              <w:top w:w="80" w:type="dxa"/>
              <w:left w:w="80" w:type="dxa"/>
              <w:bottom w:w="80" w:type="dxa"/>
              <w:right w:w="80" w:type="dxa"/>
            </w:tcMar>
            <w:vAlign w:val="center"/>
          </w:tcPr>
          <w:p w14:paraId="146636E5" w14:textId="77777777" w:rsidR="003D1DEF" w:rsidRDefault="00000000">
            <w:r>
              <w:rPr>
                <w:sz w:val="14"/>
              </w:rPr>
              <w:t>Builds repeatable decision discipline.</w:t>
            </w:r>
          </w:p>
        </w:tc>
      </w:tr>
    </w:tbl>
    <w:p w14:paraId="395BD285" w14:textId="77777777" w:rsidR="003D1DEF" w:rsidRDefault="003D1DEF"/>
    <w:p w14:paraId="12A801D3" w14:textId="77777777" w:rsidR="003D1DEF" w:rsidRDefault="00000000">
      <w:pPr>
        <w:pStyle w:val="Heading2"/>
        <w:spacing w:before="160" w:after="80"/>
      </w:pPr>
      <w:r>
        <w:rPr>
          <w:rFonts w:ascii="Calibri" w:hAnsi="Calibri"/>
          <w:color w:val="0F766E"/>
        </w:rPr>
        <w:t>90-Day Implementation Roadmap</w:t>
      </w:r>
    </w:p>
    <w:tbl>
      <w:tblPr>
        <w:tblStyle w:val="TableGrid"/>
        <w:tblW w:w="0" w:type="auto"/>
        <w:jc w:val="center"/>
        <w:tblLook w:val="04A0" w:firstRow="1" w:lastRow="0" w:firstColumn="1" w:lastColumn="0" w:noHBand="0" w:noVBand="1"/>
      </w:tblPr>
      <w:tblGrid>
        <w:gridCol w:w="1728"/>
        <w:gridCol w:w="4896"/>
        <w:gridCol w:w="3168"/>
      </w:tblGrid>
      <w:tr w:rsidR="003D1DEF" w14:paraId="6EE1D30F" w14:textId="77777777">
        <w:trPr>
          <w:tblHeader/>
          <w:jc w:val="center"/>
        </w:trPr>
        <w:tc>
          <w:tcPr>
            <w:tcW w:w="1728" w:type="dxa"/>
            <w:shd w:val="clear" w:color="auto" w:fill="0B3D5C"/>
            <w:tcMar>
              <w:top w:w="80" w:type="dxa"/>
              <w:left w:w="80" w:type="dxa"/>
              <w:bottom w:w="80" w:type="dxa"/>
              <w:right w:w="80" w:type="dxa"/>
            </w:tcMar>
            <w:vAlign w:val="center"/>
          </w:tcPr>
          <w:p w14:paraId="525AB665" w14:textId="77777777" w:rsidR="003D1DEF" w:rsidRDefault="00000000">
            <w:r>
              <w:rPr>
                <w:b/>
                <w:color w:val="FFFFFF"/>
                <w:sz w:val="17"/>
              </w:rPr>
              <w:t>Timeline</w:t>
            </w:r>
          </w:p>
        </w:tc>
        <w:tc>
          <w:tcPr>
            <w:tcW w:w="4896" w:type="dxa"/>
            <w:shd w:val="clear" w:color="auto" w:fill="0B3D5C"/>
            <w:tcMar>
              <w:top w:w="80" w:type="dxa"/>
              <w:left w:w="80" w:type="dxa"/>
              <w:bottom w:w="80" w:type="dxa"/>
              <w:right w:w="80" w:type="dxa"/>
            </w:tcMar>
            <w:vAlign w:val="center"/>
          </w:tcPr>
          <w:p w14:paraId="7D142A1D" w14:textId="77777777" w:rsidR="003D1DEF" w:rsidRDefault="00000000">
            <w:r>
              <w:rPr>
                <w:b/>
                <w:color w:val="FFFFFF"/>
                <w:sz w:val="17"/>
              </w:rPr>
              <w:t>Action Focus</w:t>
            </w:r>
          </w:p>
        </w:tc>
        <w:tc>
          <w:tcPr>
            <w:tcW w:w="3168" w:type="dxa"/>
            <w:shd w:val="clear" w:color="auto" w:fill="0B3D5C"/>
            <w:tcMar>
              <w:top w:w="80" w:type="dxa"/>
              <w:left w:w="80" w:type="dxa"/>
              <w:bottom w:w="80" w:type="dxa"/>
              <w:right w:w="80" w:type="dxa"/>
            </w:tcMar>
            <w:vAlign w:val="center"/>
          </w:tcPr>
          <w:p w14:paraId="09A08A2F" w14:textId="77777777" w:rsidR="003D1DEF" w:rsidRDefault="00000000">
            <w:r>
              <w:rPr>
                <w:b/>
                <w:color w:val="FFFFFF"/>
                <w:sz w:val="17"/>
              </w:rPr>
              <w:t>Expected Output</w:t>
            </w:r>
          </w:p>
        </w:tc>
      </w:tr>
      <w:tr w:rsidR="003D1DEF" w14:paraId="4BAAC22C" w14:textId="77777777">
        <w:trPr>
          <w:jc w:val="center"/>
        </w:trPr>
        <w:tc>
          <w:tcPr>
            <w:tcW w:w="1728" w:type="dxa"/>
            <w:shd w:val="clear" w:color="auto" w:fill="F7FAFC"/>
            <w:tcMar>
              <w:top w:w="80" w:type="dxa"/>
              <w:left w:w="80" w:type="dxa"/>
              <w:bottom w:w="80" w:type="dxa"/>
              <w:right w:w="80" w:type="dxa"/>
            </w:tcMar>
            <w:vAlign w:val="center"/>
          </w:tcPr>
          <w:p w14:paraId="686AEA2C" w14:textId="77777777" w:rsidR="003D1DEF" w:rsidRDefault="00000000">
            <w:r>
              <w:rPr>
                <w:sz w:val="17"/>
              </w:rPr>
              <w:t>Days 1-30</w:t>
            </w:r>
          </w:p>
        </w:tc>
        <w:tc>
          <w:tcPr>
            <w:tcW w:w="4896" w:type="dxa"/>
            <w:shd w:val="clear" w:color="auto" w:fill="F7FAFC"/>
            <w:tcMar>
              <w:top w:w="80" w:type="dxa"/>
              <w:left w:w="80" w:type="dxa"/>
              <w:bottom w:w="80" w:type="dxa"/>
              <w:right w:w="80" w:type="dxa"/>
            </w:tcMar>
            <w:vAlign w:val="center"/>
          </w:tcPr>
          <w:p w14:paraId="68A68069" w14:textId="77777777" w:rsidR="003D1DEF" w:rsidRDefault="00000000">
            <w:r>
              <w:rPr>
                <w:sz w:val="17"/>
              </w:rPr>
              <w:t>Validate KPI dictionary, dataset version, dashboard version, and metric formulas.</w:t>
            </w:r>
          </w:p>
        </w:tc>
        <w:tc>
          <w:tcPr>
            <w:tcW w:w="3168" w:type="dxa"/>
            <w:shd w:val="clear" w:color="auto" w:fill="F7FAFC"/>
            <w:tcMar>
              <w:top w:w="80" w:type="dxa"/>
              <w:left w:w="80" w:type="dxa"/>
              <w:bottom w:w="80" w:type="dxa"/>
              <w:right w:w="80" w:type="dxa"/>
            </w:tcMar>
            <w:vAlign w:val="center"/>
          </w:tcPr>
          <w:p w14:paraId="56992199" w14:textId="77777777" w:rsidR="003D1DEF" w:rsidRDefault="00000000">
            <w:r>
              <w:rPr>
                <w:sz w:val="17"/>
              </w:rPr>
              <w:t>Approved measurement dictionary and reproducible evidence base.</w:t>
            </w:r>
          </w:p>
        </w:tc>
      </w:tr>
      <w:tr w:rsidR="003D1DEF" w14:paraId="386FC1AC" w14:textId="77777777">
        <w:trPr>
          <w:jc w:val="center"/>
        </w:trPr>
        <w:tc>
          <w:tcPr>
            <w:tcW w:w="1728" w:type="dxa"/>
            <w:shd w:val="clear" w:color="auto" w:fill="FFFFFF"/>
            <w:tcMar>
              <w:top w:w="80" w:type="dxa"/>
              <w:left w:w="80" w:type="dxa"/>
              <w:bottom w:w="80" w:type="dxa"/>
              <w:right w:w="80" w:type="dxa"/>
            </w:tcMar>
            <w:vAlign w:val="center"/>
          </w:tcPr>
          <w:p w14:paraId="70E7F8C9" w14:textId="77777777" w:rsidR="003D1DEF" w:rsidRDefault="00000000">
            <w:r>
              <w:rPr>
                <w:sz w:val="17"/>
              </w:rPr>
              <w:t>Days 31-60</w:t>
            </w:r>
          </w:p>
        </w:tc>
        <w:tc>
          <w:tcPr>
            <w:tcW w:w="4896" w:type="dxa"/>
            <w:shd w:val="clear" w:color="auto" w:fill="FFFFFF"/>
            <w:tcMar>
              <w:top w:w="80" w:type="dxa"/>
              <w:left w:w="80" w:type="dxa"/>
              <w:bottom w:w="80" w:type="dxa"/>
              <w:right w:w="80" w:type="dxa"/>
            </w:tcMar>
            <w:vAlign w:val="center"/>
          </w:tcPr>
          <w:p w14:paraId="0E4018F4" w14:textId="77777777" w:rsidR="003D1DEF" w:rsidRDefault="00000000">
            <w:r>
              <w:rPr>
                <w:sz w:val="17"/>
              </w:rPr>
              <w:t>Launch recurring review of HHS load concentration, discharge offset, and pressure-period share.</w:t>
            </w:r>
          </w:p>
        </w:tc>
        <w:tc>
          <w:tcPr>
            <w:tcW w:w="3168" w:type="dxa"/>
            <w:shd w:val="clear" w:color="auto" w:fill="FFFFFF"/>
            <w:tcMar>
              <w:top w:w="80" w:type="dxa"/>
              <w:left w:w="80" w:type="dxa"/>
              <w:bottom w:w="80" w:type="dxa"/>
              <w:right w:w="80" w:type="dxa"/>
            </w:tcMar>
            <w:vAlign w:val="center"/>
          </w:tcPr>
          <w:p w14:paraId="4C0A0BB3" w14:textId="77777777" w:rsidR="003D1DEF" w:rsidRDefault="00000000">
            <w:r>
              <w:rPr>
                <w:sz w:val="17"/>
              </w:rPr>
              <w:t>Operational review cadence and early warning checklist.</w:t>
            </w:r>
          </w:p>
        </w:tc>
      </w:tr>
      <w:tr w:rsidR="003D1DEF" w14:paraId="653AC151" w14:textId="77777777">
        <w:trPr>
          <w:jc w:val="center"/>
        </w:trPr>
        <w:tc>
          <w:tcPr>
            <w:tcW w:w="1728" w:type="dxa"/>
            <w:shd w:val="clear" w:color="auto" w:fill="F7FAFC"/>
            <w:tcMar>
              <w:top w:w="80" w:type="dxa"/>
              <w:left w:w="80" w:type="dxa"/>
              <w:bottom w:w="80" w:type="dxa"/>
              <w:right w:w="80" w:type="dxa"/>
            </w:tcMar>
            <w:vAlign w:val="center"/>
          </w:tcPr>
          <w:p w14:paraId="3265AFB0" w14:textId="77777777" w:rsidR="003D1DEF" w:rsidRDefault="00000000">
            <w:r>
              <w:rPr>
                <w:sz w:val="17"/>
              </w:rPr>
              <w:t>Days 61-90</w:t>
            </w:r>
          </w:p>
        </w:tc>
        <w:tc>
          <w:tcPr>
            <w:tcW w:w="4896" w:type="dxa"/>
            <w:shd w:val="clear" w:color="auto" w:fill="F7FAFC"/>
            <w:tcMar>
              <w:top w:w="80" w:type="dxa"/>
              <w:left w:w="80" w:type="dxa"/>
              <w:bottom w:w="80" w:type="dxa"/>
              <w:right w:w="80" w:type="dxa"/>
            </w:tcMar>
            <w:vAlign w:val="center"/>
          </w:tcPr>
          <w:p w14:paraId="0211C25E" w14:textId="77777777" w:rsidR="003D1DEF" w:rsidRDefault="00000000">
            <w:r>
              <w:rPr>
                <w:sz w:val="17"/>
              </w:rPr>
              <w:t>Integrate pressure driver analysis and backlog severity review into planning meetings.</w:t>
            </w:r>
          </w:p>
        </w:tc>
        <w:tc>
          <w:tcPr>
            <w:tcW w:w="3168" w:type="dxa"/>
            <w:shd w:val="clear" w:color="auto" w:fill="F7FAFC"/>
            <w:tcMar>
              <w:top w:w="80" w:type="dxa"/>
              <w:left w:w="80" w:type="dxa"/>
              <w:bottom w:w="80" w:type="dxa"/>
              <w:right w:w="80" w:type="dxa"/>
            </w:tcMar>
            <w:vAlign w:val="center"/>
          </w:tcPr>
          <w:p w14:paraId="7E5A31F0" w14:textId="77777777" w:rsidR="003D1DEF" w:rsidRDefault="00000000">
            <w:r>
              <w:rPr>
                <w:sz w:val="17"/>
              </w:rPr>
              <w:t>Capacity action register and strain-monitoring workflow.</w:t>
            </w:r>
          </w:p>
        </w:tc>
      </w:tr>
    </w:tbl>
    <w:p w14:paraId="1A173E62" w14:textId="77777777" w:rsidR="003D1DEF" w:rsidRDefault="003D1DEF"/>
    <w:tbl>
      <w:tblPr>
        <w:tblStyle w:val="TableGrid"/>
        <w:tblW w:w="0" w:type="auto"/>
        <w:tblLook w:val="04A0" w:firstRow="1" w:lastRow="0" w:firstColumn="1" w:lastColumn="0" w:noHBand="0" w:noVBand="1"/>
      </w:tblPr>
      <w:tblGrid>
        <w:gridCol w:w="10037"/>
      </w:tblGrid>
      <w:tr w:rsidR="003D1DEF" w14:paraId="70E0E0A9" w14:textId="77777777">
        <w:trPr>
          <w:tblHeader/>
        </w:trPr>
        <w:tc>
          <w:tcPr>
            <w:tcW w:w="10037" w:type="dxa"/>
            <w:shd w:val="clear" w:color="auto" w:fill="EAF8F6"/>
            <w:tcMar>
              <w:top w:w="120" w:type="dxa"/>
              <w:left w:w="120" w:type="dxa"/>
              <w:bottom w:w="120" w:type="dxa"/>
              <w:right w:w="120" w:type="dxa"/>
            </w:tcMar>
          </w:tcPr>
          <w:p w14:paraId="08C0F60B" w14:textId="77777777" w:rsidR="003D1DEF" w:rsidRDefault="00000000">
            <w:r>
              <w:rPr>
                <w:b/>
                <w:color w:val="0F766E"/>
                <w:sz w:val="20"/>
              </w:rPr>
              <w:t>Recommendation Logic</w:t>
            </w:r>
          </w:p>
          <w:p w14:paraId="6DABBF90" w14:textId="77777777" w:rsidR="003D1DEF" w:rsidRDefault="00000000">
            <w:r>
              <w:rPr>
                <w:sz w:val="20"/>
              </w:rPr>
              <w:t>The recommended response is not to reduce monitoring because the latest view is healthy. The recommended response is to institutionalize monitoring while the flow balance is favorable, so the system can detect pressure changes early and protect discharge throughput.</w:t>
            </w:r>
          </w:p>
        </w:tc>
      </w:tr>
    </w:tbl>
    <w:p w14:paraId="7E179C37" w14:textId="77777777" w:rsidR="003D1DEF" w:rsidRDefault="003D1DEF"/>
    <w:p w14:paraId="6AD0EEAD" w14:textId="77777777" w:rsidR="003D1DEF" w:rsidRDefault="00000000">
      <w:r>
        <w:br w:type="page"/>
      </w:r>
    </w:p>
    <w:p w14:paraId="6C61570F" w14:textId="77777777" w:rsidR="003D1DEF" w:rsidRDefault="00000000">
      <w:pPr>
        <w:pStyle w:val="Heading1"/>
        <w:spacing w:after="200"/>
      </w:pPr>
      <w:r>
        <w:rPr>
          <w:rFonts w:ascii="Calibri" w:hAnsi="Calibri"/>
          <w:color w:val="0B1F3A"/>
          <w:sz w:val="36"/>
        </w:rPr>
        <w:lastRenderedPageBreak/>
        <w:t>14. Dashboard Implementation</w:t>
      </w:r>
    </w:p>
    <w:p w14:paraId="6D55D029" w14:textId="77777777" w:rsidR="003D1DEF" w:rsidRDefault="00000000">
      <w:pPr>
        <w:jc w:val="both"/>
      </w:pPr>
      <w:r>
        <w:t>The dashboard is implemented as a Streamlit application with a wide-layout design, Plotly visualizations, processed CSV data inputs, canonical column mapping, KPI calculation, date filtering, time-granularity aggregation, and metric-toggle exploration. The app converts processed datasets into four executive modules that align with the project requirements.</w:t>
      </w:r>
    </w:p>
    <w:tbl>
      <w:tblPr>
        <w:tblStyle w:val="TableGrid"/>
        <w:tblW w:w="0" w:type="auto"/>
        <w:jc w:val="center"/>
        <w:tblLook w:val="04A0" w:firstRow="1" w:lastRow="0" w:firstColumn="1" w:lastColumn="0" w:noHBand="0" w:noVBand="1"/>
      </w:tblPr>
      <w:tblGrid>
        <w:gridCol w:w="2304"/>
        <w:gridCol w:w="3888"/>
        <w:gridCol w:w="3456"/>
      </w:tblGrid>
      <w:tr w:rsidR="003D1DEF" w14:paraId="1061F47A" w14:textId="77777777">
        <w:trPr>
          <w:tblHeader/>
          <w:jc w:val="center"/>
        </w:trPr>
        <w:tc>
          <w:tcPr>
            <w:tcW w:w="2304" w:type="dxa"/>
            <w:shd w:val="clear" w:color="auto" w:fill="0B3D5C"/>
            <w:tcMar>
              <w:top w:w="80" w:type="dxa"/>
              <w:left w:w="80" w:type="dxa"/>
              <w:bottom w:w="80" w:type="dxa"/>
              <w:right w:w="80" w:type="dxa"/>
            </w:tcMar>
            <w:vAlign w:val="center"/>
          </w:tcPr>
          <w:p w14:paraId="101F9C86" w14:textId="77777777" w:rsidR="003D1DEF" w:rsidRDefault="00000000">
            <w:r>
              <w:rPr>
                <w:b/>
                <w:color w:val="FFFFFF"/>
                <w:sz w:val="16"/>
              </w:rPr>
              <w:t>Dashboard Component</w:t>
            </w:r>
          </w:p>
        </w:tc>
        <w:tc>
          <w:tcPr>
            <w:tcW w:w="3888" w:type="dxa"/>
            <w:shd w:val="clear" w:color="auto" w:fill="0B3D5C"/>
            <w:tcMar>
              <w:top w:w="80" w:type="dxa"/>
              <w:left w:w="80" w:type="dxa"/>
              <w:bottom w:w="80" w:type="dxa"/>
              <w:right w:w="80" w:type="dxa"/>
            </w:tcMar>
            <w:vAlign w:val="center"/>
          </w:tcPr>
          <w:p w14:paraId="27C47C40" w14:textId="77777777" w:rsidR="003D1DEF" w:rsidRDefault="00000000">
            <w:r>
              <w:rPr>
                <w:b/>
                <w:color w:val="FFFFFF"/>
                <w:sz w:val="16"/>
              </w:rPr>
              <w:t>Implementation Role</w:t>
            </w:r>
          </w:p>
        </w:tc>
        <w:tc>
          <w:tcPr>
            <w:tcW w:w="3456" w:type="dxa"/>
            <w:shd w:val="clear" w:color="auto" w:fill="0B3D5C"/>
            <w:tcMar>
              <w:top w:w="80" w:type="dxa"/>
              <w:left w:w="80" w:type="dxa"/>
              <w:bottom w:w="80" w:type="dxa"/>
              <w:right w:w="80" w:type="dxa"/>
            </w:tcMar>
            <w:vAlign w:val="center"/>
          </w:tcPr>
          <w:p w14:paraId="37DF663D" w14:textId="77777777" w:rsidR="003D1DEF" w:rsidRDefault="00000000">
            <w:r>
              <w:rPr>
                <w:b/>
                <w:color w:val="FFFFFF"/>
                <w:sz w:val="16"/>
              </w:rPr>
              <w:t>Research Paper Evidence</w:t>
            </w:r>
          </w:p>
        </w:tc>
      </w:tr>
      <w:tr w:rsidR="003D1DEF" w14:paraId="51EBF0D5" w14:textId="77777777">
        <w:trPr>
          <w:jc w:val="center"/>
        </w:trPr>
        <w:tc>
          <w:tcPr>
            <w:tcW w:w="2304" w:type="dxa"/>
            <w:shd w:val="clear" w:color="auto" w:fill="F7FAFC"/>
            <w:tcMar>
              <w:top w:w="80" w:type="dxa"/>
              <w:left w:w="80" w:type="dxa"/>
              <w:bottom w:w="80" w:type="dxa"/>
              <w:right w:w="80" w:type="dxa"/>
            </w:tcMar>
            <w:vAlign w:val="center"/>
          </w:tcPr>
          <w:p w14:paraId="18EC9648" w14:textId="77777777" w:rsidR="003D1DEF" w:rsidRDefault="00000000">
            <w:r>
              <w:rPr>
                <w:sz w:val="16"/>
              </w:rPr>
              <w:t>KPI cards</w:t>
            </w:r>
          </w:p>
        </w:tc>
        <w:tc>
          <w:tcPr>
            <w:tcW w:w="3888" w:type="dxa"/>
            <w:shd w:val="clear" w:color="auto" w:fill="F7FAFC"/>
            <w:tcMar>
              <w:top w:w="80" w:type="dxa"/>
              <w:left w:w="80" w:type="dxa"/>
              <w:bottom w:w="80" w:type="dxa"/>
              <w:right w:w="80" w:type="dxa"/>
            </w:tcMar>
            <w:vAlign w:val="center"/>
          </w:tcPr>
          <w:p w14:paraId="474E1735" w14:textId="77777777" w:rsidR="003D1DEF" w:rsidRDefault="00000000">
            <w:r>
              <w:rPr>
                <w:sz w:val="16"/>
              </w:rPr>
              <w:t>Calculate and display the five guideline KPIs.</w:t>
            </w:r>
          </w:p>
        </w:tc>
        <w:tc>
          <w:tcPr>
            <w:tcW w:w="3456" w:type="dxa"/>
            <w:shd w:val="clear" w:color="auto" w:fill="F7FAFC"/>
            <w:tcMar>
              <w:top w:w="80" w:type="dxa"/>
              <w:left w:w="80" w:type="dxa"/>
              <w:bottom w:w="80" w:type="dxa"/>
              <w:right w:w="80" w:type="dxa"/>
            </w:tcMar>
            <w:vAlign w:val="center"/>
          </w:tcPr>
          <w:p w14:paraId="19DD17EF" w14:textId="77777777" w:rsidR="003D1DEF" w:rsidRDefault="00000000">
            <w:r>
              <w:rPr>
                <w:sz w:val="16"/>
              </w:rPr>
              <w:t>Figure 1 / KPI section.</w:t>
            </w:r>
          </w:p>
        </w:tc>
      </w:tr>
      <w:tr w:rsidR="003D1DEF" w14:paraId="3FE273E8" w14:textId="77777777">
        <w:trPr>
          <w:jc w:val="center"/>
        </w:trPr>
        <w:tc>
          <w:tcPr>
            <w:tcW w:w="2304" w:type="dxa"/>
            <w:shd w:val="clear" w:color="auto" w:fill="FFFFFF"/>
            <w:tcMar>
              <w:top w:w="80" w:type="dxa"/>
              <w:left w:w="80" w:type="dxa"/>
              <w:bottom w:w="80" w:type="dxa"/>
              <w:right w:w="80" w:type="dxa"/>
            </w:tcMar>
            <w:vAlign w:val="center"/>
          </w:tcPr>
          <w:p w14:paraId="63830061" w14:textId="77777777" w:rsidR="003D1DEF" w:rsidRDefault="00000000">
            <w:r>
              <w:rPr>
                <w:sz w:val="16"/>
              </w:rPr>
              <w:t>System Load Overview</w:t>
            </w:r>
          </w:p>
        </w:tc>
        <w:tc>
          <w:tcPr>
            <w:tcW w:w="3888" w:type="dxa"/>
            <w:shd w:val="clear" w:color="auto" w:fill="FFFFFF"/>
            <w:tcMar>
              <w:top w:w="80" w:type="dxa"/>
              <w:left w:w="80" w:type="dxa"/>
              <w:bottom w:w="80" w:type="dxa"/>
              <w:right w:w="80" w:type="dxa"/>
            </w:tcMar>
            <w:vAlign w:val="center"/>
          </w:tcPr>
          <w:p w14:paraId="33B283BF" w14:textId="77777777" w:rsidR="003D1DEF" w:rsidRDefault="00000000">
            <w:r>
              <w:rPr>
                <w:sz w:val="16"/>
              </w:rPr>
              <w:t>Summarizes load, peak context, rolling trend, flow offset, and dominant risk.</w:t>
            </w:r>
          </w:p>
        </w:tc>
        <w:tc>
          <w:tcPr>
            <w:tcW w:w="3456" w:type="dxa"/>
            <w:shd w:val="clear" w:color="auto" w:fill="FFFFFF"/>
            <w:tcMar>
              <w:top w:w="80" w:type="dxa"/>
              <w:left w:w="80" w:type="dxa"/>
              <w:bottom w:w="80" w:type="dxa"/>
              <w:right w:w="80" w:type="dxa"/>
            </w:tcMar>
            <w:vAlign w:val="center"/>
          </w:tcPr>
          <w:p w14:paraId="62750F8D" w14:textId="77777777" w:rsidR="003D1DEF" w:rsidRDefault="00000000">
            <w:r>
              <w:rPr>
                <w:sz w:val="16"/>
              </w:rPr>
              <w:t>Figures 2-5 and system load analysis.</w:t>
            </w:r>
          </w:p>
        </w:tc>
      </w:tr>
      <w:tr w:rsidR="003D1DEF" w14:paraId="317D186A" w14:textId="77777777">
        <w:trPr>
          <w:jc w:val="center"/>
        </w:trPr>
        <w:tc>
          <w:tcPr>
            <w:tcW w:w="2304" w:type="dxa"/>
            <w:shd w:val="clear" w:color="auto" w:fill="F7FAFC"/>
            <w:tcMar>
              <w:top w:w="80" w:type="dxa"/>
              <w:left w:w="80" w:type="dxa"/>
              <w:bottom w:w="80" w:type="dxa"/>
              <w:right w:w="80" w:type="dxa"/>
            </w:tcMar>
            <w:vAlign w:val="center"/>
          </w:tcPr>
          <w:p w14:paraId="6D856365" w14:textId="77777777" w:rsidR="003D1DEF" w:rsidRDefault="00000000">
            <w:r>
              <w:rPr>
                <w:sz w:val="16"/>
              </w:rPr>
              <w:t>Metric toggles</w:t>
            </w:r>
          </w:p>
        </w:tc>
        <w:tc>
          <w:tcPr>
            <w:tcW w:w="3888" w:type="dxa"/>
            <w:shd w:val="clear" w:color="auto" w:fill="F7FAFC"/>
            <w:tcMar>
              <w:top w:w="80" w:type="dxa"/>
              <w:left w:w="80" w:type="dxa"/>
              <w:bottom w:w="80" w:type="dxa"/>
              <w:right w:w="80" w:type="dxa"/>
            </w:tcMar>
            <w:vAlign w:val="center"/>
          </w:tcPr>
          <w:p w14:paraId="31430AE9" w14:textId="77777777" w:rsidR="003D1DEF" w:rsidRDefault="00000000">
            <w:r>
              <w:rPr>
                <w:sz w:val="16"/>
              </w:rPr>
              <w:t>Allow selected operational metrics to be compared dynamically.</w:t>
            </w:r>
          </w:p>
        </w:tc>
        <w:tc>
          <w:tcPr>
            <w:tcW w:w="3456" w:type="dxa"/>
            <w:shd w:val="clear" w:color="auto" w:fill="F7FAFC"/>
            <w:tcMar>
              <w:top w:w="80" w:type="dxa"/>
              <w:left w:w="80" w:type="dxa"/>
              <w:bottom w:w="80" w:type="dxa"/>
              <w:right w:w="80" w:type="dxa"/>
            </w:tcMar>
            <w:vAlign w:val="center"/>
          </w:tcPr>
          <w:p w14:paraId="740651CD" w14:textId="77777777" w:rsidR="003D1DEF" w:rsidRDefault="00000000">
            <w:r>
              <w:rPr>
                <w:sz w:val="16"/>
              </w:rPr>
              <w:t>Diagnostic Metric Explorer.</w:t>
            </w:r>
          </w:p>
        </w:tc>
      </w:tr>
      <w:tr w:rsidR="003D1DEF" w14:paraId="172C6408" w14:textId="77777777">
        <w:trPr>
          <w:jc w:val="center"/>
        </w:trPr>
        <w:tc>
          <w:tcPr>
            <w:tcW w:w="2304" w:type="dxa"/>
            <w:shd w:val="clear" w:color="auto" w:fill="FFFFFF"/>
            <w:tcMar>
              <w:top w:w="80" w:type="dxa"/>
              <w:left w:w="80" w:type="dxa"/>
              <w:bottom w:w="80" w:type="dxa"/>
              <w:right w:w="80" w:type="dxa"/>
            </w:tcMar>
            <w:vAlign w:val="center"/>
          </w:tcPr>
          <w:p w14:paraId="271E6690" w14:textId="77777777" w:rsidR="003D1DEF" w:rsidRDefault="00000000">
            <w:r>
              <w:rPr>
                <w:sz w:val="16"/>
              </w:rPr>
              <w:t>CBP vs HHS module</w:t>
            </w:r>
          </w:p>
        </w:tc>
        <w:tc>
          <w:tcPr>
            <w:tcW w:w="3888" w:type="dxa"/>
            <w:shd w:val="clear" w:color="auto" w:fill="FFFFFF"/>
            <w:tcMar>
              <w:top w:w="80" w:type="dxa"/>
              <w:left w:w="80" w:type="dxa"/>
              <w:bottom w:w="80" w:type="dxa"/>
              <w:right w:w="80" w:type="dxa"/>
            </w:tcMar>
            <w:vAlign w:val="center"/>
          </w:tcPr>
          <w:p w14:paraId="545163CD" w14:textId="77777777" w:rsidR="003D1DEF" w:rsidRDefault="00000000">
            <w:r>
              <w:rPr>
                <w:sz w:val="16"/>
              </w:rPr>
              <w:t>Compares upstream CBP custody and downstream HHS care.</w:t>
            </w:r>
          </w:p>
        </w:tc>
        <w:tc>
          <w:tcPr>
            <w:tcW w:w="3456" w:type="dxa"/>
            <w:shd w:val="clear" w:color="auto" w:fill="FFFFFF"/>
            <w:tcMar>
              <w:top w:w="80" w:type="dxa"/>
              <w:left w:w="80" w:type="dxa"/>
              <w:bottom w:w="80" w:type="dxa"/>
              <w:right w:w="80" w:type="dxa"/>
            </w:tcMar>
            <w:vAlign w:val="center"/>
          </w:tcPr>
          <w:p w14:paraId="516E7FDF" w14:textId="77777777" w:rsidR="003D1DEF" w:rsidRDefault="00000000">
            <w:r>
              <w:rPr>
                <w:sz w:val="16"/>
              </w:rPr>
              <w:t>Responsibility trend and split visuals.</w:t>
            </w:r>
          </w:p>
        </w:tc>
      </w:tr>
      <w:tr w:rsidR="003D1DEF" w14:paraId="6F92E5DA" w14:textId="77777777">
        <w:trPr>
          <w:jc w:val="center"/>
        </w:trPr>
        <w:tc>
          <w:tcPr>
            <w:tcW w:w="2304" w:type="dxa"/>
            <w:shd w:val="clear" w:color="auto" w:fill="F7FAFC"/>
            <w:tcMar>
              <w:top w:w="80" w:type="dxa"/>
              <w:left w:w="80" w:type="dxa"/>
              <w:bottom w:w="80" w:type="dxa"/>
              <w:right w:w="80" w:type="dxa"/>
            </w:tcMar>
            <w:vAlign w:val="center"/>
          </w:tcPr>
          <w:p w14:paraId="1D064E77" w14:textId="77777777" w:rsidR="003D1DEF" w:rsidRDefault="00000000">
            <w:r>
              <w:rPr>
                <w:sz w:val="16"/>
              </w:rPr>
              <w:t>Net Intake &amp; Backlog module</w:t>
            </w:r>
          </w:p>
        </w:tc>
        <w:tc>
          <w:tcPr>
            <w:tcW w:w="3888" w:type="dxa"/>
            <w:shd w:val="clear" w:color="auto" w:fill="F7FAFC"/>
            <w:tcMar>
              <w:top w:w="80" w:type="dxa"/>
              <w:left w:w="80" w:type="dxa"/>
              <w:bottom w:w="80" w:type="dxa"/>
              <w:right w:w="80" w:type="dxa"/>
            </w:tcMar>
            <w:vAlign w:val="center"/>
          </w:tcPr>
          <w:p w14:paraId="15FCF09E" w14:textId="77777777" w:rsidR="003D1DEF" w:rsidRDefault="00000000">
            <w:r>
              <w:rPr>
                <w:sz w:val="16"/>
              </w:rPr>
              <w:t>Analyzes transfers, discharges, net intake, pressure share, and backlog severity.</w:t>
            </w:r>
          </w:p>
        </w:tc>
        <w:tc>
          <w:tcPr>
            <w:tcW w:w="3456" w:type="dxa"/>
            <w:shd w:val="clear" w:color="auto" w:fill="F7FAFC"/>
            <w:tcMar>
              <w:top w:w="80" w:type="dxa"/>
              <w:left w:w="80" w:type="dxa"/>
              <w:bottom w:w="80" w:type="dxa"/>
              <w:right w:w="80" w:type="dxa"/>
            </w:tcMar>
            <w:vAlign w:val="center"/>
          </w:tcPr>
          <w:p w14:paraId="23A79885" w14:textId="77777777" w:rsidR="003D1DEF" w:rsidRDefault="00000000">
            <w:r>
              <w:rPr>
                <w:sz w:val="16"/>
              </w:rPr>
              <w:t>Flow balance, net intake, and backlog charts.</w:t>
            </w:r>
          </w:p>
        </w:tc>
      </w:tr>
      <w:tr w:rsidR="003D1DEF" w14:paraId="0D29869A" w14:textId="77777777">
        <w:trPr>
          <w:jc w:val="center"/>
        </w:trPr>
        <w:tc>
          <w:tcPr>
            <w:tcW w:w="2304" w:type="dxa"/>
            <w:shd w:val="clear" w:color="auto" w:fill="FFFFFF"/>
            <w:tcMar>
              <w:top w:w="80" w:type="dxa"/>
              <w:left w:w="80" w:type="dxa"/>
              <w:bottom w:w="80" w:type="dxa"/>
              <w:right w:w="80" w:type="dxa"/>
            </w:tcMar>
            <w:vAlign w:val="center"/>
          </w:tcPr>
          <w:p w14:paraId="7188DD98" w14:textId="77777777" w:rsidR="003D1DEF" w:rsidRDefault="00000000">
            <w:r>
              <w:rPr>
                <w:sz w:val="16"/>
              </w:rPr>
              <w:t>KPI Summary module</w:t>
            </w:r>
          </w:p>
        </w:tc>
        <w:tc>
          <w:tcPr>
            <w:tcW w:w="3888" w:type="dxa"/>
            <w:shd w:val="clear" w:color="auto" w:fill="FFFFFF"/>
            <w:tcMar>
              <w:top w:w="80" w:type="dxa"/>
              <w:left w:w="80" w:type="dxa"/>
              <w:bottom w:w="80" w:type="dxa"/>
              <w:right w:w="80" w:type="dxa"/>
            </w:tcMar>
            <w:vAlign w:val="center"/>
          </w:tcPr>
          <w:p w14:paraId="2AAA04BC" w14:textId="77777777" w:rsidR="003D1DEF" w:rsidRDefault="00000000">
            <w:r>
              <w:rPr>
                <w:sz w:val="16"/>
              </w:rPr>
              <w:t>Scores KPIs and summarizes stress distribution and primary drivers.</w:t>
            </w:r>
          </w:p>
        </w:tc>
        <w:tc>
          <w:tcPr>
            <w:tcW w:w="3456" w:type="dxa"/>
            <w:shd w:val="clear" w:color="auto" w:fill="FFFFFF"/>
            <w:tcMar>
              <w:top w:w="80" w:type="dxa"/>
              <w:left w:w="80" w:type="dxa"/>
              <w:bottom w:w="80" w:type="dxa"/>
              <w:right w:w="80" w:type="dxa"/>
            </w:tcMar>
            <w:vAlign w:val="center"/>
          </w:tcPr>
          <w:p w14:paraId="57846528" w14:textId="77777777" w:rsidR="003D1DEF" w:rsidRDefault="00000000">
            <w:r>
              <w:rPr>
                <w:sz w:val="16"/>
              </w:rPr>
              <w:t>KPI health ranking and driver evidence.</w:t>
            </w:r>
          </w:p>
        </w:tc>
      </w:tr>
    </w:tbl>
    <w:p w14:paraId="0D1D77F9" w14:textId="77777777" w:rsidR="003D1DEF" w:rsidRDefault="003D1DEF"/>
    <w:p w14:paraId="3E903D82" w14:textId="77777777" w:rsidR="003D1DEF" w:rsidRDefault="00000000">
      <w:pPr>
        <w:jc w:val="both"/>
      </w:pPr>
      <w:r>
        <w:t>The dashboard uses app-level design choices that support research traceability. Processed datasets are loaded through a file registry. Column names are standardized into canonical dashboard names. Numeric columns are coerced safely. Missing derived metrics can be calculated when their source fields are present. Date filters, weekly/monthly aggregation, and selected metric toggles allow the same underlying data to be viewed at multiple analytical levels.</w:t>
      </w:r>
    </w:p>
    <w:tbl>
      <w:tblPr>
        <w:tblStyle w:val="TableGrid"/>
        <w:tblW w:w="0" w:type="auto"/>
        <w:tblLook w:val="04A0" w:firstRow="1" w:lastRow="0" w:firstColumn="1" w:lastColumn="0" w:noHBand="0" w:noVBand="1"/>
      </w:tblPr>
      <w:tblGrid>
        <w:gridCol w:w="10037"/>
      </w:tblGrid>
      <w:tr w:rsidR="003D1DEF" w14:paraId="147C3A6B" w14:textId="77777777">
        <w:trPr>
          <w:tblHeader/>
        </w:trPr>
        <w:tc>
          <w:tcPr>
            <w:tcW w:w="10037" w:type="dxa"/>
            <w:shd w:val="clear" w:color="auto" w:fill="EAF8F6"/>
            <w:tcMar>
              <w:top w:w="120" w:type="dxa"/>
              <w:left w:w="120" w:type="dxa"/>
              <w:bottom w:w="120" w:type="dxa"/>
              <w:right w:w="120" w:type="dxa"/>
            </w:tcMar>
          </w:tcPr>
          <w:p w14:paraId="3E948AF4" w14:textId="77777777" w:rsidR="003D1DEF" w:rsidRDefault="00000000">
            <w:r>
              <w:rPr>
                <w:b/>
                <w:color w:val="0F766E"/>
                <w:sz w:val="20"/>
              </w:rPr>
              <w:t>Implementation Governance</w:t>
            </w:r>
          </w:p>
          <w:p w14:paraId="63A38D9A" w14:textId="77777777" w:rsidR="003D1DEF" w:rsidRDefault="00000000">
            <w:r>
              <w:rPr>
                <w:sz w:val="20"/>
              </w:rPr>
              <w:t>Any public upload should version the dataset, app.py, dashboard screenshots, and research paper together. If the dashboard or data changes later, a new version should be published rather than silently replacing the original evidence.</w:t>
            </w:r>
          </w:p>
        </w:tc>
      </w:tr>
    </w:tbl>
    <w:p w14:paraId="7CD9DCCE" w14:textId="77777777" w:rsidR="003D1DEF" w:rsidRDefault="003D1DEF"/>
    <w:p w14:paraId="4CF8C50B" w14:textId="77777777" w:rsidR="003D1DEF" w:rsidRDefault="00000000">
      <w:r>
        <w:br w:type="page"/>
      </w:r>
    </w:p>
    <w:p w14:paraId="7EAC1AB9" w14:textId="77777777" w:rsidR="003D1DEF" w:rsidRDefault="00000000">
      <w:pPr>
        <w:pStyle w:val="Heading1"/>
        <w:spacing w:after="200"/>
      </w:pPr>
      <w:r>
        <w:rPr>
          <w:rFonts w:ascii="Calibri" w:hAnsi="Calibri"/>
          <w:color w:val="0B1F3A"/>
          <w:sz w:val="36"/>
        </w:rPr>
        <w:lastRenderedPageBreak/>
        <w:t>15. Data Interpretation Governance</w:t>
      </w:r>
    </w:p>
    <w:p w14:paraId="2B8A2258" w14:textId="77777777" w:rsidR="003D1DEF" w:rsidRDefault="00000000">
      <w:pPr>
        <w:jc w:val="both"/>
      </w:pPr>
      <w:r>
        <w:t>Data interpretation governance defines how stakeholders should read dashboard values. Without governance, users may overreact to one metric or underreact to hidden pressure windows. This paper treats dashboard values as decision signals that require context, not as automatic conclusions.</w:t>
      </w:r>
    </w:p>
    <w:tbl>
      <w:tblPr>
        <w:tblStyle w:val="TableGrid"/>
        <w:tblW w:w="0" w:type="auto"/>
        <w:jc w:val="center"/>
        <w:tblLook w:val="04A0" w:firstRow="1" w:lastRow="0" w:firstColumn="1" w:lastColumn="0" w:noHBand="0" w:noVBand="1"/>
      </w:tblPr>
      <w:tblGrid>
        <w:gridCol w:w="2448"/>
        <w:gridCol w:w="3168"/>
        <w:gridCol w:w="4032"/>
      </w:tblGrid>
      <w:tr w:rsidR="003D1DEF" w14:paraId="21D192EC" w14:textId="77777777">
        <w:trPr>
          <w:tblHeader/>
          <w:jc w:val="center"/>
        </w:trPr>
        <w:tc>
          <w:tcPr>
            <w:tcW w:w="2448" w:type="dxa"/>
            <w:shd w:val="clear" w:color="auto" w:fill="0B3D5C"/>
            <w:tcMar>
              <w:top w:w="80" w:type="dxa"/>
              <w:left w:w="80" w:type="dxa"/>
              <w:bottom w:w="80" w:type="dxa"/>
              <w:right w:w="80" w:type="dxa"/>
            </w:tcMar>
            <w:vAlign w:val="center"/>
          </w:tcPr>
          <w:p w14:paraId="6D545C9D" w14:textId="77777777" w:rsidR="003D1DEF" w:rsidRDefault="00000000">
            <w:r>
              <w:rPr>
                <w:b/>
                <w:color w:val="FFFFFF"/>
                <w:sz w:val="16"/>
              </w:rPr>
              <w:t>Governance Rule</w:t>
            </w:r>
          </w:p>
        </w:tc>
        <w:tc>
          <w:tcPr>
            <w:tcW w:w="3168" w:type="dxa"/>
            <w:shd w:val="clear" w:color="auto" w:fill="0B3D5C"/>
            <w:tcMar>
              <w:top w:w="80" w:type="dxa"/>
              <w:left w:w="80" w:type="dxa"/>
              <w:bottom w:w="80" w:type="dxa"/>
              <w:right w:w="80" w:type="dxa"/>
            </w:tcMar>
            <w:vAlign w:val="center"/>
          </w:tcPr>
          <w:p w14:paraId="5871DA49" w14:textId="77777777" w:rsidR="003D1DEF" w:rsidRDefault="00000000">
            <w:r>
              <w:rPr>
                <w:b/>
                <w:color w:val="FFFFFF"/>
                <w:sz w:val="16"/>
              </w:rPr>
              <w:t>Reason</w:t>
            </w:r>
          </w:p>
        </w:tc>
        <w:tc>
          <w:tcPr>
            <w:tcW w:w="4032" w:type="dxa"/>
            <w:shd w:val="clear" w:color="auto" w:fill="0B3D5C"/>
            <w:tcMar>
              <w:top w:w="80" w:type="dxa"/>
              <w:left w:w="80" w:type="dxa"/>
              <w:bottom w:w="80" w:type="dxa"/>
              <w:right w:w="80" w:type="dxa"/>
            </w:tcMar>
            <w:vAlign w:val="center"/>
          </w:tcPr>
          <w:p w14:paraId="22D0080D" w14:textId="77777777" w:rsidR="003D1DEF" w:rsidRDefault="00000000">
            <w:r>
              <w:rPr>
                <w:b/>
                <w:color w:val="FFFFFF"/>
                <w:sz w:val="16"/>
              </w:rPr>
              <w:t>Application in This Paper</w:t>
            </w:r>
          </w:p>
        </w:tc>
      </w:tr>
      <w:tr w:rsidR="003D1DEF" w14:paraId="5614EB95" w14:textId="77777777">
        <w:trPr>
          <w:jc w:val="center"/>
        </w:trPr>
        <w:tc>
          <w:tcPr>
            <w:tcW w:w="2448" w:type="dxa"/>
            <w:shd w:val="clear" w:color="auto" w:fill="F7FAFC"/>
            <w:tcMar>
              <w:top w:w="80" w:type="dxa"/>
              <w:left w:w="80" w:type="dxa"/>
              <w:bottom w:w="80" w:type="dxa"/>
              <w:right w:w="80" w:type="dxa"/>
            </w:tcMar>
            <w:vAlign w:val="center"/>
          </w:tcPr>
          <w:p w14:paraId="7FFE240C" w14:textId="77777777" w:rsidR="003D1DEF" w:rsidRDefault="00000000">
            <w:r>
              <w:rPr>
                <w:sz w:val="16"/>
              </w:rPr>
              <w:t>Compare stock and flow metrics together.</w:t>
            </w:r>
          </w:p>
        </w:tc>
        <w:tc>
          <w:tcPr>
            <w:tcW w:w="3168" w:type="dxa"/>
            <w:shd w:val="clear" w:color="auto" w:fill="F7FAFC"/>
            <w:tcMar>
              <w:top w:w="80" w:type="dxa"/>
              <w:left w:w="80" w:type="dxa"/>
              <w:bottom w:w="80" w:type="dxa"/>
              <w:right w:w="80" w:type="dxa"/>
            </w:tcMar>
            <w:vAlign w:val="center"/>
          </w:tcPr>
          <w:p w14:paraId="53B9E907" w14:textId="77777777" w:rsidR="003D1DEF" w:rsidRDefault="00000000">
            <w:r>
              <w:rPr>
                <w:sz w:val="16"/>
              </w:rPr>
              <w:t>Active load can be high while discharge flow is improving.</w:t>
            </w:r>
          </w:p>
        </w:tc>
        <w:tc>
          <w:tcPr>
            <w:tcW w:w="4032" w:type="dxa"/>
            <w:shd w:val="clear" w:color="auto" w:fill="F7FAFC"/>
            <w:tcMar>
              <w:top w:w="80" w:type="dxa"/>
              <w:left w:w="80" w:type="dxa"/>
              <w:bottom w:w="80" w:type="dxa"/>
              <w:right w:w="80" w:type="dxa"/>
            </w:tcMar>
            <w:vAlign w:val="center"/>
          </w:tcPr>
          <w:p w14:paraId="1E2D975F" w14:textId="77777777" w:rsidR="003D1DEF" w:rsidRDefault="00000000">
            <w:r>
              <w:rPr>
                <w:sz w:val="16"/>
              </w:rPr>
              <w:t>Total Children Under Care is interpreted alongside Net Intake Pressure and Discharge Offset Ratio.</w:t>
            </w:r>
          </w:p>
        </w:tc>
      </w:tr>
      <w:tr w:rsidR="003D1DEF" w14:paraId="1E67C7C4" w14:textId="77777777">
        <w:trPr>
          <w:jc w:val="center"/>
        </w:trPr>
        <w:tc>
          <w:tcPr>
            <w:tcW w:w="2448" w:type="dxa"/>
            <w:shd w:val="clear" w:color="auto" w:fill="FFFFFF"/>
            <w:tcMar>
              <w:top w:w="80" w:type="dxa"/>
              <w:left w:w="80" w:type="dxa"/>
              <w:bottom w:w="80" w:type="dxa"/>
              <w:right w:w="80" w:type="dxa"/>
            </w:tcMar>
            <w:vAlign w:val="center"/>
          </w:tcPr>
          <w:p w14:paraId="7B9E8552" w14:textId="77777777" w:rsidR="003D1DEF" w:rsidRDefault="00000000">
            <w:r>
              <w:rPr>
                <w:sz w:val="16"/>
              </w:rPr>
              <w:t>Do not overclaim causality.</w:t>
            </w:r>
          </w:p>
        </w:tc>
        <w:tc>
          <w:tcPr>
            <w:tcW w:w="3168" w:type="dxa"/>
            <w:shd w:val="clear" w:color="auto" w:fill="FFFFFF"/>
            <w:tcMar>
              <w:top w:w="80" w:type="dxa"/>
              <w:left w:w="80" w:type="dxa"/>
              <w:bottom w:w="80" w:type="dxa"/>
              <w:right w:w="80" w:type="dxa"/>
            </w:tcMar>
            <w:vAlign w:val="center"/>
          </w:tcPr>
          <w:p w14:paraId="0B6DA4F6" w14:textId="77777777" w:rsidR="003D1DEF" w:rsidRDefault="00000000">
            <w:r>
              <w:rPr>
                <w:sz w:val="16"/>
              </w:rPr>
              <w:t>Dashboard patterns do not prove causes.</w:t>
            </w:r>
          </w:p>
        </w:tc>
        <w:tc>
          <w:tcPr>
            <w:tcW w:w="4032" w:type="dxa"/>
            <w:shd w:val="clear" w:color="auto" w:fill="FFFFFF"/>
            <w:tcMar>
              <w:top w:w="80" w:type="dxa"/>
              <w:left w:w="80" w:type="dxa"/>
              <w:bottom w:w="80" w:type="dxa"/>
              <w:right w:w="80" w:type="dxa"/>
            </w:tcMar>
            <w:vAlign w:val="center"/>
          </w:tcPr>
          <w:p w14:paraId="085E22C0" w14:textId="77777777" w:rsidR="003D1DEF" w:rsidRDefault="00000000">
            <w:r>
              <w:rPr>
                <w:sz w:val="16"/>
              </w:rPr>
              <w:t>Pressure drivers are interpreted as operational signals, not causal proof.</w:t>
            </w:r>
          </w:p>
        </w:tc>
      </w:tr>
      <w:tr w:rsidR="003D1DEF" w14:paraId="37335F98" w14:textId="77777777">
        <w:trPr>
          <w:jc w:val="center"/>
        </w:trPr>
        <w:tc>
          <w:tcPr>
            <w:tcW w:w="2448" w:type="dxa"/>
            <w:shd w:val="clear" w:color="auto" w:fill="F7FAFC"/>
            <w:tcMar>
              <w:top w:w="80" w:type="dxa"/>
              <w:left w:w="80" w:type="dxa"/>
              <w:bottom w:w="80" w:type="dxa"/>
              <w:right w:w="80" w:type="dxa"/>
            </w:tcMar>
            <w:vAlign w:val="center"/>
          </w:tcPr>
          <w:p w14:paraId="0E675D88" w14:textId="77777777" w:rsidR="003D1DEF" w:rsidRDefault="00000000">
            <w:r>
              <w:rPr>
                <w:sz w:val="16"/>
              </w:rPr>
              <w:t>Use HHS share carefully.</w:t>
            </w:r>
          </w:p>
        </w:tc>
        <w:tc>
          <w:tcPr>
            <w:tcW w:w="3168" w:type="dxa"/>
            <w:shd w:val="clear" w:color="auto" w:fill="F7FAFC"/>
            <w:tcMar>
              <w:top w:w="80" w:type="dxa"/>
              <w:left w:w="80" w:type="dxa"/>
              <w:bottom w:w="80" w:type="dxa"/>
              <w:right w:w="80" w:type="dxa"/>
            </w:tcMar>
            <w:vAlign w:val="center"/>
          </w:tcPr>
          <w:p w14:paraId="2E7BEE25" w14:textId="77777777" w:rsidR="003D1DEF" w:rsidRDefault="00000000">
            <w:r>
              <w:rPr>
                <w:sz w:val="16"/>
              </w:rPr>
              <w:t>HHS dominance shows responsibility concentration, not necessarily system failure.</w:t>
            </w:r>
          </w:p>
        </w:tc>
        <w:tc>
          <w:tcPr>
            <w:tcW w:w="4032" w:type="dxa"/>
            <w:shd w:val="clear" w:color="auto" w:fill="F7FAFC"/>
            <w:tcMar>
              <w:top w:w="80" w:type="dxa"/>
              <w:left w:w="80" w:type="dxa"/>
              <w:bottom w:w="80" w:type="dxa"/>
              <w:right w:w="80" w:type="dxa"/>
            </w:tcMar>
            <w:vAlign w:val="center"/>
          </w:tcPr>
          <w:p w14:paraId="636BBCB5" w14:textId="77777777" w:rsidR="003D1DEF" w:rsidRDefault="00000000">
            <w:r>
              <w:rPr>
                <w:sz w:val="16"/>
              </w:rPr>
              <w:t>HHS care is prioritized for planning because it carries active load.</w:t>
            </w:r>
          </w:p>
        </w:tc>
      </w:tr>
      <w:tr w:rsidR="003D1DEF" w14:paraId="0D3434D6" w14:textId="77777777">
        <w:trPr>
          <w:jc w:val="center"/>
        </w:trPr>
        <w:tc>
          <w:tcPr>
            <w:tcW w:w="2448" w:type="dxa"/>
            <w:shd w:val="clear" w:color="auto" w:fill="FFFFFF"/>
            <w:tcMar>
              <w:top w:w="80" w:type="dxa"/>
              <w:left w:w="80" w:type="dxa"/>
              <w:bottom w:w="80" w:type="dxa"/>
              <w:right w:w="80" w:type="dxa"/>
            </w:tcMar>
            <w:vAlign w:val="center"/>
          </w:tcPr>
          <w:p w14:paraId="48E71D04" w14:textId="77777777" w:rsidR="003D1DEF" w:rsidRDefault="00000000">
            <w:r>
              <w:rPr>
                <w:sz w:val="16"/>
              </w:rPr>
              <w:t>Track pressure windows, not just averages.</w:t>
            </w:r>
          </w:p>
        </w:tc>
        <w:tc>
          <w:tcPr>
            <w:tcW w:w="3168" w:type="dxa"/>
            <w:shd w:val="clear" w:color="auto" w:fill="FFFFFF"/>
            <w:tcMar>
              <w:top w:w="80" w:type="dxa"/>
              <w:left w:w="80" w:type="dxa"/>
              <w:bottom w:w="80" w:type="dxa"/>
              <w:right w:w="80" w:type="dxa"/>
            </w:tcMar>
            <w:vAlign w:val="center"/>
          </w:tcPr>
          <w:p w14:paraId="6550F147" w14:textId="77777777" w:rsidR="003D1DEF" w:rsidRDefault="00000000">
            <w:r>
              <w:rPr>
                <w:sz w:val="16"/>
              </w:rPr>
              <w:t>Average relief can hide temporary strain.</w:t>
            </w:r>
          </w:p>
        </w:tc>
        <w:tc>
          <w:tcPr>
            <w:tcW w:w="4032" w:type="dxa"/>
            <w:shd w:val="clear" w:color="auto" w:fill="FFFFFF"/>
            <w:tcMar>
              <w:top w:w="80" w:type="dxa"/>
              <w:left w:w="80" w:type="dxa"/>
              <w:bottom w:w="80" w:type="dxa"/>
              <w:right w:w="80" w:type="dxa"/>
            </w:tcMar>
            <w:vAlign w:val="center"/>
          </w:tcPr>
          <w:p w14:paraId="6D450DED" w14:textId="77777777" w:rsidR="003D1DEF" w:rsidRDefault="00000000">
            <w:r>
              <w:rPr>
                <w:sz w:val="16"/>
              </w:rPr>
              <w:t>Backlog severity and pressure-period share are reviewed separately.</w:t>
            </w:r>
          </w:p>
        </w:tc>
      </w:tr>
      <w:tr w:rsidR="003D1DEF" w14:paraId="0E5DE546" w14:textId="77777777">
        <w:trPr>
          <w:jc w:val="center"/>
        </w:trPr>
        <w:tc>
          <w:tcPr>
            <w:tcW w:w="2448" w:type="dxa"/>
            <w:shd w:val="clear" w:color="auto" w:fill="F7FAFC"/>
            <w:tcMar>
              <w:top w:w="80" w:type="dxa"/>
              <w:left w:w="80" w:type="dxa"/>
              <w:bottom w:w="80" w:type="dxa"/>
              <w:right w:w="80" w:type="dxa"/>
            </w:tcMar>
            <w:vAlign w:val="center"/>
          </w:tcPr>
          <w:p w14:paraId="26DBB369" w14:textId="77777777" w:rsidR="003D1DEF" w:rsidRDefault="00000000">
            <w:r>
              <w:rPr>
                <w:sz w:val="16"/>
              </w:rPr>
              <w:t>Respect granularity sensitivity.</w:t>
            </w:r>
          </w:p>
        </w:tc>
        <w:tc>
          <w:tcPr>
            <w:tcW w:w="3168" w:type="dxa"/>
            <w:shd w:val="clear" w:color="auto" w:fill="F7FAFC"/>
            <w:tcMar>
              <w:top w:w="80" w:type="dxa"/>
              <w:left w:w="80" w:type="dxa"/>
              <w:bottom w:w="80" w:type="dxa"/>
              <w:right w:w="80" w:type="dxa"/>
            </w:tcMar>
            <w:vAlign w:val="center"/>
          </w:tcPr>
          <w:p w14:paraId="557E896D" w14:textId="77777777" w:rsidR="003D1DEF" w:rsidRDefault="00000000">
            <w:r>
              <w:rPr>
                <w:sz w:val="16"/>
              </w:rPr>
              <w:t>Daily, weekly, and monthly views may produce different operating signals.</w:t>
            </w:r>
          </w:p>
        </w:tc>
        <w:tc>
          <w:tcPr>
            <w:tcW w:w="4032" w:type="dxa"/>
            <w:shd w:val="clear" w:color="auto" w:fill="F7FAFC"/>
            <w:tcMar>
              <w:top w:w="80" w:type="dxa"/>
              <w:left w:w="80" w:type="dxa"/>
              <w:bottom w:w="80" w:type="dxa"/>
              <w:right w:w="80" w:type="dxa"/>
            </w:tcMar>
            <w:vAlign w:val="center"/>
          </w:tcPr>
          <w:p w14:paraId="726B02F8" w14:textId="77777777" w:rsidR="003D1DEF" w:rsidRDefault="00000000">
            <w:r>
              <w:rPr>
                <w:sz w:val="16"/>
              </w:rPr>
              <w:t>The paper reports selected daily screenshot evidence and explains context dependency.</w:t>
            </w:r>
          </w:p>
        </w:tc>
      </w:tr>
      <w:tr w:rsidR="003D1DEF" w14:paraId="4781348B" w14:textId="77777777">
        <w:trPr>
          <w:jc w:val="center"/>
        </w:trPr>
        <w:tc>
          <w:tcPr>
            <w:tcW w:w="2448" w:type="dxa"/>
            <w:shd w:val="clear" w:color="auto" w:fill="FFFFFF"/>
            <w:tcMar>
              <w:top w:w="80" w:type="dxa"/>
              <w:left w:w="80" w:type="dxa"/>
              <w:bottom w:w="80" w:type="dxa"/>
              <w:right w:w="80" w:type="dxa"/>
            </w:tcMar>
            <w:vAlign w:val="center"/>
          </w:tcPr>
          <w:p w14:paraId="4331679A" w14:textId="77777777" w:rsidR="003D1DEF" w:rsidRDefault="00000000">
            <w:r>
              <w:rPr>
                <w:sz w:val="16"/>
              </w:rPr>
              <w:t>Version dashboard evidence.</w:t>
            </w:r>
          </w:p>
        </w:tc>
        <w:tc>
          <w:tcPr>
            <w:tcW w:w="3168" w:type="dxa"/>
            <w:shd w:val="clear" w:color="auto" w:fill="FFFFFF"/>
            <w:tcMar>
              <w:top w:w="80" w:type="dxa"/>
              <w:left w:w="80" w:type="dxa"/>
              <w:bottom w:w="80" w:type="dxa"/>
              <w:right w:w="80" w:type="dxa"/>
            </w:tcMar>
            <w:vAlign w:val="center"/>
          </w:tcPr>
          <w:p w14:paraId="59604920" w14:textId="77777777" w:rsidR="003D1DEF" w:rsidRDefault="00000000">
            <w:r>
              <w:rPr>
                <w:sz w:val="16"/>
              </w:rPr>
              <w:t>Published results must match the dataset and dashboard version.</w:t>
            </w:r>
          </w:p>
        </w:tc>
        <w:tc>
          <w:tcPr>
            <w:tcW w:w="4032" w:type="dxa"/>
            <w:shd w:val="clear" w:color="auto" w:fill="FFFFFF"/>
            <w:tcMar>
              <w:top w:w="80" w:type="dxa"/>
              <w:left w:w="80" w:type="dxa"/>
              <w:bottom w:w="80" w:type="dxa"/>
              <w:right w:w="80" w:type="dxa"/>
            </w:tcMar>
            <w:vAlign w:val="center"/>
          </w:tcPr>
          <w:p w14:paraId="5DE223B8" w14:textId="77777777" w:rsidR="003D1DEF" w:rsidRDefault="00000000">
            <w:r>
              <w:rPr>
                <w:sz w:val="16"/>
              </w:rPr>
              <w:t>Report includes source integrity and publication metadata notes.</w:t>
            </w:r>
          </w:p>
        </w:tc>
      </w:tr>
    </w:tbl>
    <w:p w14:paraId="42C98526" w14:textId="77777777" w:rsidR="003D1DEF" w:rsidRDefault="003D1DEF"/>
    <w:p w14:paraId="4805D5AD" w14:textId="77777777" w:rsidR="003D1DEF" w:rsidRDefault="00000000">
      <w:pPr>
        <w:jc w:val="both"/>
      </w:pPr>
      <w:r>
        <w:t>The most important governance principle is to avoid single-metric decision-making. A high load value without flow context may overstate risk, while a favorable discharge offset without stress-distribution context may understate recurrence risk. The dashboard is most useful when its load, flow, backlog, responsibility, and driver layers are reviewed together.</w:t>
      </w:r>
    </w:p>
    <w:p w14:paraId="22E323A5" w14:textId="77777777" w:rsidR="003D1DEF" w:rsidRDefault="00000000">
      <w:r>
        <w:br w:type="page"/>
      </w:r>
    </w:p>
    <w:p w14:paraId="7EDB2397" w14:textId="77777777" w:rsidR="003D1DEF" w:rsidRDefault="00000000">
      <w:pPr>
        <w:pStyle w:val="Heading1"/>
        <w:spacing w:after="200"/>
      </w:pPr>
      <w:r>
        <w:rPr>
          <w:rFonts w:ascii="Calibri" w:hAnsi="Calibri"/>
          <w:color w:val="0B1F3A"/>
          <w:sz w:val="36"/>
        </w:rPr>
        <w:lastRenderedPageBreak/>
        <w:t>16. Conclusion</w:t>
      </w:r>
    </w:p>
    <w:p w14:paraId="37F14FF7" w14:textId="77777777" w:rsidR="003D1DEF" w:rsidRDefault="00000000">
      <w:pPr>
        <w:jc w:val="both"/>
      </w:pPr>
      <w:r>
        <w:t>This research paper demonstrates how a dashboard-supported healthcare capacity analytics framework can convert daily UAC care-pipeline data into actionable operating intelligence. The selected dashboard view shows a healthy operating condition: Total Children Under Care is 2,502, Net Intake Pressure is -44.7 per day, Discharge Offset Ratio is 1.35x, Care Load Volatility Index is 1.9%, Backlog Accumulation Rate is 33.1%, and Overall KPI Health is 88.8/100.</w:t>
      </w:r>
    </w:p>
    <w:p w14:paraId="3F95972A" w14:textId="77777777" w:rsidR="003D1DEF" w:rsidRDefault="00000000">
      <w:pPr>
        <w:jc w:val="both"/>
      </w:pPr>
      <w:r>
        <w:t>The strongest system-level finding is that discharge flow is relieving transfer pressure in the selected view. Discharges from HHS exceed transfers into HHS, producing a negative net intake total and a favorable offset ratio. At the same time, HHS carries almost all active care responsibility, with 99.3% of latest responsibility share. Therefore, HHS shelter, staffing, placement, care delivery, and discharge capacity should remain the central planning focus.</w:t>
      </w:r>
    </w:p>
    <w:p w14:paraId="68D4F754" w14:textId="77777777" w:rsidR="003D1DEF" w:rsidRDefault="00000000">
      <w:pPr>
        <w:jc w:val="both"/>
      </w:pPr>
      <w:r>
        <w:t>The dashboard also shows that pressure is not limited to sudden spikes. Daily Strain Pressure and Prolonged Window Pressure are the leading drivers, which means operational planning should emphasize sustained readiness, recurring monitoring, and early detection of pressure periods. The final recommendation is to institutionalize a recurring capacity governance process that reviews system load, net intake, discharge offset, backlog pressure, HHS responsibility share, and primary pressure drivers together.</w:t>
      </w:r>
    </w:p>
    <w:tbl>
      <w:tblPr>
        <w:tblStyle w:val="TableGrid"/>
        <w:tblW w:w="0" w:type="auto"/>
        <w:jc w:val="center"/>
        <w:tblLook w:val="04A0" w:firstRow="1" w:lastRow="0" w:firstColumn="1" w:lastColumn="0" w:noHBand="0" w:noVBand="1"/>
      </w:tblPr>
      <w:tblGrid>
        <w:gridCol w:w="2304"/>
        <w:gridCol w:w="3600"/>
        <w:gridCol w:w="3744"/>
      </w:tblGrid>
      <w:tr w:rsidR="003D1DEF" w14:paraId="496103EF" w14:textId="77777777">
        <w:trPr>
          <w:tblHeader/>
          <w:jc w:val="center"/>
        </w:trPr>
        <w:tc>
          <w:tcPr>
            <w:tcW w:w="2304" w:type="dxa"/>
            <w:shd w:val="clear" w:color="auto" w:fill="0B3D5C"/>
            <w:tcMar>
              <w:top w:w="80" w:type="dxa"/>
              <w:left w:w="80" w:type="dxa"/>
              <w:bottom w:w="80" w:type="dxa"/>
              <w:right w:w="80" w:type="dxa"/>
            </w:tcMar>
            <w:vAlign w:val="center"/>
          </w:tcPr>
          <w:p w14:paraId="4D213FE2" w14:textId="77777777" w:rsidR="003D1DEF" w:rsidRDefault="00000000">
            <w:r>
              <w:rPr>
                <w:b/>
                <w:color w:val="FFFFFF"/>
                <w:sz w:val="17"/>
              </w:rPr>
              <w:t>Final Conclusion Area</w:t>
            </w:r>
          </w:p>
        </w:tc>
        <w:tc>
          <w:tcPr>
            <w:tcW w:w="3600" w:type="dxa"/>
            <w:shd w:val="clear" w:color="auto" w:fill="0B3D5C"/>
            <w:tcMar>
              <w:top w:w="80" w:type="dxa"/>
              <w:left w:w="80" w:type="dxa"/>
              <w:bottom w:w="80" w:type="dxa"/>
              <w:right w:w="80" w:type="dxa"/>
            </w:tcMar>
            <w:vAlign w:val="center"/>
          </w:tcPr>
          <w:p w14:paraId="0F9CB04C" w14:textId="77777777" w:rsidR="003D1DEF" w:rsidRDefault="00000000">
            <w:r>
              <w:rPr>
                <w:b/>
                <w:color w:val="FFFFFF"/>
                <w:sz w:val="17"/>
              </w:rPr>
              <w:t>Evidence</w:t>
            </w:r>
          </w:p>
        </w:tc>
        <w:tc>
          <w:tcPr>
            <w:tcW w:w="3744" w:type="dxa"/>
            <w:shd w:val="clear" w:color="auto" w:fill="0B3D5C"/>
            <w:tcMar>
              <w:top w:w="80" w:type="dxa"/>
              <w:left w:w="80" w:type="dxa"/>
              <w:bottom w:w="80" w:type="dxa"/>
              <w:right w:w="80" w:type="dxa"/>
            </w:tcMar>
            <w:vAlign w:val="center"/>
          </w:tcPr>
          <w:p w14:paraId="09241C5E" w14:textId="77777777" w:rsidR="003D1DEF" w:rsidRDefault="00000000">
            <w:r>
              <w:rPr>
                <w:b/>
                <w:color w:val="FFFFFF"/>
                <w:sz w:val="17"/>
              </w:rPr>
              <w:t>Implication</w:t>
            </w:r>
          </w:p>
        </w:tc>
      </w:tr>
      <w:tr w:rsidR="003D1DEF" w14:paraId="0150E5CE" w14:textId="77777777">
        <w:trPr>
          <w:jc w:val="center"/>
        </w:trPr>
        <w:tc>
          <w:tcPr>
            <w:tcW w:w="2304" w:type="dxa"/>
            <w:shd w:val="clear" w:color="auto" w:fill="F7FAFC"/>
            <w:tcMar>
              <w:top w:w="80" w:type="dxa"/>
              <w:left w:w="80" w:type="dxa"/>
              <w:bottom w:w="80" w:type="dxa"/>
              <w:right w:w="80" w:type="dxa"/>
            </w:tcMar>
            <w:vAlign w:val="center"/>
          </w:tcPr>
          <w:p w14:paraId="29E0D419" w14:textId="77777777" w:rsidR="003D1DEF" w:rsidRDefault="00000000">
            <w:r>
              <w:rPr>
                <w:sz w:val="17"/>
              </w:rPr>
              <w:t>Operating status</w:t>
            </w:r>
          </w:p>
        </w:tc>
        <w:tc>
          <w:tcPr>
            <w:tcW w:w="3600" w:type="dxa"/>
            <w:shd w:val="clear" w:color="auto" w:fill="F7FAFC"/>
            <w:tcMar>
              <w:top w:w="80" w:type="dxa"/>
              <w:left w:w="80" w:type="dxa"/>
              <w:bottom w:w="80" w:type="dxa"/>
              <w:right w:w="80" w:type="dxa"/>
            </w:tcMar>
            <w:vAlign w:val="center"/>
          </w:tcPr>
          <w:p w14:paraId="3135889E" w14:textId="77777777" w:rsidR="003D1DEF" w:rsidRDefault="00000000">
            <w:r>
              <w:rPr>
                <w:sz w:val="17"/>
              </w:rPr>
              <w:t>KPI health 88.8/100.</w:t>
            </w:r>
          </w:p>
        </w:tc>
        <w:tc>
          <w:tcPr>
            <w:tcW w:w="3744" w:type="dxa"/>
            <w:shd w:val="clear" w:color="auto" w:fill="F7FAFC"/>
            <w:tcMar>
              <w:top w:w="80" w:type="dxa"/>
              <w:left w:w="80" w:type="dxa"/>
              <w:bottom w:w="80" w:type="dxa"/>
              <w:right w:w="80" w:type="dxa"/>
            </w:tcMar>
            <w:vAlign w:val="center"/>
          </w:tcPr>
          <w:p w14:paraId="6DC6DE73" w14:textId="77777777" w:rsidR="003D1DEF" w:rsidRDefault="00000000">
            <w:r>
              <w:rPr>
                <w:sz w:val="17"/>
              </w:rPr>
              <w:t>Selected daily view is healthy and controlled.</w:t>
            </w:r>
          </w:p>
        </w:tc>
      </w:tr>
      <w:tr w:rsidR="003D1DEF" w14:paraId="5D858DFD" w14:textId="77777777">
        <w:trPr>
          <w:jc w:val="center"/>
        </w:trPr>
        <w:tc>
          <w:tcPr>
            <w:tcW w:w="2304" w:type="dxa"/>
            <w:shd w:val="clear" w:color="auto" w:fill="FFFFFF"/>
            <w:tcMar>
              <w:top w:w="80" w:type="dxa"/>
              <w:left w:w="80" w:type="dxa"/>
              <w:bottom w:w="80" w:type="dxa"/>
              <w:right w:w="80" w:type="dxa"/>
            </w:tcMar>
            <w:vAlign w:val="center"/>
          </w:tcPr>
          <w:p w14:paraId="178CC56A" w14:textId="77777777" w:rsidR="003D1DEF" w:rsidRDefault="00000000">
            <w:r>
              <w:rPr>
                <w:sz w:val="17"/>
              </w:rPr>
              <w:t>Flow balance</w:t>
            </w:r>
          </w:p>
        </w:tc>
        <w:tc>
          <w:tcPr>
            <w:tcW w:w="3600" w:type="dxa"/>
            <w:shd w:val="clear" w:color="auto" w:fill="FFFFFF"/>
            <w:tcMar>
              <w:top w:w="80" w:type="dxa"/>
              <w:left w:w="80" w:type="dxa"/>
              <w:bottom w:w="80" w:type="dxa"/>
              <w:right w:w="80" w:type="dxa"/>
            </w:tcMar>
            <w:vAlign w:val="center"/>
          </w:tcPr>
          <w:p w14:paraId="0E7E221E" w14:textId="77777777" w:rsidR="003D1DEF" w:rsidRDefault="00000000">
            <w:r>
              <w:rPr>
                <w:sz w:val="17"/>
              </w:rPr>
              <w:t>Net Intake -44.7/day and offset 1.35x.</w:t>
            </w:r>
          </w:p>
        </w:tc>
        <w:tc>
          <w:tcPr>
            <w:tcW w:w="3744" w:type="dxa"/>
            <w:shd w:val="clear" w:color="auto" w:fill="FFFFFF"/>
            <w:tcMar>
              <w:top w:w="80" w:type="dxa"/>
              <w:left w:w="80" w:type="dxa"/>
              <w:bottom w:w="80" w:type="dxa"/>
              <w:right w:w="80" w:type="dxa"/>
            </w:tcMar>
            <w:vAlign w:val="center"/>
          </w:tcPr>
          <w:p w14:paraId="17EF9721" w14:textId="77777777" w:rsidR="003D1DEF" w:rsidRDefault="00000000">
            <w:r>
              <w:rPr>
                <w:sz w:val="17"/>
              </w:rPr>
              <w:t>Discharge relief exceeds incoming transfers.</w:t>
            </w:r>
          </w:p>
        </w:tc>
      </w:tr>
      <w:tr w:rsidR="003D1DEF" w14:paraId="06ED1FE7" w14:textId="77777777">
        <w:trPr>
          <w:jc w:val="center"/>
        </w:trPr>
        <w:tc>
          <w:tcPr>
            <w:tcW w:w="2304" w:type="dxa"/>
            <w:shd w:val="clear" w:color="auto" w:fill="F7FAFC"/>
            <w:tcMar>
              <w:top w:w="80" w:type="dxa"/>
              <w:left w:w="80" w:type="dxa"/>
              <w:bottom w:w="80" w:type="dxa"/>
              <w:right w:w="80" w:type="dxa"/>
            </w:tcMar>
            <w:vAlign w:val="center"/>
          </w:tcPr>
          <w:p w14:paraId="67A4FF8F" w14:textId="77777777" w:rsidR="003D1DEF" w:rsidRDefault="00000000">
            <w:r>
              <w:rPr>
                <w:sz w:val="17"/>
              </w:rPr>
              <w:t>Capacity position</w:t>
            </w:r>
          </w:p>
        </w:tc>
        <w:tc>
          <w:tcPr>
            <w:tcW w:w="3600" w:type="dxa"/>
            <w:shd w:val="clear" w:color="auto" w:fill="F7FAFC"/>
            <w:tcMar>
              <w:top w:w="80" w:type="dxa"/>
              <w:left w:w="80" w:type="dxa"/>
              <w:bottom w:w="80" w:type="dxa"/>
              <w:right w:w="80" w:type="dxa"/>
            </w:tcMar>
            <w:vAlign w:val="center"/>
          </w:tcPr>
          <w:p w14:paraId="3FECEE9C" w14:textId="77777777" w:rsidR="003D1DEF" w:rsidRDefault="00000000">
            <w:r>
              <w:rPr>
                <w:sz w:val="17"/>
              </w:rPr>
              <w:t>Current load 21.3% of peak.</w:t>
            </w:r>
          </w:p>
        </w:tc>
        <w:tc>
          <w:tcPr>
            <w:tcW w:w="3744" w:type="dxa"/>
            <w:shd w:val="clear" w:color="auto" w:fill="F7FAFC"/>
            <w:tcMar>
              <w:top w:w="80" w:type="dxa"/>
              <w:left w:w="80" w:type="dxa"/>
              <w:bottom w:w="80" w:type="dxa"/>
              <w:right w:w="80" w:type="dxa"/>
            </w:tcMar>
            <w:vAlign w:val="center"/>
          </w:tcPr>
          <w:p w14:paraId="7F8AB275" w14:textId="77777777" w:rsidR="003D1DEF" w:rsidRDefault="00000000">
            <w:r>
              <w:rPr>
                <w:sz w:val="17"/>
              </w:rPr>
              <w:t>Current burden is far below historical peak.</w:t>
            </w:r>
          </w:p>
        </w:tc>
      </w:tr>
      <w:tr w:rsidR="003D1DEF" w14:paraId="60CE5DD9" w14:textId="77777777">
        <w:trPr>
          <w:jc w:val="center"/>
        </w:trPr>
        <w:tc>
          <w:tcPr>
            <w:tcW w:w="2304" w:type="dxa"/>
            <w:shd w:val="clear" w:color="auto" w:fill="FFFFFF"/>
            <w:tcMar>
              <w:top w:w="80" w:type="dxa"/>
              <w:left w:w="80" w:type="dxa"/>
              <w:bottom w:w="80" w:type="dxa"/>
              <w:right w:w="80" w:type="dxa"/>
            </w:tcMar>
            <w:vAlign w:val="center"/>
          </w:tcPr>
          <w:p w14:paraId="51ED9BE3" w14:textId="77777777" w:rsidR="003D1DEF" w:rsidRDefault="00000000">
            <w:r>
              <w:rPr>
                <w:sz w:val="17"/>
              </w:rPr>
              <w:t>Responsibility concentration</w:t>
            </w:r>
          </w:p>
        </w:tc>
        <w:tc>
          <w:tcPr>
            <w:tcW w:w="3600" w:type="dxa"/>
            <w:shd w:val="clear" w:color="auto" w:fill="FFFFFF"/>
            <w:tcMar>
              <w:top w:w="80" w:type="dxa"/>
              <w:left w:w="80" w:type="dxa"/>
              <w:bottom w:w="80" w:type="dxa"/>
              <w:right w:w="80" w:type="dxa"/>
            </w:tcMar>
            <w:vAlign w:val="center"/>
          </w:tcPr>
          <w:p w14:paraId="23822B6F" w14:textId="77777777" w:rsidR="003D1DEF" w:rsidRDefault="00000000">
            <w:r>
              <w:rPr>
                <w:sz w:val="17"/>
              </w:rPr>
              <w:t>HHS share 99.3%.</w:t>
            </w:r>
          </w:p>
        </w:tc>
        <w:tc>
          <w:tcPr>
            <w:tcW w:w="3744" w:type="dxa"/>
            <w:shd w:val="clear" w:color="auto" w:fill="FFFFFF"/>
            <w:tcMar>
              <w:top w:w="80" w:type="dxa"/>
              <w:left w:w="80" w:type="dxa"/>
              <w:bottom w:w="80" w:type="dxa"/>
              <w:right w:w="80" w:type="dxa"/>
            </w:tcMar>
            <w:vAlign w:val="center"/>
          </w:tcPr>
          <w:p w14:paraId="53C8FE3D" w14:textId="77777777" w:rsidR="003D1DEF" w:rsidRDefault="00000000">
            <w:r>
              <w:rPr>
                <w:sz w:val="17"/>
              </w:rPr>
              <w:t>Downstream HHS capacity is the main planning concern.</w:t>
            </w:r>
          </w:p>
        </w:tc>
      </w:tr>
      <w:tr w:rsidR="003D1DEF" w14:paraId="14D81114" w14:textId="77777777">
        <w:trPr>
          <w:jc w:val="center"/>
        </w:trPr>
        <w:tc>
          <w:tcPr>
            <w:tcW w:w="2304" w:type="dxa"/>
            <w:shd w:val="clear" w:color="auto" w:fill="F7FAFC"/>
            <w:tcMar>
              <w:top w:w="80" w:type="dxa"/>
              <w:left w:w="80" w:type="dxa"/>
              <w:bottom w:w="80" w:type="dxa"/>
              <w:right w:w="80" w:type="dxa"/>
            </w:tcMar>
            <w:vAlign w:val="center"/>
          </w:tcPr>
          <w:p w14:paraId="67F3390D" w14:textId="77777777" w:rsidR="003D1DEF" w:rsidRDefault="00000000">
            <w:r>
              <w:rPr>
                <w:sz w:val="17"/>
              </w:rPr>
              <w:t>Pressure drivers</w:t>
            </w:r>
          </w:p>
        </w:tc>
        <w:tc>
          <w:tcPr>
            <w:tcW w:w="3600" w:type="dxa"/>
            <w:shd w:val="clear" w:color="auto" w:fill="F7FAFC"/>
            <w:tcMar>
              <w:top w:w="80" w:type="dxa"/>
              <w:left w:w="80" w:type="dxa"/>
              <w:bottom w:w="80" w:type="dxa"/>
              <w:right w:w="80" w:type="dxa"/>
            </w:tcMar>
            <w:vAlign w:val="center"/>
          </w:tcPr>
          <w:p w14:paraId="78E0A526" w14:textId="77777777" w:rsidR="003D1DEF" w:rsidRDefault="00000000">
            <w:r>
              <w:rPr>
                <w:sz w:val="17"/>
              </w:rPr>
              <w:t>Daily Strain Pressure ranks first.</w:t>
            </w:r>
          </w:p>
        </w:tc>
        <w:tc>
          <w:tcPr>
            <w:tcW w:w="3744" w:type="dxa"/>
            <w:shd w:val="clear" w:color="auto" w:fill="F7FAFC"/>
            <w:tcMar>
              <w:top w:w="80" w:type="dxa"/>
              <w:left w:w="80" w:type="dxa"/>
              <w:bottom w:w="80" w:type="dxa"/>
              <w:right w:w="80" w:type="dxa"/>
            </w:tcMar>
            <w:vAlign w:val="center"/>
          </w:tcPr>
          <w:p w14:paraId="5D2CA58E" w14:textId="77777777" w:rsidR="003D1DEF" w:rsidRDefault="00000000">
            <w:r>
              <w:rPr>
                <w:sz w:val="17"/>
              </w:rPr>
              <w:t>Sustained strain monitoring is essential.</w:t>
            </w:r>
          </w:p>
        </w:tc>
      </w:tr>
    </w:tbl>
    <w:p w14:paraId="4013F399" w14:textId="77777777" w:rsidR="003D1DEF" w:rsidRDefault="003D1DEF"/>
    <w:p w14:paraId="58750B6C" w14:textId="77777777" w:rsidR="003D1DEF" w:rsidRDefault="00000000">
      <w:r>
        <w:br w:type="page"/>
      </w:r>
    </w:p>
    <w:p w14:paraId="1D441C15" w14:textId="77777777" w:rsidR="003D1DEF" w:rsidRDefault="00000000">
      <w:pPr>
        <w:pStyle w:val="Heading1"/>
        <w:spacing w:after="200"/>
      </w:pPr>
      <w:r>
        <w:rPr>
          <w:rFonts w:ascii="Calibri" w:hAnsi="Calibri"/>
          <w:color w:val="0B1F3A"/>
          <w:sz w:val="36"/>
        </w:rPr>
        <w:lastRenderedPageBreak/>
        <w:t>17. References</w:t>
      </w:r>
    </w:p>
    <w:p w14:paraId="58F6100B" w14:textId="77777777" w:rsidR="003D1DEF" w:rsidRDefault="00000000">
      <w:pPr>
        <w:spacing w:after="60"/>
        <w:ind w:left="360" w:hanging="360"/>
      </w:pPr>
      <w:r>
        <w:rPr>
          <w:rFonts w:ascii="Aptos" w:hAnsi="Aptos"/>
          <w:sz w:val="18"/>
        </w:rPr>
        <w:t>Unified Mentor. (2026). System Capacity &amp; Care Load Analytics for Unaccompanied Children: Project guidelines and submission requirements [Project brief].</w:t>
      </w:r>
    </w:p>
    <w:p w14:paraId="72D25B99" w14:textId="77777777" w:rsidR="003D1DEF" w:rsidRDefault="00000000">
      <w:pPr>
        <w:spacing w:after="60"/>
        <w:ind w:left="360" w:hanging="360"/>
      </w:pPr>
      <w:r>
        <w:rPr>
          <w:rFonts w:ascii="Aptos" w:hAnsi="Aptos"/>
          <w:sz w:val="18"/>
        </w:rPr>
        <w:t>Gupta, M. (2026). System Capacity &amp; Care Load Analytics for Unaccompanied Children: Streamlit dashboard, source code, processed datasets, and dashboard screenshots [Data analytics project artifact].</w:t>
      </w:r>
    </w:p>
    <w:p w14:paraId="0B10E21D" w14:textId="77777777" w:rsidR="003D1DEF" w:rsidRDefault="00000000">
      <w:pPr>
        <w:spacing w:after="60"/>
        <w:ind w:left="360" w:hanging="360"/>
      </w:pPr>
      <w:r>
        <w:rPr>
          <w:rFonts w:ascii="Aptos" w:hAnsi="Aptos"/>
          <w:sz w:val="18"/>
        </w:rPr>
        <w:t>U.S. Department of Health and Human Services, Administration for Children and Families, Office of Refugee Resettlement. (n.d.). Unaccompanied children program. Retrieved June 17, 2026, from https://www.acf.hhs.gov/orr/programs/uc</w:t>
      </w:r>
    </w:p>
    <w:p w14:paraId="21BF2ACF" w14:textId="77777777" w:rsidR="003D1DEF" w:rsidRDefault="00000000">
      <w:pPr>
        <w:spacing w:after="60"/>
        <w:ind w:left="360" w:hanging="360"/>
      </w:pPr>
      <w:r>
        <w:rPr>
          <w:rFonts w:ascii="Aptos" w:hAnsi="Aptos"/>
          <w:sz w:val="18"/>
        </w:rPr>
        <w:t>U.S. Customs and Border Protection. (n.d.). Custody and transfer statistics. Retrieved June 17, 2026, from https://www.cbp.gov/newsroom/stats/custody-and-transfer-statistics</w:t>
      </w:r>
    </w:p>
    <w:p w14:paraId="3DDA0A7C" w14:textId="77777777" w:rsidR="003D1DEF" w:rsidRDefault="00000000">
      <w:pPr>
        <w:spacing w:after="60"/>
        <w:ind w:left="360" w:hanging="360"/>
      </w:pPr>
      <w:r>
        <w:rPr>
          <w:rFonts w:ascii="Aptos" w:hAnsi="Aptos"/>
          <w:sz w:val="18"/>
        </w:rPr>
        <w:t>Python Software Foundation. (n.d.). Python documentation. Retrieved June 17, 2026, from https://docs.python.org/</w:t>
      </w:r>
    </w:p>
    <w:p w14:paraId="70D1153B" w14:textId="77777777" w:rsidR="003D1DEF" w:rsidRDefault="00000000">
      <w:pPr>
        <w:spacing w:after="60"/>
        <w:ind w:left="360" w:hanging="360"/>
      </w:pPr>
      <w:r>
        <w:rPr>
          <w:rFonts w:ascii="Aptos" w:hAnsi="Aptos"/>
          <w:sz w:val="18"/>
        </w:rPr>
        <w:t>The pandas development team. (n.d.). pandas documentation. Retrieved June 17, 2026, from https://pandas.pydata.org/docs/</w:t>
      </w:r>
    </w:p>
    <w:p w14:paraId="20285EA3" w14:textId="77777777" w:rsidR="003D1DEF" w:rsidRDefault="00000000">
      <w:pPr>
        <w:spacing w:after="60"/>
        <w:ind w:left="360" w:hanging="360"/>
      </w:pPr>
      <w:r>
        <w:rPr>
          <w:rFonts w:ascii="Aptos" w:hAnsi="Aptos"/>
          <w:sz w:val="18"/>
        </w:rPr>
        <w:t>NumPy Developers. (n.d.). NumPy documentation. Retrieved June 17, 2026, from https://numpy.org/doc/</w:t>
      </w:r>
    </w:p>
    <w:p w14:paraId="47C363C3" w14:textId="77777777" w:rsidR="003D1DEF" w:rsidRDefault="00000000">
      <w:pPr>
        <w:spacing w:after="60"/>
        <w:ind w:left="360" w:hanging="360"/>
      </w:pPr>
      <w:r>
        <w:rPr>
          <w:rFonts w:ascii="Aptos" w:hAnsi="Aptos"/>
          <w:sz w:val="18"/>
        </w:rPr>
        <w:t>Plotly Technologies Inc. (n.d.). Plotly Python graphing library documentation. Retrieved June 17, 2026, from https://plotly.com/python/</w:t>
      </w:r>
    </w:p>
    <w:p w14:paraId="2DD713CC" w14:textId="77777777" w:rsidR="003D1DEF" w:rsidRDefault="00000000">
      <w:pPr>
        <w:spacing w:after="60"/>
        <w:ind w:left="360" w:hanging="360"/>
      </w:pPr>
      <w:r>
        <w:rPr>
          <w:rFonts w:ascii="Aptos" w:hAnsi="Aptos"/>
          <w:sz w:val="18"/>
        </w:rPr>
        <w:t>Streamlit. (n.d.). Streamlit documentation and API reference. Retrieved June 17, 2026, from https://docs.streamlit.io/</w:t>
      </w:r>
    </w:p>
    <w:p w14:paraId="2F1F386D" w14:textId="77777777" w:rsidR="003D1DEF" w:rsidRDefault="00000000">
      <w:pPr>
        <w:spacing w:after="60"/>
        <w:ind w:left="360" w:hanging="360"/>
      </w:pPr>
      <w:r>
        <w:rPr>
          <w:rFonts w:ascii="Aptos" w:hAnsi="Aptos"/>
          <w:sz w:val="18"/>
        </w:rPr>
        <w:t>Davenport, T. H., &amp; Harris, J. G. (2007). Competing on analytics: The new science of winning. Harvard Business School Press.</w:t>
      </w:r>
    </w:p>
    <w:p w14:paraId="5BC473BB" w14:textId="77777777" w:rsidR="003D1DEF" w:rsidRDefault="00000000">
      <w:pPr>
        <w:spacing w:after="60"/>
        <w:ind w:left="360" w:hanging="360"/>
      </w:pPr>
      <w:r>
        <w:rPr>
          <w:rFonts w:ascii="Aptos" w:hAnsi="Aptos"/>
          <w:sz w:val="18"/>
        </w:rPr>
        <w:t>Kaplan, R. S., &amp; Norton, D. P. (1992). The balanced scorecard: Measures that drive performance. Harvard Business Review, 70(1), 71–79.</w:t>
      </w:r>
    </w:p>
    <w:tbl>
      <w:tblPr>
        <w:tblStyle w:val="TableGrid"/>
        <w:tblW w:w="0" w:type="auto"/>
        <w:tblLook w:val="04A0" w:firstRow="1" w:lastRow="0" w:firstColumn="1" w:lastColumn="0" w:noHBand="0" w:noVBand="1"/>
      </w:tblPr>
      <w:tblGrid>
        <w:gridCol w:w="10037"/>
      </w:tblGrid>
      <w:tr w:rsidR="003D1DEF" w14:paraId="28BCFB76" w14:textId="77777777">
        <w:trPr>
          <w:tblHeader/>
        </w:trPr>
        <w:tc>
          <w:tcPr>
            <w:tcW w:w="10037" w:type="dxa"/>
            <w:shd w:val="clear" w:color="auto" w:fill="EAF8F6"/>
            <w:tcMar>
              <w:top w:w="120" w:type="dxa"/>
              <w:left w:w="120" w:type="dxa"/>
              <w:bottom w:w="120" w:type="dxa"/>
              <w:right w:w="120" w:type="dxa"/>
            </w:tcMar>
          </w:tcPr>
          <w:p w14:paraId="1A98A760" w14:textId="77777777" w:rsidR="003D1DEF" w:rsidRDefault="00000000">
            <w:r>
              <w:rPr>
                <w:b/>
                <w:color w:val="0F766E"/>
                <w:sz w:val="20"/>
              </w:rPr>
              <w:t>Source Integrity Note</w:t>
            </w:r>
          </w:p>
          <w:p w14:paraId="6D59CA91" w14:textId="77777777" w:rsidR="003D1DEF" w:rsidRDefault="00000000">
            <w:r>
              <w:rPr>
                <w:sz w:val="20"/>
              </w:rPr>
              <w:t>The primary evidence in this report comes from the supplied project guidelines, app.py dashboard logic, and the 20 dashboard screenshots captured from the Streamlit application. Public sources are used only for contextual and tool-documentation support. The report avoids unsupported causal claims and interprets dashboard values within the documented scope.</w:t>
            </w:r>
          </w:p>
        </w:tc>
      </w:tr>
    </w:tbl>
    <w:p w14:paraId="7507AF29" w14:textId="77777777" w:rsidR="003D1DEF" w:rsidRDefault="003D1DEF"/>
    <w:p w14:paraId="42D7BB2B" w14:textId="77777777" w:rsidR="003D1DEF" w:rsidRDefault="00000000">
      <w:r>
        <w:br w:type="page"/>
      </w:r>
    </w:p>
    <w:p w14:paraId="69344373" w14:textId="77777777" w:rsidR="003D1DEF" w:rsidRDefault="00000000">
      <w:pPr>
        <w:pStyle w:val="Heading1"/>
        <w:spacing w:after="200"/>
      </w:pPr>
      <w:r>
        <w:rPr>
          <w:rFonts w:ascii="Calibri" w:hAnsi="Calibri"/>
          <w:color w:val="0B1F3A"/>
          <w:sz w:val="36"/>
        </w:rPr>
        <w:lastRenderedPageBreak/>
        <w:t>18. Appendix</w:t>
      </w:r>
    </w:p>
    <w:p w14:paraId="150C8306" w14:textId="77777777" w:rsidR="003D1DEF" w:rsidRDefault="00000000">
      <w:pPr>
        <w:pStyle w:val="Heading2"/>
        <w:spacing w:before="160" w:after="80"/>
      </w:pPr>
      <w:r>
        <w:rPr>
          <w:rFonts w:ascii="Calibri" w:hAnsi="Calibri"/>
          <w:color w:val="0F766E"/>
        </w:rPr>
        <w:t>Appendix A: KPI Formula Register</w:t>
      </w:r>
    </w:p>
    <w:tbl>
      <w:tblPr>
        <w:tblStyle w:val="TableGrid"/>
        <w:tblW w:w="0" w:type="auto"/>
        <w:jc w:val="center"/>
        <w:tblLook w:val="04A0" w:firstRow="1" w:lastRow="0" w:firstColumn="1" w:lastColumn="0" w:noHBand="0" w:noVBand="1"/>
      </w:tblPr>
      <w:tblGrid>
        <w:gridCol w:w="2448"/>
        <w:gridCol w:w="3888"/>
        <w:gridCol w:w="3312"/>
      </w:tblGrid>
      <w:tr w:rsidR="003D1DEF" w14:paraId="3FC81918" w14:textId="77777777">
        <w:trPr>
          <w:tblHeader/>
          <w:jc w:val="center"/>
        </w:trPr>
        <w:tc>
          <w:tcPr>
            <w:tcW w:w="2448" w:type="dxa"/>
            <w:shd w:val="clear" w:color="auto" w:fill="0B3D5C"/>
            <w:tcMar>
              <w:top w:w="80" w:type="dxa"/>
              <w:left w:w="80" w:type="dxa"/>
              <w:bottom w:w="80" w:type="dxa"/>
              <w:right w:w="80" w:type="dxa"/>
            </w:tcMar>
            <w:vAlign w:val="center"/>
          </w:tcPr>
          <w:p w14:paraId="1C0B3468" w14:textId="77777777" w:rsidR="003D1DEF" w:rsidRDefault="00000000">
            <w:r>
              <w:rPr>
                <w:b/>
                <w:color w:val="FFFFFF"/>
                <w:sz w:val="17"/>
              </w:rPr>
              <w:t>Metric</w:t>
            </w:r>
          </w:p>
        </w:tc>
        <w:tc>
          <w:tcPr>
            <w:tcW w:w="3888" w:type="dxa"/>
            <w:shd w:val="clear" w:color="auto" w:fill="0B3D5C"/>
            <w:tcMar>
              <w:top w:w="80" w:type="dxa"/>
              <w:left w:w="80" w:type="dxa"/>
              <w:bottom w:w="80" w:type="dxa"/>
              <w:right w:w="80" w:type="dxa"/>
            </w:tcMar>
            <w:vAlign w:val="center"/>
          </w:tcPr>
          <w:p w14:paraId="74E6283C" w14:textId="77777777" w:rsidR="003D1DEF" w:rsidRDefault="00000000">
            <w:r>
              <w:rPr>
                <w:b/>
                <w:color w:val="FFFFFF"/>
                <w:sz w:val="17"/>
              </w:rPr>
              <w:t>Formula / Logic</w:t>
            </w:r>
          </w:p>
        </w:tc>
        <w:tc>
          <w:tcPr>
            <w:tcW w:w="3312" w:type="dxa"/>
            <w:shd w:val="clear" w:color="auto" w:fill="0B3D5C"/>
            <w:tcMar>
              <w:top w:w="80" w:type="dxa"/>
              <w:left w:w="80" w:type="dxa"/>
              <w:bottom w:w="80" w:type="dxa"/>
              <w:right w:w="80" w:type="dxa"/>
            </w:tcMar>
            <w:vAlign w:val="center"/>
          </w:tcPr>
          <w:p w14:paraId="3CA27750" w14:textId="77777777" w:rsidR="003D1DEF" w:rsidRDefault="00000000">
            <w:r>
              <w:rPr>
                <w:b/>
                <w:color w:val="FFFFFF"/>
                <w:sz w:val="17"/>
              </w:rPr>
              <w:t>Purpose</w:t>
            </w:r>
          </w:p>
        </w:tc>
      </w:tr>
      <w:tr w:rsidR="003D1DEF" w14:paraId="06928096" w14:textId="77777777">
        <w:trPr>
          <w:jc w:val="center"/>
        </w:trPr>
        <w:tc>
          <w:tcPr>
            <w:tcW w:w="2448" w:type="dxa"/>
            <w:shd w:val="clear" w:color="auto" w:fill="F7FAFC"/>
            <w:tcMar>
              <w:top w:w="80" w:type="dxa"/>
              <w:left w:w="80" w:type="dxa"/>
              <w:bottom w:w="80" w:type="dxa"/>
              <w:right w:w="80" w:type="dxa"/>
            </w:tcMar>
            <w:vAlign w:val="center"/>
          </w:tcPr>
          <w:p w14:paraId="7A77902C" w14:textId="77777777" w:rsidR="003D1DEF" w:rsidRDefault="00000000">
            <w:r>
              <w:rPr>
                <w:sz w:val="17"/>
              </w:rPr>
              <w:t>Total Children Under Care</w:t>
            </w:r>
          </w:p>
        </w:tc>
        <w:tc>
          <w:tcPr>
            <w:tcW w:w="3888" w:type="dxa"/>
            <w:shd w:val="clear" w:color="auto" w:fill="F7FAFC"/>
            <w:tcMar>
              <w:top w:w="80" w:type="dxa"/>
              <w:left w:w="80" w:type="dxa"/>
              <w:bottom w:w="80" w:type="dxa"/>
              <w:right w:w="80" w:type="dxa"/>
            </w:tcMar>
            <w:vAlign w:val="center"/>
          </w:tcPr>
          <w:p w14:paraId="57E2DBBF" w14:textId="77777777" w:rsidR="003D1DEF" w:rsidRDefault="00000000">
            <w:r>
              <w:rPr>
                <w:sz w:val="17"/>
              </w:rPr>
              <w:t>CBP Custody + HHS Care</w:t>
            </w:r>
          </w:p>
        </w:tc>
        <w:tc>
          <w:tcPr>
            <w:tcW w:w="3312" w:type="dxa"/>
            <w:shd w:val="clear" w:color="auto" w:fill="F7FAFC"/>
            <w:tcMar>
              <w:top w:w="80" w:type="dxa"/>
              <w:left w:w="80" w:type="dxa"/>
              <w:bottom w:w="80" w:type="dxa"/>
              <w:right w:w="80" w:type="dxa"/>
            </w:tcMar>
            <w:vAlign w:val="center"/>
          </w:tcPr>
          <w:p w14:paraId="351520A7" w14:textId="77777777" w:rsidR="003D1DEF" w:rsidRDefault="00000000">
            <w:r>
              <w:rPr>
                <w:sz w:val="17"/>
              </w:rPr>
              <w:t>Measures total active system responsibility.</w:t>
            </w:r>
          </w:p>
        </w:tc>
      </w:tr>
      <w:tr w:rsidR="003D1DEF" w14:paraId="77845E33" w14:textId="77777777">
        <w:trPr>
          <w:jc w:val="center"/>
        </w:trPr>
        <w:tc>
          <w:tcPr>
            <w:tcW w:w="2448" w:type="dxa"/>
            <w:shd w:val="clear" w:color="auto" w:fill="FFFFFF"/>
            <w:tcMar>
              <w:top w:w="80" w:type="dxa"/>
              <w:left w:w="80" w:type="dxa"/>
              <w:bottom w:w="80" w:type="dxa"/>
              <w:right w:w="80" w:type="dxa"/>
            </w:tcMar>
            <w:vAlign w:val="center"/>
          </w:tcPr>
          <w:p w14:paraId="3D5BACC5" w14:textId="77777777" w:rsidR="003D1DEF" w:rsidRDefault="00000000">
            <w:r>
              <w:rPr>
                <w:sz w:val="17"/>
              </w:rPr>
              <w:t>Net Intake Pressure</w:t>
            </w:r>
          </w:p>
        </w:tc>
        <w:tc>
          <w:tcPr>
            <w:tcW w:w="3888" w:type="dxa"/>
            <w:shd w:val="clear" w:color="auto" w:fill="FFFFFF"/>
            <w:tcMar>
              <w:top w:w="80" w:type="dxa"/>
              <w:left w:w="80" w:type="dxa"/>
              <w:bottom w:w="80" w:type="dxa"/>
              <w:right w:w="80" w:type="dxa"/>
            </w:tcMar>
            <w:vAlign w:val="center"/>
          </w:tcPr>
          <w:p w14:paraId="00FFD6D7" w14:textId="77777777" w:rsidR="003D1DEF" w:rsidRDefault="00000000">
            <w:r>
              <w:rPr>
                <w:sz w:val="17"/>
              </w:rPr>
              <w:t>Transfers into HHS - HHS discharges</w:t>
            </w:r>
          </w:p>
        </w:tc>
        <w:tc>
          <w:tcPr>
            <w:tcW w:w="3312" w:type="dxa"/>
            <w:shd w:val="clear" w:color="auto" w:fill="FFFFFF"/>
            <w:tcMar>
              <w:top w:w="80" w:type="dxa"/>
              <w:left w:w="80" w:type="dxa"/>
              <w:bottom w:w="80" w:type="dxa"/>
              <w:right w:w="80" w:type="dxa"/>
            </w:tcMar>
            <w:vAlign w:val="center"/>
          </w:tcPr>
          <w:p w14:paraId="71E19E57" w14:textId="77777777" w:rsidR="003D1DEF" w:rsidRDefault="00000000">
            <w:r>
              <w:rPr>
                <w:sz w:val="17"/>
              </w:rPr>
              <w:t>Measures pressure when positive and relief when negative.</w:t>
            </w:r>
          </w:p>
        </w:tc>
      </w:tr>
      <w:tr w:rsidR="003D1DEF" w14:paraId="1A58D519" w14:textId="77777777">
        <w:trPr>
          <w:jc w:val="center"/>
        </w:trPr>
        <w:tc>
          <w:tcPr>
            <w:tcW w:w="2448" w:type="dxa"/>
            <w:shd w:val="clear" w:color="auto" w:fill="F7FAFC"/>
            <w:tcMar>
              <w:top w:w="80" w:type="dxa"/>
              <w:left w:w="80" w:type="dxa"/>
              <w:bottom w:w="80" w:type="dxa"/>
              <w:right w:w="80" w:type="dxa"/>
            </w:tcMar>
            <w:vAlign w:val="center"/>
          </w:tcPr>
          <w:p w14:paraId="2C1EB3CE" w14:textId="77777777" w:rsidR="003D1DEF" w:rsidRDefault="00000000">
            <w:r>
              <w:rPr>
                <w:sz w:val="17"/>
              </w:rPr>
              <w:t>Care Load Volatility Index</w:t>
            </w:r>
          </w:p>
        </w:tc>
        <w:tc>
          <w:tcPr>
            <w:tcW w:w="3888" w:type="dxa"/>
            <w:shd w:val="clear" w:color="auto" w:fill="F7FAFC"/>
            <w:tcMar>
              <w:top w:w="80" w:type="dxa"/>
              <w:left w:w="80" w:type="dxa"/>
              <w:bottom w:w="80" w:type="dxa"/>
              <w:right w:w="80" w:type="dxa"/>
            </w:tcMar>
            <w:vAlign w:val="center"/>
          </w:tcPr>
          <w:p w14:paraId="30E4A141" w14:textId="77777777" w:rsidR="003D1DEF" w:rsidRDefault="00000000">
            <w:r>
              <w:rPr>
                <w:sz w:val="17"/>
              </w:rPr>
              <w:t>Standard deviation of care-load growth rate</w:t>
            </w:r>
          </w:p>
        </w:tc>
        <w:tc>
          <w:tcPr>
            <w:tcW w:w="3312" w:type="dxa"/>
            <w:shd w:val="clear" w:color="auto" w:fill="F7FAFC"/>
            <w:tcMar>
              <w:top w:w="80" w:type="dxa"/>
              <w:left w:w="80" w:type="dxa"/>
              <w:bottom w:w="80" w:type="dxa"/>
              <w:right w:w="80" w:type="dxa"/>
            </w:tcMar>
            <w:vAlign w:val="center"/>
          </w:tcPr>
          <w:p w14:paraId="4E0B1606" w14:textId="77777777" w:rsidR="003D1DEF" w:rsidRDefault="00000000">
            <w:r>
              <w:rPr>
                <w:sz w:val="17"/>
              </w:rPr>
              <w:t>Measures movement stability and planning reliability.</w:t>
            </w:r>
          </w:p>
        </w:tc>
      </w:tr>
      <w:tr w:rsidR="003D1DEF" w14:paraId="0BDE916F" w14:textId="77777777">
        <w:trPr>
          <w:jc w:val="center"/>
        </w:trPr>
        <w:tc>
          <w:tcPr>
            <w:tcW w:w="2448" w:type="dxa"/>
            <w:shd w:val="clear" w:color="auto" w:fill="FFFFFF"/>
            <w:tcMar>
              <w:top w:w="80" w:type="dxa"/>
              <w:left w:w="80" w:type="dxa"/>
              <w:bottom w:w="80" w:type="dxa"/>
              <w:right w:w="80" w:type="dxa"/>
            </w:tcMar>
            <w:vAlign w:val="center"/>
          </w:tcPr>
          <w:p w14:paraId="5CF3EFA8" w14:textId="77777777" w:rsidR="003D1DEF" w:rsidRDefault="00000000">
            <w:r>
              <w:rPr>
                <w:sz w:val="17"/>
              </w:rPr>
              <w:t>Backlog Accumulation Rate</w:t>
            </w:r>
          </w:p>
        </w:tc>
        <w:tc>
          <w:tcPr>
            <w:tcW w:w="3888" w:type="dxa"/>
            <w:shd w:val="clear" w:color="auto" w:fill="FFFFFF"/>
            <w:tcMar>
              <w:top w:w="80" w:type="dxa"/>
              <w:left w:w="80" w:type="dxa"/>
              <w:bottom w:w="80" w:type="dxa"/>
              <w:right w:w="80" w:type="dxa"/>
            </w:tcMar>
            <w:vAlign w:val="center"/>
          </w:tcPr>
          <w:p w14:paraId="153DD620" w14:textId="77777777" w:rsidR="003D1DEF" w:rsidRDefault="00000000">
            <w:r>
              <w:rPr>
                <w:sz w:val="17"/>
              </w:rPr>
              <w:t>Percentage of selected periods with positive net intake pressure</w:t>
            </w:r>
          </w:p>
        </w:tc>
        <w:tc>
          <w:tcPr>
            <w:tcW w:w="3312" w:type="dxa"/>
            <w:shd w:val="clear" w:color="auto" w:fill="FFFFFF"/>
            <w:tcMar>
              <w:top w:w="80" w:type="dxa"/>
              <w:left w:w="80" w:type="dxa"/>
              <w:bottom w:w="80" w:type="dxa"/>
              <w:right w:w="80" w:type="dxa"/>
            </w:tcMar>
            <w:vAlign w:val="center"/>
          </w:tcPr>
          <w:p w14:paraId="004C5827" w14:textId="77777777" w:rsidR="003D1DEF" w:rsidRDefault="00000000">
            <w:r>
              <w:rPr>
                <w:sz w:val="17"/>
              </w:rPr>
              <w:t>Measures frequency of pressure periods.</w:t>
            </w:r>
          </w:p>
        </w:tc>
      </w:tr>
      <w:tr w:rsidR="003D1DEF" w14:paraId="01B860FF" w14:textId="77777777">
        <w:trPr>
          <w:jc w:val="center"/>
        </w:trPr>
        <w:tc>
          <w:tcPr>
            <w:tcW w:w="2448" w:type="dxa"/>
            <w:shd w:val="clear" w:color="auto" w:fill="F7FAFC"/>
            <w:tcMar>
              <w:top w:w="80" w:type="dxa"/>
              <w:left w:w="80" w:type="dxa"/>
              <w:bottom w:w="80" w:type="dxa"/>
              <w:right w:w="80" w:type="dxa"/>
            </w:tcMar>
            <w:vAlign w:val="center"/>
          </w:tcPr>
          <w:p w14:paraId="747E0AD1" w14:textId="77777777" w:rsidR="003D1DEF" w:rsidRDefault="00000000">
            <w:r>
              <w:rPr>
                <w:sz w:val="17"/>
              </w:rPr>
              <w:t>Discharge Offset Ratio</w:t>
            </w:r>
          </w:p>
        </w:tc>
        <w:tc>
          <w:tcPr>
            <w:tcW w:w="3888" w:type="dxa"/>
            <w:shd w:val="clear" w:color="auto" w:fill="F7FAFC"/>
            <w:tcMar>
              <w:top w:w="80" w:type="dxa"/>
              <w:left w:w="80" w:type="dxa"/>
              <w:bottom w:w="80" w:type="dxa"/>
              <w:right w:w="80" w:type="dxa"/>
            </w:tcMar>
            <w:vAlign w:val="center"/>
          </w:tcPr>
          <w:p w14:paraId="2271E4B0" w14:textId="77777777" w:rsidR="003D1DEF" w:rsidRDefault="00000000">
            <w:r>
              <w:rPr>
                <w:sz w:val="17"/>
              </w:rPr>
              <w:t>HHS Discharges / Transfers into HHS</w:t>
            </w:r>
          </w:p>
        </w:tc>
        <w:tc>
          <w:tcPr>
            <w:tcW w:w="3312" w:type="dxa"/>
            <w:shd w:val="clear" w:color="auto" w:fill="F7FAFC"/>
            <w:tcMar>
              <w:top w:w="80" w:type="dxa"/>
              <w:left w:w="80" w:type="dxa"/>
              <w:bottom w:w="80" w:type="dxa"/>
              <w:right w:w="80" w:type="dxa"/>
            </w:tcMar>
            <w:vAlign w:val="center"/>
          </w:tcPr>
          <w:p w14:paraId="065EE65E" w14:textId="77777777" w:rsidR="003D1DEF" w:rsidRDefault="00000000">
            <w:r>
              <w:rPr>
                <w:sz w:val="17"/>
              </w:rPr>
              <w:t>Measures whether outflow offsets incoming transfer flow.</w:t>
            </w:r>
          </w:p>
        </w:tc>
      </w:tr>
      <w:tr w:rsidR="003D1DEF" w14:paraId="3710D9BF" w14:textId="77777777">
        <w:trPr>
          <w:jc w:val="center"/>
        </w:trPr>
        <w:tc>
          <w:tcPr>
            <w:tcW w:w="2448" w:type="dxa"/>
            <w:shd w:val="clear" w:color="auto" w:fill="FFFFFF"/>
            <w:tcMar>
              <w:top w:w="80" w:type="dxa"/>
              <w:left w:w="80" w:type="dxa"/>
              <w:bottom w:w="80" w:type="dxa"/>
              <w:right w:w="80" w:type="dxa"/>
            </w:tcMar>
            <w:vAlign w:val="center"/>
          </w:tcPr>
          <w:p w14:paraId="196DB6A2" w14:textId="77777777" w:rsidR="003D1DEF" w:rsidRDefault="00000000">
            <w:r>
              <w:rPr>
                <w:sz w:val="17"/>
              </w:rPr>
              <w:t>Backlog Severity Score</w:t>
            </w:r>
          </w:p>
        </w:tc>
        <w:tc>
          <w:tcPr>
            <w:tcW w:w="3888" w:type="dxa"/>
            <w:shd w:val="clear" w:color="auto" w:fill="FFFFFF"/>
            <w:tcMar>
              <w:top w:w="80" w:type="dxa"/>
              <w:left w:w="80" w:type="dxa"/>
              <w:bottom w:w="80" w:type="dxa"/>
              <w:right w:w="80" w:type="dxa"/>
            </w:tcMar>
            <w:vAlign w:val="center"/>
          </w:tcPr>
          <w:p w14:paraId="21042DD6" w14:textId="77777777" w:rsidR="003D1DEF" w:rsidRDefault="00000000">
            <w:r>
              <w:rPr>
                <w:sz w:val="17"/>
              </w:rPr>
              <w:t>Sustained positive-pressure window severity logic</w:t>
            </w:r>
          </w:p>
        </w:tc>
        <w:tc>
          <w:tcPr>
            <w:tcW w:w="3312" w:type="dxa"/>
            <w:shd w:val="clear" w:color="auto" w:fill="FFFFFF"/>
            <w:tcMar>
              <w:top w:w="80" w:type="dxa"/>
              <w:left w:w="80" w:type="dxa"/>
              <w:bottom w:w="80" w:type="dxa"/>
              <w:right w:w="80" w:type="dxa"/>
            </w:tcMar>
            <w:vAlign w:val="center"/>
          </w:tcPr>
          <w:p w14:paraId="385F3213" w14:textId="77777777" w:rsidR="003D1DEF" w:rsidRDefault="00000000">
            <w:r>
              <w:rPr>
                <w:sz w:val="17"/>
              </w:rPr>
              <w:t>Measures pressure accumulation intensity.</w:t>
            </w:r>
          </w:p>
        </w:tc>
      </w:tr>
      <w:tr w:rsidR="003D1DEF" w14:paraId="1B87510F" w14:textId="77777777">
        <w:trPr>
          <w:jc w:val="center"/>
        </w:trPr>
        <w:tc>
          <w:tcPr>
            <w:tcW w:w="2448" w:type="dxa"/>
            <w:shd w:val="clear" w:color="auto" w:fill="F7FAFC"/>
            <w:tcMar>
              <w:top w:w="80" w:type="dxa"/>
              <w:left w:w="80" w:type="dxa"/>
              <w:bottom w:w="80" w:type="dxa"/>
              <w:right w:w="80" w:type="dxa"/>
            </w:tcMar>
            <w:vAlign w:val="center"/>
          </w:tcPr>
          <w:p w14:paraId="1C7E3BDF" w14:textId="77777777" w:rsidR="003D1DEF" w:rsidRDefault="00000000">
            <w:r>
              <w:rPr>
                <w:sz w:val="17"/>
              </w:rPr>
              <w:t>Primary Pressure Driver</w:t>
            </w:r>
          </w:p>
        </w:tc>
        <w:tc>
          <w:tcPr>
            <w:tcW w:w="3888" w:type="dxa"/>
            <w:shd w:val="clear" w:color="auto" w:fill="F7FAFC"/>
            <w:tcMar>
              <w:top w:w="80" w:type="dxa"/>
              <w:left w:w="80" w:type="dxa"/>
              <w:bottom w:w="80" w:type="dxa"/>
              <w:right w:w="80" w:type="dxa"/>
            </w:tcMar>
            <w:vAlign w:val="center"/>
          </w:tcPr>
          <w:p w14:paraId="31CB986E" w14:textId="77777777" w:rsidR="003D1DEF" w:rsidRDefault="00000000">
            <w:r>
              <w:rPr>
                <w:sz w:val="17"/>
              </w:rPr>
              <w:t>Most frequent classified pressure source</w:t>
            </w:r>
          </w:p>
        </w:tc>
        <w:tc>
          <w:tcPr>
            <w:tcW w:w="3312" w:type="dxa"/>
            <w:shd w:val="clear" w:color="auto" w:fill="F7FAFC"/>
            <w:tcMar>
              <w:top w:w="80" w:type="dxa"/>
              <w:left w:w="80" w:type="dxa"/>
              <w:bottom w:w="80" w:type="dxa"/>
              <w:right w:w="80" w:type="dxa"/>
            </w:tcMar>
            <w:vAlign w:val="center"/>
          </w:tcPr>
          <w:p w14:paraId="6AA37333" w14:textId="77777777" w:rsidR="003D1DEF" w:rsidRDefault="00000000">
            <w:r>
              <w:rPr>
                <w:sz w:val="17"/>
              </w:rPr>
              <w:t>Identifies dominant operational risk source.</w:t>
            </w:r>
          </w:p>
        </w:tc>
      </w:tr>
    </w:tbl>
    <w:p w14:paraId="313D64A6" w14:textId="77777777" w:rsidR="003D1DEF" w:rsidRDefault="003D1DEF"/>
    <w:p w14:paraId="1B4AF0A0" w14:textId="77777777" w:rsidR="003D1DEF" w:rsidRDefault="00000000">
      <w:pPr>
        <w:pStyle w:val="Heading2"/>
        <w:spacing w:before="160" w:after="80"/>
      </w:pPr>
      <w:r>
        <w:rPr>
          <w:rFonts w:ascii="Calibri" w:hAnsi="Calibri"/>
          <w:color w:val="0F766E"/>
        </w:rPr>
        <w:t>Appendix B: Figure Register</w:t>
      </w:r>
    </w:p>
    <w:tbl>
      <w:tblPr>
        <w:tblStyle w:val="TableGrid"/>
        <w:tblW w:w="0" w:type="auto"/>
        <w:jc w:val="center"/>
        <w:tblLook w:val="04A0" w:firstRow="1" w:lastRow="0" w:firstColumn="1" w:lastColumn="0" w:noHBand="0" w:noVBand="1"/>
      </w:tblPr>
      <w:tblGrid>
        <w:gridCol w:w="2016"/>
        <w:gridCol w:w="4464"/>
        <w:gridCol w:w="3168"/>
      </w:tblGrid>
      <w:tr w:rsidR="003D1DEF" w14:paraId="36E04685" w14:textId="77777777">
        <w:trPr>
          <w:tblHeader/>
          <w:jc w:val="center"/>
        </w:trPr>
        <w:tc>
          <w:tcPr>
            <w:tcW w:w="2016" w:type="dxa"/>
            <w:shd w:val="clear" w:color="auto" w:fill="0B3D5C"/>
            <w:tcMar>
              <w:top w:w="80" w:type="dxa"/>
              <w:left w:w="80" w:type="dxa"/>
              <w:bottom w:w="80" w:type="dxa"/>
              <w:right w:w="80" w:type="dxa"/>
            </w:tcMar>
            <w:vAlign w:val="center"/>
          </w:tcPr>
          <w:p w14:paraId="24FDE612" w14:textId="77777777" w:rsidR="003D1DEF" w:rsidRDefault="00000000">
            <w:r>
              <w:rPr>
                <w:b/>
                <w:color w:val="FFFFFF"/>
                <w:sz w:val="15"/>
              </w:rPr>
              <w:t>Figure</w:t>
            </w:r>
          </w:p>
        </w:tc>
        <w:tc>
          <w:tcPr>
            <w:tcW w:w="4464" w:type="dxa"/>
            <w:shd w:val="clear" w:color="auto" w:fill="0B3D5C"/>
            <w:tcMar>
              <w:top w:w="80" w:type="dxa"/>
              <w:left w:w="80" w:type="dxa"/>
              <w:bottom w:w="80" w:type="dxa"/>
              <w:right w:w="80" w:type="dxa"/>
            </w:tcMar>
            <w:vAlign w:val="center"/>
          </w:tcPr>
          <w:p w14:paraId="3B700001" w14:textId="77777777" w:rsidR="003D1DEF" w:rsidRDefault="00000000">
            <w:r>
              <w:rPr>
                <w:b/>
                <w:color w:val="FFFFFF"/>
                <w:sz w:val="15"/>
              </w:rPr>
              <w:t>Description</w:t>
            </w:r>
          </w:p>
        </w:tc>
        <w:tc>
          <w:tcPr>
            <w:tcW w:w="3168" w:type="dxa"/>
            <w:shd w:val="clear" w:color="auto" w:fill="0B3D5C"/>
            <w:tcMar>
              <w:top w:w="80" w:type="dxa"/>
              <w:left w:w="80" w:type="dxa"/>
              <w:bottom w:w="80" w:type="dxa"/>
              <w:right w:w="80" w:type="dxa"/>
            </w:tcMar>
            <w:vAlign w:val="center"/>
          </w:tcPr>
          <w:p w14:paraId="52BCFA6F" w14:textId="77777777" w:rsidR="003D1DEF" w:rsidRDefault="00000000">
            <w:r>
              <w:rPr>
                <w:b/>
                <w:color w:val="FFFFFF"/>
                <w:sz w:val="15"/>
              </w:rPr>
              <w:t>Primary Placement</w:t>
            </w:r>
          </w:p>
        </w:tc>
      </w:tr>
      <w:tr w:rsidR="003D1DEF" w14:paraId="53113559" w14:textId="77777777">
        <w:trPr>
          <w:jc w:val="center"/>
        </w:trPr>
        <w:tc>
          <w:tcPr>
            <w:tcW w:w="2016" w:type="dxa"/>
            <w:shd w:val="clear" w:color="auto" w:fill="F7FAFC"/>
            <w:tcMar>
              <w:top w:w="80" w:type="dxa"/>
              <w:left w:w="80" w:type="dxa"/>
              <w:bottom w:w="80" w:type="dxa"/>
              <w:right w:w="80" w:type="dxa"/>
            </w:tcMar>
            <w:vAlign w:val="center"/>
          </w:tcPr>
          <w:p w14:paraId="54FE401F" w14:textId="77777777" w:rsidR="003D1DEF" w:rsidRDefault="00000000">
            <w:r>
              <w:rPr>
                <w:sz w:val="15"/>
              </w:rPr>
              <w:t>Figure 1</w:t>
            </w:r>
          </w:p>
        </w:tc>
        <w:tc>
          <w:tcPr>
            <w:tcW w:w="4464" w:type="dxa"/>
            <w:shd w:val="clear" w:color="auto" w:fill="F7FAFC"/>
            <w:tcMar>
              <w:top w:w="80" w:type="dxa"/>
              <w:left w:w="80" w:type="dxa"/>
              <w:bottom w:w="80" w:type="dxa"/>
              <w:right w:w="80" w:type="dxa"/>
            </w:tcMar>
            <w:vAlign w:val="center"/>
          </w:tcPr>
          <w:p w14:paraId="38EEBD01" w14:textId="77777777" w:rsidR="003D1DEF" w:rsidRDefault="00000000">
            <w:r>
              <w:rPr>
                <w:sz w:val="15"/>
              </w:rPr>
              <w:t>Key Performance Indicators</w:t>
            </w:r>
          </w:p>
        </w:tc>
        <w:tc>
          <w:tcPr>
            <w:tcW w:w="3168" w:type="dxa"/>
            <w:shd w:val="clear" w:color="auto" w:fill="F7FAFC"/>
            <w:tcMar>
              <w:top w:w="80" w:type="dxa"/>
              <w:left w:w="80" w:type="dxa"/>
              <w:bottom w:w="80" w:type="dxa"/>
              <w:right w:w="80" w:type="dxa"/>
            </w:tcMar>
            <w:vAlign w:val="center"/>
          </w:tcPr>
          <w:p w14:paraId="39D59DBD" w14:textId="77777777" w:rsidR="003D1DEF" w:rsidRDefault="00000000">
            <w:r>
              <w:rPr>
                <w:sz w:val="15"/>
              </w:rPr>
              <w:t>Executive Summary / KPI section</w:t>
            </w:r>
          </w:p>
        </w:tc>
      </w:tr>
      <w:tr w:rsidR="003D1DEF" w14:paraId="40A5CD76" w14:textId="77777777">
        <w:trPr>
          <w:jc w:val="center"/>
        </w:trPr>
        <w:tc>
          <w:tcPr>
            <w:tcW w:w="2016" w:type="dxa"/>
            <w:shd w:val="clear" w:color="auto" w:fill="FFFFFF"/>
            <w:tcMar>
              <w:top w:w="80" w:type="dxa"/>
              <w:left w:w="80" w:type="dxa"/>
              <w:bottom w:w="80" w:type="dxa"/>
              <w:right w:w="80" w:type="dxa"/>
            </w:tcMar>
            <w:vAlign w:val="center"/>
          </w:tcPr>
          <w:p w14:paraId="5638816E" w14:textId="77777777" w:rsidR="003D1DEF" w:rsidRDefault="00000000">
            <w:r>
              <w:rPr>
                <w:sz w:val="15"/>
              </w:rPr>
              <w:t>Figure 2</w:t>
            </w:r>
          </w:p>
        </w:tc>
        <w:tc>
          <w:tcPr>
            <w:tcW w:w="4464" w:type="dxa"/>
            <w:shd w:val="clear" w:color="auto" w:fill="FFFFFF"/>
            <w:tcMar>
              <w:top w:w="80" w:type="dxa"/>
              <w:left w:w="80" w:type="dxa"/>
              <w:bottom w:w="80" w:type="dxa"/>
              <w:right w:w="80" w:type="dxa"/>
            </w:tcMar>
            <w:vAlign w:val="center"/>
          </w:tcPr>
          <w:p w14:paraId="50CA3A98" w14:textId="77777777" w:rsidR="003D1DEF" w:rsidRDefault="00000000">
            <w:r>
              <w:rPr>
                <w:sz w:val="15"/>
              </w:rPr>
              <w:t>Diagnostic Metric Explorer</w:t>
            </w:r>
          </w:p>
        </w:tc>
        <w:tc>
          <w:tcPr>
            <w:tcW w:w="3168" w:type="dxa"/>
            <w:shd w:val="clear" w:color="auto" w:fill="FFFFFF"/>
            <w:tcMar>
              <w:top w:w="80" w:type="dxa"/>
              <w:left w:w="80" w:type="dxa"/>
              <w:bottom w:w="80" w:type="dxa"/>
              <w:right w:w="80" w:type="dxa"/>
            </w:tcMar>
            <w:vAlign w:val="center"/>
          </w:tcPr>
          <w:p w14:paraId="7936A6B1" w14:textId="77777777" w:rsidR="003D1DEF" w:rsidRDefault="00000000">
            <w:r>
              <w:rPr>
                <w:sz w:val="15"/>
              </w:rPr>
              <w:t>Methodology / Dashboard Implementation</w:t>
            </w:r>
          </w:p>
        </w:tc>
      </w:tr>
      <w:tr w:rsidR="003D1DEF" w14:paraId="1D13EE89" w14:textId="77777777">
        <w:trPr>
          <w:jc w:val="center"/>
        </w:trPr>
        <w:tc>
          <w:tcPr>
            <w:tcW w:w="2016" w:type="dxa"/>
            <w:shd w:val="clear" w:color="auto" w:fill="F7FAFC"/>
            <w:tcMar>
              <w:top w:w="80" w:type="dxa"/>
              <w:left w:w="80" w:type="dxa"/>
              <w:bottom w:w="80" w:type="dxa"/>
              <w:right w:w="80" w:type="dxa"/>
            </w:tcMar>
            <w:vAlign w:val="center"/>
          </w:tcPr>
          <w:p w14:paraId="33C7F6C5" w14:textId="77777777" w:rsidR="003D1DEF" w:rsidRDefault="00000000">
            <w:r>
              <w:rPr>
                <w:sz w:val="15"/>
              </w:rPr>
              <w:t>Figure 3</w:t>
            </w:r>
          </w:p>
        </w:tc>
        <w:tc>
          <w:tcPr>
            <w:tcW w:w="4464" w:type="dxa"/>
            <w:shd w:val="clear" w:color="auto" w:fill="F7FAFC"/>
            <w:tcMar>
              <w:top w:w="80" w:type="dxa"/>
              <w:left w:w="80" w:type="dxa"/>
              <w:bottom w:w="80" w:type="dxa"/>
              <w:right w:w="80" w:type="dxa"/>
            </w:tcMar>
            <w:vAlign w:val="center"/>
          </w:tcPr>
          <w:p w14:paraId="1952A14F" w14:textId="77777777" w:rsidR="003D1DEF" w:rsidRDefault="00000000">
            <w:r>
              <w:rPr>
                <w:sz w:val="15"/>
              </w:rPr>
              <w:t>Guideline KPI Health Ranking</w:t>
            </w:r>
          </w:p>
        </w:tc>
        <w:tc>
          <w:tcPr>
            <w:tcW w:w="3168" w:type="dxa"/>
            <w:shd w:val="clear" w:color="auto" w:fill="F7FAFC"/>
            <w:tcMar>
              <w:top w:w="80" w:type="dxa"/>
              <w:left w:w="80" w:type="dxa"/>
              <w:bottom w:w="80" w:type="dxa"/>
              <w:right w:w="80" w:type="dxa"/>
            </w:tcMar>
            <w:vAlign w:val="center"/>
          </w:tcPr>
          <w:p w14:paraId="120320F4" w14:textId="77777777" w:rsidR="003D1DEF" w:rsidRDefault="00000000">
            <w:r>
              <w:rPr>
                <w:sz w:val="15"/>
              </w:rPr>
              <w:t>KPI section</w:t>
            </w:r>
          </w:p>
        </w:tc>
      </w:tr>
      <w:tr w:rsidR="003D1DEF" w14:paraId="5A6E8D7B" w14:textId="77777777">
        <w:trPr>
          <w:jc w:val="center"/>
        </w:trPr>
        <w:tc>
          <w:tcPr>
            <w:tcW w:w="2016" w:type="dxa"/>
            <w:shd w:val="clear" w:color="auto" w:fill="FFFFFF"/>
            <w:tcMar>
              <w:top w:w="80" w:type="dxa"/>
              <w:left w:w="80" w:type="dxa"/>
              <w:bottom w:w="80" w:type="dxa"/>
              <w:right w:w="80" w:type="dxa"/>
            </w:tcMar>
            <w:vAlign w:val="center"/>
          </w:tcPr>
          <w:p w14:paraId="20B2B299" w14:textId="77777777" w:rsidR="003D1DEF" w:rsidRDefault="00000000">
            <w:r>
              <w:rPr>
                <w:sz w:val="15"/>
              </w:rPr>
              <w:t>Figure 4</w:t>
            </w:r>
          </w:p>
        </w:tc>
        <w:tc>
          <w:tcPr>
            <w:tcW w:w="4464" w:type="dxa"/>
            <w:shd w:val="clear" w:color="auto" w:fill="FFFFFF"/>
            <w:tcMar>
              <w:top w:w="80" w:type="dxa"/>
              <w:left w:w="80" w:type="dxa"/>
              <w:bottom w:w="80" w:type="dxa"/>
              <w:right w:w="80" w:type="dxa"/>
            </w:tcMar>
            <w:vAlign w:val="center"/>
          </w:tcPr>
          <w:p w14:paraId="027A4D3C" w14:textId="77777777" w:rsidR="003D1DEF" w:rsidRDefault="00000000">
            <w:r>
              <w:rPr>
                <w:sz w:val="15"/>
              </w:rPr>
              <w:t>System Load Trend</w:t>
            </w:r>
          </w:p>
        </w:tc>
        <w:tc>
          <w:tcPr>
            <w:tcW w:w="3168" w:type="dxa"/>
            <w:shd w:val="clear" w:color="auto" w:fill="FFFFFF"/>
            <w:tcMar>
              <w:top w:w="80" w:type="dxa"/>
              <w:left w:w="80" w:type="dxa"/>
              <w:bottom w:w="80" w:type="dxa"/>
              <w:right w:w="80" w:type="dxa"/>
            </w:tcMar>
            <w:vAlign w:val="center"/>
          </w:tcPr>
          <w:p w14:paraId="28F1AC5F" w14:textId="77777777" w:rsidR="003D1DEF" w:rsidRDefault="00000000">
            <w:r>
              <w:rPr>
                <w:sz w:val="15"/>
              </w:rPr>
              <w:t>Exploratory Data Analysis</w:t>
            </w:r>
          </w:p>
        </w:tc>
      </w:tr>
      <w:tr w:rsidR="003D1DEF" w14:paraId="1F697F97" w14:textId="77777777">
        <w:trPr>
          <w:jc w:val="center"/>
        </w:trPr>
        <w:tc>
          <w:tcPr>
            <w:tcW w:w="2016" w:type="dxa"/>
            <w:shd w:val="clear" w:color="auto" w:fill="F7FAFC"/>
            <w:tcMar>
              <w:top w:w="80" w:type="dxa"/>
              <w:left w:w="80" w:type="dxa"/>
              <w:bottom w:w="80" w:type="dxa"/>
              <w:right w:w="80" w:type="dxa"/>
            </w:tcMar>
            <w:vAlign w:val="center"/>
          </w:tcPr>
          <w:p w14:paraId="5E3697C6" w14:textId="77777777" w:rsidR="003D1DEF" w:rsidRDefault="00000000">
            <w:r>
              <w:rPr>
                <w:sz w:val="15"/>
              </w:rPr>
              <w:t>Figure 5</w:t>
            </w:r>
          </w:p>
        </w:tc>
        <w:tc>
          <w:tcPr>
            <w:tcW w:w="4464" w:type="dxa"/>
            <w:shd w:val="clear" w:color="auto" w:fill="F7FAFC"/>
            <w:tcMar>
              <w:top w:w="80" w:type="dxa"/>
              <w:left w:w="80" w:type="dxa"/>
              <w:bottom w:w="80" w:type="dxa"/>
              <w:right w:w="80" w:type="dxa"/>
            </w:tcMar>
            <w:vAlign w:val="center"/>
          </w:tcPr>
          <w:p w14:paraId="6F697CF0" w14:textId="77777777" w:rsidR="003D1DEF" w:rsidRDefault="00000000">
            <w:r>
              <w:rPr>
                <w:sz w:val="15"/>
              </w:rPr>
              <w:t>Pressure vs Relief Movement</w:t>
            </w:r>
          </w:p>
        </w:tc>
        <w:tc>
          <w:tcPr>
            <w:tcW w:w="3168" w:type="dxa"/>
            <w:shd w:val="clear" w:color="auto" w:fill="F7FAFC"/>
            <w:tcMar>
              <w:top w:w="80" w:type="dxa"/>
              <w:left w:w="80" w:type="dxa"/>
              <w:bottom w:w="80" w:type="dxa"/>
              <w:right w:w="80" w:type="dxa"/>
            </w:tcMar>
            <w:vAlign w:val="center"/>
          </w:tcPr>
          <w:p w14:paraId="3CEB069D" w14:textId="77777777" w:rsidR="003D1DEF" w:rsidRDefault="00000000">
            <w:r>
              <w:rPr>
                <w:sz w:val="15"/>
              </w:rPr>
              <w:t>Exploratory Data Analysis</w:t>
            </w:r>
          </w:p>
        </w:tc>
      </w:tr>
      <w:tr w:rsidR="003D1DEF" w14:paraId="41D2744C" w14:textId="77777777">
        <w:trPr>
          <w:jc w:val="center"/>
        </w:trPr>
        <w:tc>
          <w:tcPr>
            <w:tcW w:w="2016" w:type="dxa"/>
            <w:shd w:val="clear" w:color="auto" w:fill="FFFFFF"/>
            <w:tcMar>
              <w:top w:w="80" w:type="dxa"/>
              <w:left w:w="80" w:type="dxa"/>
              <w:bottom w:w="80" w:type="dxa"/>
              <w:right w:w="80" w:type="dxa"/>
            </w:tcMar>
            <w:vAlign w:val="center"/>
          </w:tcPr>
          <w:p w14:paraId="2D50936E" w14:textId="77777777" w:rsidR="003D1DEF" w:rsidRDefault="00000000">
            <w:r>
              <w:rPr>
                <w:sz w:val="15"/>
              </w:rPr>
              <w:t>Figure 6</w:t>
            </w:r>
          </w:p>
        </w:tc>
        <w:tc>
          <w:tcPr>
            <w:tcW w:w="4464" w:type="dxa"/>
            <w:shd w:val="clear" w:color="auto" w:fill="FFFFFF"/>
            <w:tcMar>
              <w:top w:w="80" w:type="dxa"/>
              <w:left w:w="80" w:type="dxa"/>
              <w:bottom w:w="80" w:type="dxa"/>
              <w:right w:w="80" w:type="dxa"/>
            </w:tcMar>
            <w:vAlign w:val="center"/>
          </w:tcPr>
          <w:p w14:paraId="0734B90F" w14:textId="77777777" w:rsidR="003D1DEF" w:rsidRDefault="00000000">
            <w:r>
              <w:rPr>
                <w:sz w:val="15"/>
              </w:rPr>
              <w:t>Capacity Position</w:t>
            </w:r>
          </w:p>
        </w:tc>
        <w:tc>
          <w:tcPr>
            <w:tcW w:w="3168" w:type="dxa"/>
            <w:shd w:val="clear" w:color="auto" w:fill="FFFFFF"/>
            <w:tcMar>
              <w:top w:w="80" w:type="dxa"/>
              <w:left w:w="80" w:type="dxa"/>
              <w:bottom w:w="80" w:type="dxa"/>
              <w:right w:w="80" w:type="dxa"/>
            </w:tcMar>
            <w:vAlign w:val="center"/>
          </w:tcPr>
          <w:p w14:paraId="0CAC1C9D" w14:textId="77777777" w:rsidR="003D1DEF" w:rsidRDefault="00000000">
            <w:r>
              <w:rPr>
                <w:sz w:val="15"/>
              </w:rPr>
              <w:t>Exploratory Data Analysis</w:t>
            </w:r>
          </w:p>
        </w:tc>
      </w:tr>
      <w:tr w:rsidR="003D1DEF" w14:paraId="21D3808B" w14:textId="77777777">
        <w:trPr>
          <w:jc w:val="center"/>
        </w:trPr>
        <w:tc>
          <w:tcPr>
            <w:tcW w:w="2016" w:type="dxa"/>
            <w:shd w:val="clear" w:color="auto" w:fill="F7FAFC"/>
            <w:tcMar>
              <w:top w:w="80" w:type="dxa"/>
              <w:left w:w="80" w:type="dxa"/>
              <w:bottom w:w="80" w:type="dxa"/>
              <w:right w:w="80" w:type="dxa"/>
            </w:tcMar>
            <w:vAlign w:val="center"/>
          </w:tcPr>
          <w:p w14:paraId="41C46977" w14:textId="77777777" w:rsidR="003D1DEF" w:rsidRDefault="00000000">
            <w:r>
              <w:rPr>
                <w:sz w:val="15"/>
              </w:rPr>
              <w:t>Figure 7</w:t>
            </w:r>
          </w:p>
        </w:tc>
        <w:tc>
          <w:tcPr>
            <w:tcW w:w="4464" w:type="dxa"/>
            <w:shd w:val="clear" w:color="auto" w:fill="F7FAFC"/>
            <w:tcMar>
              <w:top w:w="80" w:type="dxa"/>
              <w:left w:w="80" w:type="dxa"/>
              <w:bottom w:w="80" w:type="dxa"/>
              <w:right w:w="80" w:type="dxa"/>
            </w:tcMar>
            <w:vAlign w:val="center"/>
          </w:tcPr>
          <w:p w14:paraId="270EDC9D" w14:textId="77777777" w:rsidR="003D1DEF" w:rsidRDefault="00000000">
            <w:r>
              <w:rPr>
                <w:sz w:val="15"/>
              </w:rPr>
              <w:t>Module 1 Intelligence Cards</w:t>
            </w:r>
          </w:p>
        </w:tc>
        <w:tc>
          <w:tcPr>
            <w:tcW w:w="3168" w:type="dxa"/>
            <w:shd w:val="clear" w:color="auto" w:fill="F7FAFC"/>
            <w:tcMar>
              <w:top w:w="80" w:type="dxa"/>
              <w:left w:w="80" w:type="dxa"/>
              <w:bottom w:w="80" w:type="dxa"/>
              <w:right w:w="80" w:type="dxa"/>
            </w:tcMar>
            <w:vAlign w:val="center"/>
          </w:tcPr>
          <w:p w14:paraId="00323979" w14:textId="77777777" w:rsidR="003D1DEF" w:rsidRDefault="00000000">
            <w:r>
              <w:rPr>
                <w:sz w:val="15"/>
              </w:rPr>
              <w:t>System Load Overview</w:t>
            </w:r>
          </w:p>
        </w:tc>
      </w:tr>
      <w:tr w:rsidR="003D1DEF" w14:paraId="11FB5A9F" w14:textId="77777777">
        <w:trPr>
          <w:jc w:val="center"/>
        </w:trPr>
        <w:tc>
          <w:tcPr>
            <w:tcW w:w="2016" w:type="dxa"/>
            <w:shd w:val="clear" w:color="auto" w:fill="FFFFFF"/>
            <w:tcMar>
              <w:top w:w="80" w:type="dxa"/>
              <w:left w:w="80" w:type="dxa"/>
              <w:bottom w:w="80" w:type="dxa"/>
              <w:right w:w="80" w:type="dxa"/>
            </w:tcMar>
            <w:vAlign w:val="center"/>
          </w:tcPr>
          <w:p w14:paraId="49F72711" w14:textId="77777777" w:rsidR="003D1DEF" w:rsidRDefault="00000000">
            <w:r>
              <w:rPr>
                <w:sz w:val="15"/>
              </w:rPr>
              <w:t>Figure 8</w:t>
            </w:r>
          </w:p>
        </w:tc>
        <w:tc>
          <w:tcPr>
            <w:tcW w:w="4464" w:type="dxa"/>
            <w:shd w:val="clear" w:color="auto" w:fill="FFFFFF"/>
            <w:tcMar>
              <w:top w:w="80" w:type="dxa"/>
              <w:left w:w="80" w:type="dxa"/>
              <w:bottom w:w="80" w:type="dxa"/>
              <w:right w:w="80" w:type="dxa"/>
            </w:tcMar>
            <w:vAlign w:val="center"/>
          </w:tcPr>
          <w:p w14:paraId="29A2A5D9" w14:textId="77777777" w:rsidR="003D1DEF" w:rsidRDefault="00000000">
            <w:r>
              <w:rPr>
                <w:sz w:val="15"/>
              </w:rPr>
              <w:t>Risk &amp; Stability</w:t>
            </w:r>
          </w:p>
        </w:tc>
        <w:tc>
          <w:tcPr>
            <w:tcW w:w="3168" w:type="dxa"/>
            <w:shd w:val="clear" w:color="auto" w:fill="FFFFFF"/>
            <w:tcMar>
              <w:top w:w="80" w:type="dxa"/>
              <w:left w:w="80" w:type="dxa"/>
              <w:bottom w:w="80" w:type="dxa"/>
              <w:right w:w="80" w:type="dxa"/>
            </w:tcMar>
            <w:vAlign w:val="center"/>
          </w:tcPr>
          <w:p w14:paraId="5FC1342C" w14:textId="77777777" w:rsidR="003D1DEF" w:rsidRDefault="00000000">
            <w:r>
              <w:rPr>
                <w:sz w:val="15"/>
              </w:rPr>
              <w:t>Pressure and Stability Analysis</w:t>
            </w:r>
          </w:p>
        </w:tc>
      </w:tr>
      <w:tr w:rsidR="003D1DEF" w14:paraId="0225FC73" w14:textId="77777777">
        <w:trPr>
          <w:jc w:val="center"/>
        </w:trPr>
        <w:tc>
          <w:tcPr>
            <w:tcW w:w="2016" w:type="dxa"/>
            <w:shd w:val="clear" w:color="auto" w:fill="F7FAFC"/>
            <w:tcMar>
              <w:top w:w="80" w:type="dxa"/>
              <w:left w:w="80" w:type="dxa"/>
              <w:bottom w:w="80" w:type="dxa"/>
              <w:right w:w="80" w:type="dxa"/>
            </w:tcMar>
            <w:vAlign w:val="center"/>
          </w:tcPr>
          <w:p w14:paraId="72D0490B" w14:textId="77777777" w:rsidR="003D1DEF" w:rsidRDefault="00000000">
            <w:r>
              <w:rPr>
                <w:sz w:val="15"/>
              </w:rPr>
              <w:t>Figure 9</w:t>
            </w:r>
          </w:p>
        </w:tc>
        <w:tc>
          <w:tcPr>
            <w:tcW w:w="4464" w:type="dxa"/>
            <w:shd w:val="clear" w:color="auto" w:fill="F7FAFC"/>
            <w:tcMar>
              <w:top w:w="80" w:type="dxa"/>
              <w:left w:w="80" w:type="dxa"/>
              <w:bottom w:w="80" w:type="dxa"/>
              <w:right w:w="80" w:type="dxa"/>
            </w:tcMar>
            <w:vAlign w:val="center"/>
          </w:tcPr>
          <w:p w14:paraId="3B8F2F8B" w14:textId="77777777" w:rsidR="003D1DEF" w:rsidRDefault="00000000">
            <w:r>
              <w:rPr>
                <w:sz w:val="15"/>
              </w:rPr>
              <w:t>CBP vs HHS Module Overview</w:t>
            </w:r>
          </w:p>
        </w:tc>
        <w:tc>
          <w:tcPr>
            <w:tcW w:w="3168" w:type="dxa"/>
            <w:shd w:val="clear" w:color="auto" w:fill="F7FAFC"/>
            <w:tcMar>
              <w:top w:w="80" w:type="dxa"/>
              <w:left w:w="80" w:type="dxa"/>
              <w:bottom w:w="80" w:type="dxa"/>
              <w:right w:w="80" w:type="dxa"/>
            </w:tcMar>
            <w:vAlign w:val="center"/>
          </w:tcPr>
          <w:p w14:paraId="7F1FCDC5" w14:textId="77777777" w:rsidR="003D1DEF" w:rsidRDefault="00000000">
            <w:r>
              <w:rPr>
                <w:sz w:val="15"/>
              </w:rPr>
              <w:t>CBP vs HHS Analysis</w:t>
            </w:r>
          </w:p>
        </w:tc>
      </w:tr>
      <w:tr w:rsidR="003D1DEF" w14:paraId="13F2986B" w14:textId="77777777">
        <w:trPr>
          <w:jc w:val="center"/>
        </w:trPr>
        <w:tc>
          <w:tcPr>
            <w:tcW w:w="2016" w:type="dxa"/>
            <w:shd w:val="clear" w:color="auto" w:fill="FFFFFF"/>
            <w:tcMar>
              <w:top w:w="80" w:type="dxa"/>
              <w:left w:w="80" w:type="dxa"/>
              <w:bottom w:w="80" w:type="dxa"/>
              <w:right w:w="80" w:type="dxa"/>
            </w:tcMar>
            <w:vAlign w:val="center"/>
          </w:tcPr>
          <w:p w14:paraId="06528140" w14:textId="77777777" w:rsidR="003D1DEF" w:rsidRDefault="00000000">
            <w:r>
              <w:rPr>
                <w:sz w:val="15"/>
              </w:rPr>
              <w:t>Figure 10</w:t>
            </w:r>
          </w:p>
        </w:tc>
        <w:tc>
          <w:tcPr>
            <w:tcW w:w="4464" w:type="dxa"/>
            <w:shd w:val="clear" w:color="auto" w:fill="FFFFFF"/>
            <w:tcMar>
              <w:top w:w="80" w:type="dxa"/>
              <w:left w:w="80" w:type="dxa"/>
              <w:bottom w:w="80" w:type="dxa"/>
              <w:right w:w="80" w:type="dxa"/>
            </w:tcMar>
            <w:vAlign w:val="center"/>
          </w:tcPr>
          <w:p w14:paraId="263533F1" w14:textId="77777777" w:rsidR="003D1DEF" w:rsidRDefault="00000000">
            <w:r>
              <w:rPr>
                <w:sz w:val="15"/>
              </w:rPr>
              <w:t>CBP vs HHS Responsibility Trend</w:t>
            </w:r>
          </w:p>
        </w:tc>
        <w:tc>
          <w:tcPr>
            <w:tcW w:w="3168" w:type="dxa"/>
            <w:shd w:val="clear" w:color="auto" w:fill="FFFFFF"/>
            <w:tcMar>
              <w:top w:w="80" w:type="dxa"/>
              <w:left w:w="80" w:type="dxa"/>
              <w:bottom w:w="80" w:type="dxa"/>
              <w:right w:w="80" w:type="dxa"/>
            </w:tcMar>
            <w:vAlign w:val="center"/>
          </w:tcPr>
          <w:p w14:paraId="62167E27" w14:textId="77777777" w:rsidR="003D1DEF" w:rsidRDefault="00000000">
            <w:r>
              <w:rPr>
                <w:sz w:val="15"/>
              </w:rPr>
              <w:t>CBP vs HHS Analysis</w:t>
            </w:r>
          </w:p>
        </w:tc>
      </w:tr>
      <w:tr w:rsidR="003D1DEF" w14:paraId="19E6C953" w14:textId="77777777">
        <w:trPr>
          <w:jc w:val="center"/>
        </w:trPr>
        <w:tc>
          <w:tcPr>
            <w:tcW w:w="2016" w:type="dxa"/>
            <w:shd w:val="clear" w:color="auto" w:fill="F7FAFC"/>
            <w:tcMar>
              <w:top w:w="80" w:type="dxa"/>
              <w:left w:w="80" w:type="dxa"/>
              <w:bottom w:w="80" w:type="dxa"/>
              <w:right w:w="80" w:type="dxa"/>
            </w:tcMar>
            <w:vAlign w:val="center"/>
          </w:tcPr>
          <w:p w14:paraId="5CCDEE6D" w14:textId="77777777" w:rsidR="003D1DEF" w:rsidRDefault="00000000">
            <w:r>
              <w:rPr>
                <w:sz w:val="15"/>
              </w:rPr>
              <w:t>Figure 11</w:t>
            </w:r>
          </w:p>
        </w:tc>
        <w:tc>
          <w:tcPr>
            <w:tcW w:w="4464" w:type="dxa"/>
            <w:shd w:val="clear" w:color="auto" w:fill="F7FAFC"/>
            <w:tcMar>
              <w:top w:w="80" w:type="dxa"/>
              <w:left w:w="80" w:type="dxa"/>
              <w:bottom w:w="80" w:type="dxa"/>
              <w:right w:w="80" w:type="dxa"/>
            </w:tcMar>
            <w:vAlign w:val="center"/>
          </w:tcPr>
          <w:p w14:paraId="6340B638" w14:textId="77777777" w:rsidR="003D1DEF" w:rsidRDefault="00000000">
            <w:r>
              <w:rPr>
                <w:sz w:val="15"/>
              </w:rPr>
              <w:t>Latest Responsibility Split</w:t>
            </w:r>
          </w:p>
        </w:tc>
        <w:tc>
          <w:tcPr>
            <w:tcW w:w="3168" w:type="dxa"/>
            <w:shd w:val="clear" w:color="auto" w:fill="F7FAFC"/>
            <w:tcMar>
              <w:top w:w="80" w:type="dxa"/>
              <w:left w:w="80" w:type="dxa"/>
              <w:bottom w:w="80" w:type="dxa"/>
              <w:right w:w="80" w:type="dxa"/>
            </w:tcMar>
            <w:vAlign w:val="center"/>
          </w:tcPr>
          <w:p w14:paraId="449B6E64" w14:textId="77777777" w:rsidR="003D1DEF" w:rsidRDefault="00000000">
            <w:r>
              <w:rPr>
                <w:sz w:val="15"/>
              </w:rPr>
              <w:t>CBP vs HHS Analysis</w:t>
            </w:r>
          </w:p>
        </w:tc>
      </w:tr>
      <w:tr w:rsidR="003D1DEF" w14:paraId="48E652C8" w14:textId="77777777">
        <w:trPr>
          <w:jc w:val="center"/>
        </w:trPr>
        <w:tc>
          <w:tcPr>
            <w:tcW w:w="2016" w:type="dxa"/>
            <w:shd w:val="clear" w:color="auto" w:fill="FFFFFF"/>
            <w:tcMar>
              <w:top w:w="80" w:type="dxa"/>
              <w:left w:w="80" w:type="dxa"/>
              <w:bottom w:w="80" w:type="dxa"/>
              <w:right w:w="80" w:type="dxa"/>
            </w:tcMar>
            <w:vAlign w:val="center"/>
          </w:tcPr>
          <w:p w14:paraId="45C62435" w14:textId="77777777" w:rsidR="003D1DEF" w:rsidRDefault="00000000">
            <w:r>
              <w:rPr>
                <w:sz w:val="15"/>
              </w:rPr>
              <w:t>Figure 12</w:t>
            </w:r>
          </w:p>
        </w:tc>
        <w:tc>
          <w:tcPr>
            <w:tcW w:w="4464" w:type="dxa"/>
            <w:shd w:val="clear" w:color="auto" w:fill="FFFFFF"/>
            <w:tcMar>
              <w:top w:w="80" w:type="dxa"/>
              <w:left w:w="80" w:type="dxa"/>
              <w:bottom w:w="80" w:type="dxa"/>
              <w:right w:w="80" w:type="dxa"/>
            </w:tcMar>
            <w:vAlign w:val="center"/>
          </w:tcPr>
          <w:p w14:paraId="5D67E1CA" w14:textId="77777777" w:rsidR="003D1DEF" w:rsidRDefault="00000000">
            <w:r>
              <w:rPr>
                <w:sz w:val="15"/>
              </w:rPr>
              <w:t>Responsibility Share Shift</w:t>
            </w:r>
          </w:p>
        </w:tc>
        <w:tc>
          <w:tcPr>
            <w:tcW w:w="3168" w:type="dxa"/>
            <w:shd w:val="clear" w:color="auto" w:fill="FFFFFF"/>
            <w:tcMar>
              <w:top w:w="80" w:type="dxa"/>
              <w:left w:w="80" w:type="dxa"/>
              <w:bottom w:w="80" w:type="dxa"/>
              <w:right w:w="80" w:type="dxa"/>
            </w:tcMar>
            <w:vAlign w:val="center"/>
          </w:tcPr>
          <w:p w14:paraId="754DE8BB" w14:textId="77777777" w:rsidR="003D1DEF" w:rsidRDefault="00000000">
            <w:r>
              <w:rPr>
                <w:sz w:val="15"/>
              </w:rPr>
              <w:t>CBP vs HHS Analysis</w:t>
            </w:r>
          </w:p>
        </w:tc>
      </w:tr>
      <w:tr w:rsidR="003D1DEF" w14:paraId="09EAA75B" w14:textId="77777777">
        <w:trPr>
          <w:jc w:val="center"/>
        </w:trPr>
        <w:tc>
          <w:tcPr>
            <w:tcW w:w="2016" w:type="dxa"/>
            <w:shd w:val="clear" w:color="auto" w:fill="F7FAFC"/>
            <w:tcMar>
              <w:top w:w="80" w:type="dxa"/>
              <w:left w:w="80" w:type="dxa"/>
              <w:bottom w:w="80" w:type="dxa"/>
              <w:right w:w="80" w:type="dxa"/>
            </w:tcMar>
            <w:vAlign w:val="center"/>
          </w:tcPr>
          <w:p w14:paraId="47029E71" w14:textId="77777777" w:rsidR="003D1DEF" w:rsidRDefault="00000000">
            <w:r>
              <w:rPr>
                <w:sz w:val="15"/>
              </w:rPr>
              <w:t>Figure 13</w:t>
            </w:r>
          </w:p>
        </w:tc>
        <w:tc>
          <w:tcPr>
            <w:tcW w:w="4464" w:type="dxa"/>
            <w:shd w:val="clear" w:color="auto" w:fill="F7FAFC"/>
            <w:tcMar>
              <w:top w:w="80" w:type="dxa"/>
              <w:left w:w="80" w:type="dxa"/>
              <w:bottom w:w="80" w:type="dxa"/>
              <w:right w:w="80" w:type="dxa"/>
            </w:tcMar>
            <w:vAlign w:val="center"/>
          </w:tcPr>
          <w:p w14:paraId="4A854272" w14:textId="77777777" w:rsidR="003D1DEF" w:rsidRDefault="00000000">
            <w:r>
              <w:rPr>
                <w:sz w:val="15"/>
              </w:rPr>
              <w:t>Module 3 Flow Cards</w:t>
            </w:r>
          </w:p>
        </w:tc>
        <w:tc>
          <w:tcPr>
            <w:tcW w:w="3168" w:type="dxa"/>
            <w:shd w:val="clear" w:color="auto" w:fill="F7FAFC"/>
            <w:tcMar>
              <w:top w:w="80" w:type="dxa"/>
              <w:left w:w="80" w:type="dxa"/>
              <w:bottom w:w="80" w:type="dxa"/>
              <w:right w:w="80" w:type="dxa"/>
            </w:tcMar>
            <w:vAlign w:val="center"/>
          </w:tcPr>
          <w:p w14:paraId="7552F0BE" w14:textId="77777777" w:rsidR="003D1DEF" w:rsidRDefault="00000000">
            <w:r>
              <w:rPr>
                <w:sz w:val="15"/>
              </w:rPr>
              <w:t>Net Intake and Backlog Analysis</w:t>
            </w:r>
          </w:p>
        </w:tc>
      </w:tr>
      <w:tr w:rsidR="003D1DEF" w14:paraId="3822654E" w14:textId="77777777">
        <w:trPr>
          <w:jc w:val="center"/>
        </w:trPr>
        <w:tc>
          <w:tcPr>
            <w:tcW w:w="2016" w:type="dxa"/>
            <w:shd w:val="clear" w:color="auto" w:fill="FFFFFF"/>
            <w:tcMar>
              <w:top w:w="80" w:type="dxa"/>
              <w:left w:w="80" w:type="dxa"/>
              <w:bottom w:w="80" w:type="dxa"/>
              <w:right w:w="80" w:type="dxa"/>
            </w:tcMar>
            <w:vAlign w:val="center"/>
          </w:tcPr>
          <w:p w14:paraId="0A230B21" w14:textId="77777777" w:rsidR="003D1DEF" w:rsidRDefault="00000000">
            <w:r>
              <w:rPr>
                <w:sz w:val="15"/>
              </w:rPr>
              <w:t>Figure 14</w:t>
            </w:r>
          </w:p>
        </w:tc>
        <w:tc>
          <w:tcPr>
            <w:tcW w:w="4464" w:type="dxa"/>
            <w:shd w:val="clear" w:color="auto" w:fill="FFFFFF"/>
            <w:tcMar>
              <w:top w:w="80" w:type="dxa"/>
              <w:left w:w="80" w:type="dxa"/>
              <w:bottom w:w="80" w:type="dxa"/>
              <w:right w:w="80" w:type="dxa"/>
            </w:tcMar>
            <w:vAlign w:val="center"/>
          </w:tcPr>
          <w:p w14:paraId="7D6EA5E2" w14:textId="77777777" w:rsidR="003D1DEF" w:rsidRDefault="00000000">
            <w:r>
              <w:rPr>
                <w:sz w:val="15"/>
              </w:rPr>
              <w:t>Transfers vs Discharges Flow Balance</w:t>
            </w:r>
          </w:p>
        </w:tc>
        <w:tc>
          <w:tcPr>
            <w:tcW w:w="3168" w:type="dxa"/>
            <w:shd w:val="clear" w:color="auto" w:fill="FFFFFF"/>
            <w:tcMar>
              <w:top w:w="80" w:type="dxa"/>
              <w:left w:w="80" w:type="dxa"/>
              <w:bottom w:w="80" w:type="dxa"/>
              <w:right w:w="80" w:type="dxa"/>
            </w:tcMar>
            <w:vAlign w:val="center"/>
          </w:tcPr>
          <w:p w14:paraId="18DED873" w14:textId="77777777" w:rsidR="003D1DEF" w:rsidRDefault="00000000">
            <w:r>
              <w:rPr>
                <w:sz w:val="15"/>
              </w:rPr>
              <w:t>Net Intake and Backlog Analysis</w:t>
            </w:r>
          </w:p>
        </w:tc>
      </w:tr>
      <w:tr w:rsidR="003D1DEF" w14:paraId="403FE22C" w14:textId="77777777">
        <w:trPr>
          <w:jc w:val="center"/>
        </w:trPr>
        <w:tc>
          <w:tcPr>
            <w:tcW w:w="2016" w:type="dxa"/>
            <w:shd w:val="clear" w:color="auto" w:fill="F7FAFC"/>
            <w:tcMar>
              <w:top w:w="80" w:type="dxa"/>
              <w:left w:w="80" w:type="dxa"/>
              <w:bottom w:w="80" w:type="dxa"/>
              <w:right w:w="80" w:type="dxa"/>
            </w:tcMar>
            <w:vAlign w:val="center"/>
          </w:tcPr>
          <w:p w14:paraId="1A953DA6" w14:textId="77777777" w:rsidR="003D1DEF" w:rsidRDefault="00000000">
            <w:r>
              <w:rPr>
                <w:sz w:val="15"/>
              </w:rPr>
              <w:t>Figure 15</w:t>
            </w:r>
          </w:p>
        </w:tc>
        <w:tc>
          <w:tcPr>
            <w:tcW w:w="4464" w:type="dxa"/>
            <w:shd w:val="clear" w:color="auto" w:fill="F7FAFC"/>
            <w:tcMar>
              <w:top w:w="80" w:type="dxa"/>
              <w:left w:w="80" w:type="dxa"/>
              <w:bottom w:w="80" w:type="dxa"/>
              <w:right w:w="80" w:type="dxa"/>
            </w:tcMar>
            <w:vAlign w:val="center"/>
          </w:tcPr>
          <w:p w14:paraId="6A6ADAC0" w14:textId="77777777" w:rsidR="003D1DEF" w:rsidRDefault="00000000">
            <w:r>
              <w:rPr>
                <w:sz w:val="15"/>
              </w:rPr>
              <w:t>Net Intake Pressure and Relief Signal</w:t>
            </w:r>
          </w:p>
        </w:tc>
        <w:tc>
          <w:tcPr>
            <w:tcW w:w="3168" w:type="dxa"/>
            <w:shd w:val="clear" w:color="auto" w:fill="F7FAFC"/>
            <w:tcMar>
              <w:top w:w="80" w:type="dxa"/>
              <w:left w:w="80" w:type="dxa"/>
              <w:bottom w:w="80" w:type="dxa"/>
              <w:right w:w="80" w:type="dxa"/>
            </w:tcMar>
            <w:vAlign w:val="center"/>
          </w:tcPr>
          <w:p w14:paraId="2056E29A" w14:textId="77777777" w:rsidR="003D1DEF" w:rsidRDefault="00000000">
            <w:r>
              <w:rPr>
                <w:sz w:val="15"/>
              </w:rPr>
              <w:t>Net Intake and Backlog Analysis</w:t>
            </w:r>
          </w:p>
        </w:tc>
      </w:tr>
      <w:tr w:rsidR="003D1DEF" w14:paraId="0DF9156F" w14:textId="77777777">
        <w:trPr>
          <w:jc w:val="center"/>
        </w:trPr>
        <w:tc>
          <w:tcPr>
            <w:tcW w:w="2016" w:type="dxa"/>
            <w:shd w:val="clear" w:color="auto" w:fill="FFFFFF"/>
            <w:tcMar>
              <w:top w:w="80" w:type="dxa"/>
              <w:left w:w="80" w:type="dxa"/>
              <w:bottom w:w="80" w:type="dxa"/>
              <w:right w:w="80" w:type="dxa"/>
            </w:tcMar>
            <w:vAlign w:val="center"/>
          </w:tcPr>
          <w:p w14:paraId="6DD47C9C" w14:textId="77777777" w:rsidR="003D1DEF" w:rsidRDefault="00000000">
            <w:r>
              <w:rPr>
                <w:sz w:val="15"/>
              </w:rPr>
              <w:t>Figure 16</w:t>
            </w:r>
          </w:p>
        </w:tc>
        <w:tc>
          <w:tcPr>
            <w:tcW w:w="4464" w:type="dxa"/>
            <w:shd w:val="clear" w:color="auto" w:fill="FFFFFF"/>
            <w:tcMar>
              <w:top w:w="80" w:type="dxa"/>
              <w:left w:w="80" w:type="dxa"/>
              <w:bottom w:w="80" w:type="dxa"/>
              <w:right w:w="80" w:type="dxa"/>
            </w:tcMar>
            <w:vAlign w:val="center"/>
          </w:tcPr>
          <w:p w14:paraId="0BBD6995" w14:textId="77777777" w:rsidR="003D1DEF" w:rsidRDefault="00000000">
            <w:r>
              <w:rPr>
                <w:sz w:val="15"/>
              </w:rPr>
              <w:t>Backlog Severity Accumulation</w:t>
            </w:r>
          </w:p>
        </w:tc>
        <w:tc>
          <w:tcPr>
            <w:tcW w:w="3168" w:type="dxa"/>
            <w:shd w:val="clear" w:color="auto" w:fill="FFFFFF"/>
            <w:tcMar>
              <w:top w:w="80" w:type="dxa"/>
              <w:left w:w="80" w:type="dxa"/>
              <w:bottom w:w="80" w:type="dxa"/>
              <w:right w:w="80" w:type="dxa"/>
            </w:tcMar>
            <w:vAlign w:val="center"/>
          </w:tcPr>
          <w:p w14:paraId="7C8824CF" w14:textId="77777777" w:rsidR="003D1DEF" w:rsidRDefault="00000000">
            <w:r>
              <w:rPr>
                <w:sz w:val="15"/>
              </w:rPr>
              <w:t>Backlog Analysis</w:t>
            </w:r>
          </w:p>
        </w:tc>
      </w:tr>
      <w:tr w:rsidR="003D1DEF" w14:paraId="719686A2" w14:textId="77777777">
        <w:trPr>
          <w:jc w:val="center"/>
        </w:trPr>
        <w:tc>
          <w:tcPr>
            <w:tcW w:w="2016" w:type="dxa"/>
            <w:shd w:val="clear" w:color="auto" w:fill="F7FAFC"/>
            <w:tcMar>
              <w:top w:w="80" w:type="dxa"/>
              <w:left w:w="80" w:type="dxa"/>
              <w:bottom w:w="80" w:type="dxa"/>
              <w:right w:w="80" w:type="dxa"/>
            </w:tcMar>
            <w:vAlign w:val="center"/>
          </w:tcPr>
          <w:p w14:paraId="27B7FD19" w14:textId="77777777" w:rsidR="003D1DEF" w:rsidRDefault="00000000">
            <w:r>
              <w:rPr>
                <w:sz w:val="15"/>
              </w:rPr>
              <w:t>Figure 17</w:t>
            </w:r>
          </w:p>
        </w:tc>
        <w:tc>
          <w:tcPr>
            <w:tcW w:w="4464" w:type="dxa"/>
            <w:shd w:val="clear" w:color="auto" w:fill="F7FAFC"/>
            <w:tcMar>
              <w:top w:w="80" w:type="dxa"/>
              <w:left w:w="80" w:type="dxa"/>
              <w:bottom w:w="80" w:type="dxa"/>
              <w:right w:w="80" w:type="dxa"/>
            </w:tcMar>
            <w:vAlign w:val="center"/>
          </w:tcPr>
          <w:p w14:paraId="58755D48" w14:textId="77777777" w:rsidR="003D1DEF" w:rsidRDefault="00000000">
            <w:r>
              <w:rPr>
                <w:sz w:val="15"/>
              </w:rPr>
              <w:t>KPI Executive Summary</w:t>
            </w:r>
          </w:p>
        </w:tc>
        <w:tc>
          <w:tcPr>
            <w:tcW w:w="3168" w:type="dxa"/>
            <w:shd w:val="clear" w:color="auto" w:fill="F7FAFC"/>
            <w:tcMar>
              <w:top w:w="80" w:type="dxa"/>
              <w:left w:w="80" w:type="dxa"/>
              <w:bottom w:w="80" w:type="dxa"/>
              <w:right w:w="80" w:type="dxa"/>
            </w:tcMar>
            <w:vAlign w:val="center"/>
          </w:tcPr>
          <w:p w14:paraId="29886BA6" w14:textId="77777777" w:rsidR="003D1DEF" w:rsidRDefault="00000000">
            <w:r>
              <w:rPr>
                <w:sz w:val="15"/>
              </w:rPr>
              <w:t>KPI Executive Summary</w:t>
            </w:r>
          </w:p>
        </w:tc>
      </w:tr>
      <w:tr w:rsidR="003D1DEF" w14:paraId="2C1BD6A8" w14:textId="77777777">
        <w:trPr>
          <w:jc w:val="center"/>
        </w:trPr>
        <w:tc>
          <w:tcPr>
            <w:tcW w:w="2016" w:type="dxa"/>
            <w:shd w:val="clear" w:color="auto" w:fill="FFFFFF"/>
            <w:tcMar>
              <w:top w:w="80" w:type="dxa"/>
              <w:left w:w="80" w:type="dxa"/>
              <w:bottom w:w="80" w:type="dxa"/>
              <w:right w:w="80" w:type="dxa"/>
            </w:tcMar>
            <w:vAlign w:val="center"/>
          </w:tcPr>
          <w:p w14:paraId="36B7F20F" w14:textId="77777777" w:rsidR="003D1DEF" w:rsidRDefault="00000000">
            <w:r>
              <w:rPr>
                <w:sz w:val="15"/>
              </w:rPr>
              <w:t>Figure 18</w:t>
            </w:r>
          </w:p>
        </w:tc>
        <w:tc>
          <w:tcPr>
            <w:tcW w:w="4464" w:type="dxa"/>
            <w:shd w:val="clear" w:color="auto" w:fill="FFFFFF"/>
            <w:tcMar>
              <w:top w:w="80" w:type="dxa"/>
              <w:left w:w="80" w:type="dxa"/>
              <w:bottom w:w="80" w:type="dxa"/>
              <w:right w:w="80" w:type="dxa"/>
            </w:tcMar>
            <w:vAlign w:val="center"/>
          </w:tcPr>
          <w:p w14:paraId="49CDF101" w14:textId="77777777" w:rsidR="003D1DEF" w:rsidRDefault="00000000">
            <w:r>
              <w:rPr>
                <w:sz w:val="15"/>
              </w:rPr>
              <w:t>Pressure Stress Distribution</w:t>
            </w:r>
          </w:p>
        </w:tc>
        <w:tc>
          <w:tcPr>
            <w:tcW w:w="3168" w:type="dxa"/>
            <w:shd w:val="clear" w:color="auto" w:fill="FFFFFF"/>
            <w:tcMar>
              <w:top w:w="80" w:type="dxa"/>
              <w:left w:w="80" w:type="dxa"/>
              <w:bottom w:w="80" w:type="dxa"/>
              <w:right w:w="80" w:type="dxa"/>
            </w:tcMar>
            <w:vAlign w:val="center"/>
          </w:tcPr>
          <w:p w14:paraId="7CA39F1B" w14:textId="77777777" w:rsidR="003D1DEF" w:rsidRDefault="00000000">
            <w:r>
              <w:rPr>
                <w:sz w:val="15"/>
              </w:rPr>
              <w:t>Stress Classification</w:t>
            </w:r>
          </w:p>
        </w:tc>
      </w:tr>
      <w:tr w:rsidR="003D1DEF" w14:paraId="2494A510" w14:textId="77777777">
        <w:trPr>
          <w:jc w:val="center"/>
        </w:trPr>
        <w:tc>
          <w:tcPr>
            <w:tcW w:w="2016" w:type="dxa"/>
            <w:shd w:val="clear" w:color="auto" w:fill="F7FAFC"/>
            <w:tcMar>
              <w:top w:w="80" w:type="dxa"/>
              <w:left w:w="80" w:type="dxa"/>
              <w:bottom w:w="80" w:type="dxa"/>
              <w:right w:w="80" w:type="dxa"/>
            </w:tcMar>
            <w:vAlign w:val="center"/>
          </w:tcPr>
          <w:p w14:paraId="4306AAA5" w14:textId="77777777" w:rsidR="003D1DEF" w:rsidRDefault="00000000">
            <w:r>
              <w:rPr>
                <w:sz w:val="15"/>
              </w:rPr>
              <w:t>Figure 19</w:t>
            </w:r>
          </w:p>
        </w:tc>
        <w:tc>
          <w:tcPr>
            <w:tcW w:w="4464" w:type="dxa"/>
            <w:shd w:val="clear" w:color="auto" w:fill="F7FAFC"/>
            <w:tcMar>
              <w:top w:w="80" w:type="dxa"/>
              <w:left w:w="80" w:type="dxa"/>
              <w:bottom w:w="80" w:type="dxa"/>
              <w:right w:w="80" w:type="dxa"/>
            </w:tcMar>
            <w:vAlign w:val="center"/>
          </w:tcPr>
          <w:p w14:paraId="71CD5DF2" w14:textId="77777777" w:rsidR="003D1DEF" w:rsidRDefault="00000000">
            <w:r>
              <w:rPr>
                <w:sz w:val="15"/>
              </w:rPr>
              <w:t>Primary Pressure Driver Evidence</w:t>
            </w:r>
          </w:p>
        </w:tc>
        <w:tc>
          <w:tcPr>
            <w:tcW w:w="3168" w:type="dxa"/>
            <w:shd w:val="clear" w:color="auto" w:fill="F7FAFC"/>
            <w:tcMar>
              <w:top w:w="80" w:type="dxa"/>
              <w:left w:w="80" w:type="dxa"/>
              <w:bottom w:w="80" w:type="dxa"/>
              <w:right w:w="80" w:type="dxa"/>
            </w:tcMar>
            <w:vAlign w:val="center"/>
          </w:tcPr>
          <w:p w14:paraId="6E99FD3B" w14:textId="77777777" w:rsidR="003D1DEF" w:rsidRDefault="00000000">
            <w:r>
              <w:rPr>
                <w:sz w:val="15"/>
              </w:rPr>
              <w:t>Findings / Recommendations</w:t>
            </w:r>
          </w:p>
        </w:tc>
      </w:tr>
      <w:tr w:rsidR="003D1DEF" w14:paraId="0143A0EE" w14:textId="77777777">
        <w:trPr>
          <w:jc w:val="center"/>
        </w:trPr>
        <w:tc>
          <w:tcPr>
            <w:tcW w:w="2016" w:type="dxa"/>
            <w:shd w:val="clear" w:color="auto" w:fill="FFFFFF"/>
            <w:tcMar>
              <w:top w:w="80" w:type="dxa"/>
              <w:left w:w="80" w:type="dxa"/>
              <w:bottom w:w="80" w:type="dxa"/>
              <w:right w:w="80" w:type="dxa"/>
            </w:tcMar>
            <w:vAlign w:val="center"/>
          </w:tcPr>
          <w:p w14:paraId="758D2E8D" w14:textId="77777777" w:rsidR="003D1DEF" w:rsidRDefault="00000000">
            <w:r>
              <w:rPr>
                <w:sz w:val="15"/>
              </w:rPr>
              <w:t>Appendix Figure A1</w:t>
            </w:r>
          </w:p>
        </w:tc>
        <w:tc>
          <w:tcPr>
            <w:tcW w:w="4464" w:type="dxa"/>
            <w:shd w:val="clear" w:color="auto" w:fill="FFFFFF"/>
            <w:tcMar>
              <w:top w:w="80" w:type="dxa"/>
              <w:left w:w="80" w:type="dxa"/>
              <w:bottom w:w="80" w:type="dxa"/>
              <w:right w:w="80" w:type="dxa"/>
            </w:tcMar>
            <w:vAlign w:val="center"/>
          </w:tcPr>
          <w:p w14:paraId="443FCBF6" w14:textId="77777777" w:rsidR="003D1DEF" w:rsidRDefault="00000000">
            <w:r>
              <w:rPr>
                <w:sz w:val="15"/>
              </w:rPr>
              <w:t>Pressure and Relief Window Strip</w:t>
            </w:r>
          </w:p>
        </w:tc>
        <w:tc>
          <w:tcPr>
            <w:tcW w:w="3168" w:type="dxa"/>
            <w:shd w:val="clear" w:color="auto" w:fill="FFFFFF"/>
            <w:tcMar>
              <w:top w:w="80" w:type="dxa"/>
              <w:left w:w="80" w:type="dxa"/>
              <w:bottom w:w="80" w:type="dxa"/>
              <w:right w:w="80" w:type="dxa"/>
            </w:tcMar>
            <w:vAlign w:val="center"/>
          </w:tcPr>
          <w:p w14:paraId="5E807634" w14:textId="77777777" w:rsidR="003D1DEF" w:rsidRDefault="00000000">
            <w:r>
              <w:rPr>
                <w:sz w:val="15"/>
              </w:rPr>
              <w:t>Appendix support</w:t>
            </w:r>
          </w:p>
        </w:tc>
      </w:tr>
    </w:tbl>
    <w:p w14:paraId="1A817D7D" w14:textId="77777777" w:rsidR="003D1DEF" w:rsidRDefault="003D1DEF"/>
    <w:p w14:paraId="74B7F2A2" w14:textId="77777777" w:rsidR="003D1DEF" w:rsidRDefault="00000000">
      <w:pPr>
        <w:pStyle w:val="Heading2"/>
        <w:spacing w:before="160" w:after="80"/>
      </w:pPr>
      <w:r>
        <w:rPr>
          <w:rFonts w:ascii="Calibri" w:hAnsi="Calibri"/>
          <w:color w:val="0F766E"/>
        </w:rPr>
        <w:lastRenderedPageBreak/>
        <w:t>Appendix C: Supporting Pressure and Relief Window Classification</w:t>
      </w:r>
    </w:p>
    <w:p w14:paraId="4FE42E78" w14:textId="77777777" w:rsidR="003D1DEF" w:rsidRDefault="00000000">
      <w:pPr>
        <w:jc w:val="center"/>
      </w:pPr>
      <w:r>
        <w:rPr>
          <w:noProof/>
        </w:rPr>
        <w:drawing>
          <wp:inline distT="0" distB="0" distL="0" distR="0" wp14:anchorId="3E74D2A6" wp14:editId="22C1F5AF">
            <wp:extent cx="4754880" cy="2810417"/>
            <wp:effectExtent l="0" t="0" r="0" b="0"/>
            <wp:docPr id="20" name="Picture 20" descr="Pressure and Relief Window Strip with pressure, balanced, and relief classification legend."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jpg"/>
                    <pic:cNvPicPr/>
                  </pic:nvPicPr>
                  <pic:blipFill>
                    <a:blip r:embed="rId27"/>
                    <a:stretch>
                      <a:fillRect/>
                    </a:stretch>
                  </pic:blipFill>
                  <pic:spPr>
                    <a:xfrm>
                      <a:off x="0" y="0"/>
                      <a:ext cx="4754880" cy="2810417"/>
                    </a:xfrm>
                    <a:prstGeom prst="rect">
                      <a:avLst/>
                    </a:prstGeom>
                  </pic:spPr>
                </pic:pic>
              </a:graphicData>
            </a:graphic>
          </wp:inline>
        </w:drawing>
      </w:r>
    </w:p>
    <w:p w14:paraId="7FD78C54" w14:textId="77777777" w:rsidR="003D1DEF" w:rsidRDefault="00000000">
      <w:pPr>
        <w:jc w:val="center"/>
      </w:pPr>
      <w:r>
        <w:rPr>
          <w:i/>
          <w:color w:val="475569"/>
          <w:sz w:val="18"/>
        </w:rPr>
        <w:t>Figure A1. Pressure and Relief Window Strip supporting pressure, balanced, and relief classification documentation.</w:t>
      </w:r>
    </w:p>
    <w:p w14:paraId="0B2F7173" w14:textId="77777777" w:rsidR="003D1DEF" w:rsidRDefault="00000000">
      <w:pPr>
        <w:jc w:val="both"/>
      </w:pPr>
      <w:r>
        <w:t>This supporting visual documents the dashboard classification layer for pressure, balanced, and relief window signals. Because the chart is less information-dense than the primary evidence visuals, it is placed in the appendix rather than the main result section.</w:t>
      </w:r>
    </w:p>
    <w:p w14:paraId="361FF0DD" w14:textId="77777777" w:rsidR="003D1DEF" w:rsidRDefault="00000000">
      <w:pPr>
        <w:pStyle w:val="Heading2"/>
        <w:spacing w:before="160" w:after="80"/>
      </w:pPr>
      <w:r>
        <w:rPr>
          <w:rFonts w:ascii="Calibri" w:hAnsi="Calibri"/>
          <w:color w:val="0F766E"/>
        </w:rPr>
        <w:t>Appendix D: Publication Metadata</w:t>
      </w:r>
    </w:p>
    <w:tbl>
      <w:tblPr>
        <w:tblStyle w:val="TableGrid"/>
        <w:tblW w:w="0" w:type="auto"/>
        <w:jc w:val="center"/>
        <w:tblLook w:val="04A0" w:firstRow="1" w:lastRow="0" w:firstColumn="1" w:lastColumn="0" w:noHBand="0" w:noVBand="1"/>
      </w:tblPr>
      <w:tblGrid>
        <w:gridCol w:w="2448"/>
        <w:gridCol w:w="7200"/>
      </w:tblGrid>
      <w:tr w:rsidR="003D1DEF" w14:paraId="6223520D" w14:textId="77777777">
        <w:trPr>
          <w:tblHeader/>
          <w:jc w:val="center"/>
        </w:trPr>
        <w:tc>
          <w:tcPr>
            <w:tcW w:w="2448" w:type="dxa"/>
            <w:shd w:val="clear" w:color="auto" w:fill="0B3D5C"/>
            <w:tcMar>
              <w:top w:w="80" w:type="dxa"/>
              <w:left w:w="80" w:type="dxa"/>
              <w:bottom w:w="80" w:type="dxa"/>
              <w:right w:w="80" w:type="dxa"/>
            </w:tcMar>
            <w:vAlign w:val="center"/>
          </w:tcPr>
          <w:p w14:paraId="02682EF2" w14:textId="77777777" w:rsidR="003D1DEF" w:rsidRDefault="00000000">
            <w:r>
              <w:rPr>
                <w:b/>
                <w:color w:val="FFFFFF"/>
                <w:sz w:val="16"/>
              </w:rPr>
              <w:t>Metadata Field</w:t>
            </w:r>
          </w:p>
        </w:tc>
        <w:tc>
          <w:tcPr>
            <w:tcW w:w="7200" w:type="dxa"/>
            <w:shd w:val="clear" w:color="auto" w:fill="0B3D5C"/>
            <w:tcMar>
              <w:top w:w="80" w:type="dxa"/>
              <w:left w:w="80" w:type="dxa"/>
              <w:bottom w:w="80" w:type="dxa"/>
              <w:right w:w="80" w:type="dxa"/>
            </w:tcMar>
            <w:vAlign w:val="center"/>
          </w:tcPr>
          <w:p w14:paraId="71DDB987" w14:textId="77777777" w:rsidR="003D1DEF" w:rsidRDefault="00000000">
            <w:r>
              <w:rPr>
                <w:b/>
                <w:color w:val="FFFFFF"/>
                <w:sz w:val="16"/>
              </w:rPr>
              <w:t>Recommended Entry</w:t>
            </w:r>
          </w:p>
        </w:tc>
      </w:tr>
      <w:tr w:rsidR="003D1DEF" w14:paraId="6411C971" w14:textId="77777777">
        <w:trPr>
          <w:jc w:val="center"/>
        </w:trPr>
        <w:tc>
          <w:tcPr>
            <w:tcW w:w="2448" w:type="dxa"/>
            <w:shd w:val="clear" w:color="auto" w:fill="F7FAFC"/>
            <w:tcMar>
              <w:top w:w="80" w:type="dxa"/>
              <w:left w:w="80" w:type="dxa"/>
              <w:bottom w:w="80" w:type="dxa"/>
              <w:right w:w="80" w:type="dxa"/>
            </w:tcMar>
            <w:vAlign w:val="center"/>
          </w:tcPr>
          <w:p w14:paraId="000F9DC2" w14:textId="77777777" w:rsidR="003D1DEF" w:rsidRDefault="00000000">
            <w:r>
              <w:rPr>
                <w:sz w:val="16"/>
              </w:rPr>
              <w:t>Title</w:t>
            </w:r>
          </w:p>
        </w:tc>
        <w:tc>
          <w:tcPr>
            <w:tcW w:w="7200" w:type="dxa"/>
            <w:shd w:val="clear" w:color="auto" w:fill="F7FAFC"/>
            <w:tcMar>
              <w:top w:w="80" w:type="dxa"/>
              <w:left w:w="80" w:type="dxa"/>
              <w:bottom w:w="80" w:type="dxa"/>
              <w:right w:w="80" w:type="dxa"/>
            </w:tcMar>
            <w:vAlign w:val="center"/>
          </w:tcPr>
          <w:p w14:paraId="7223D791" w14:textId="77777777" w:rsidR="003D1DEF" w:rsidRDefault="00000000">
            <w:r>
              <w:rPr>
                <w:sz w:val="16"/>
              </w:rPr>
              <w:t>System Capacity &amp; Care Load Analytics for Unaccompanied Children</w:t>
            </w:r>
          </w:p>
        </w:tc>
      </w:tr>
      <w:tr w:rsidR="003D1DEF" w14:paraId="3EEAE154" w14:textId="77777777">
        <w:trPr>
          <w:jc w:val="center"/>
        </w:trPr>
        <w:tc>
          <w:tcPr>
            <w:tcW w:w="2448" w:type="dxa"/>
            <w:shd w:val="clear" w:color="auto" w:fill="FFFFFF"/>
            <w:tcMar>
              <w:top w:w="80" w:type="dxa"/>
              <w:left w:w="80" w:type="dxa"/>
              <w:bottom w:w="80" w:type="dxa"/>
              <w:right w:w="80" w:type="dxa"/>
            </w:tcMar>
            <w:vAlign w:val="center"/>
          </w:tcPr>
          <w:p w14:paraId="1969CD98" w14:textId="77777777" w:rsidR="003D1DEF" w:rsidRDefault="00000000">
            <w:r>
              <w:rPr>
                <w:sz w:val="16"/>
              </w:rPr>
              <w:t>Creator</w:t>
            </w:r>
          </w:p>
        </w:tc>
        <w:tc>
          <w:tcPr>
            <w:tcW w:w="7200" w:type="dxa"/>
            <w:shd w:val="clear" w:color="auto" w:fill="FFFFFF"/>
            <w:tcMar>
              <w:top w:w="80" w:type="dxa"/>
              <w:left w:w="80" w:type="dxa"/>
              <w:bottom w:w="80" w:type="dxa"/>
              <w:right w:w="80" w:type="dxa"/>
            </w:tcMar>
            <w:vAlign w:val="center"/>
          </w:tcPr>
          <w:p w14:paraId="0B00F605" w14:textId="77777777" w:rsidR="003D1DEF" w:rsidRDefault="00000000">
            <w:r>
              <w:rPr>
                <w:sz w:val="16"/>
              </w:rPr>
              <w:t>Mohit Gupta</w:t>
            </w:r>
          </w:p>
        </w:tc>
      </w:tr>
      <w:tr w:rsidR="003D1DEF" w14:paraId="4AE1F575" w14:textId="77777777">
        <w:trPr>
          <w:jc w:val="center"/>
        </w:trPr>
        <w:tc>
          <w:tcPr>
            <w:tcW w:w="2448" w:type="dxa"/>
            <w:shd w:val="clear" w:color="auto" w:fill="F7FAFC"/>
            <w:tcMar>
              <w:top w:w="80" w:type="dxa"/>
              <w:left w:w="80" w:type="dxa"/>
              <w:bottom w:w="80" w:type="dxa"/>
              <w:right w:w="80" w:type="dxa"/>
            </w:tcMar>
            <w:vAlign w:val="center"/>
          </w:tcPr>
          <w:p w14:paraId="53D3203E" w14:textId="77777777" w:rsidR="003D1DEF" w:rsidRDefault="00000000">
            <w:r>
              <w:rPr>
                <w:sz w:val="16"/>
              </w:rPr>
              <w:t>Resource Type</w:t>
            </w:r>
          </w:p>
        </w:tc>
        <w:tc>
          <w:tcPr>
            <w:tcW w:w="7200" w:type="dxa"/>
            <w:shd w:val="clear" w:color="auto" w:fill="F7FAFC"/>
            <w:tcMar>
              <w:top w:w="80" w:type="dxa"/>
              <w:left w:w="80" w:type="dxa"/>
              <w:bottom w:w="80" w:type="dxa"/>
              <w:right w:w="80" w:type="dxa"/>
            </w:tcMar>
            <w:vAlign w:val="center"/>
          </w:tcPr>
          <w:p w14:paraId="6588C45C" w14:textId="77777777" w:rsidR="003D1DEF" w:rsidRDefault="00000000">
            <w:r>
              <w:rPr>
                <w:sz w:val="16"/>
              </w:rPr>
              <w:t>Publication / Report</w:t>
            </w:r>
          </w:p>
        </w:tc>
      </w:tr>
      <w:tr w:rsidR="003D1DEF" w14:paraId="7E1E099F" w14:textId="77777777">
        <w:trPr>
          <w:jc w:val="center"/>
        </w:trPr>
        <w:tc>
          <w:tcPr>
            <w:tcW w:w="2448" w:type="dxa"/>
            <w:shd w:val="clear" w:color="auto" w:fill="FFFFFF"/>
            <w:tcMar>
              <w:top w:w="80" w:type="dxa"/>
              <w:left w:w="80" w:type="dxa"/>
              <w:bottom w:w="80" w:type="dxa"/>
              <w:right w:w="80" w:type="dxa"/>
            </w:tcMar>
            <w:vAlign w:val="center"/>
          </w:tcPr>
          <w:p w14:paraId="599262E4" w14:textId="77777777" w:rsidR="003D1DEF" w:rsidRDefault="00000000">
            <w:r>
              <w:rPr>
                <w:sz w:val="16"/>
              </w:rPr>
              <w:t>Keywords</w:t>
            </w:r>
          </w:p>
        </w:tc>
        <w:tc>
          <w:tcPr>
            <w:tcW w:w="7200" w:type="dxa"/>
            <w:shd w:val="clear" w:color="auto" w:fill="FFFFFF"/>
            <w:tcMar>
              <w:top w:w="80" w:type="dxa"/>
              <w:left w:w="80" w:type="dxa"/>
              <w:bottom w:w="80" w:type="dxa"/>
              <w:right w:w="80" w:type="dxa"/>
            </w:tcMar>
            <w:vAlign w:val="center"/>
          </w:tcPr>
          <w:p w14:paraId="5FE8B96A" w14:textId="77777777" w:rsidR="003D1DEF" w:rsidRDefault="00000000">
            <w:r>
              <w:rPr>
                <w:sz w:val="16"/>
              </w:rPr>
              <w:t>Healthcare capacity analytics; UAC care pipeline; HHS care load; CBP custody; net intake pressure; discharge offset ratio; backlog accumulation; stress classification; Streamlit dashboard; public-sector analytics.</w:t>
            </w:r>
          </w:p>
        </w:tc>
      </w:tr>
      <w:tr w:rsidR="003D1DEF" w14:paraId="7646BBC6" w14:textId="77777777">
        <w:trPr>
          <w:jc w:val="center"/>
        </w:trPr>
        <w:tc>
          <w:tcPr>
            <w:tcW w:w="2448" w:type="dxa"/>
            <w:shd w:val="clear" w:color="auto" w:fill="F7FAFC"/>
            <w:tcMar>
              <w:top w:w="80" w:type="dxa"/>
              <w:left w:w="80" w:type="dxa"/>
              <w:bottom w:w="80" w:type="dxa"/>
              <w:right w:w="80" w:type="dxa"/>
            </w:tcMar>
            <w:vAlign w:val="center"/>
          </w:tcPr>
          <w:p w14:paraId="61640B1A" w14:textId="77777777" w:rsidR="003D1DEF" w:rsidRDefault="00000000">
            <w:r>
              <w:rPr>
                <w:sz w:val="16"/>
              </w:rPr>
              <w:t>Version</w:t>
            </w:r>
          </w:p>
        </w:tc>
        <w:tc>
          <w:tcPr>
            <w:tcW w:w="7200" w:type="dxa"/>
            <w:shd w:val="clear" w:color="auto" w:fill="F7FAFC"/>
            <w:tcMar>
              <w:top w:w="80" w:type="dxa"/>
              <w:left w:w="80" w:type="dxa"/>
              <w:bottom w:w="80" w:type="dxa"/>
              <w:right w:w="80" w:type="dxa"/>
            </w:tcMar>
            <w:vAlign w:val="center"/>
          </w:tcPr>
          <w:p w14:paraId="560AC57A" w14:textId="77777777" w:rsidR="003D1DEF" w:rsidRDefault="00000000">
            <w:r>
              <w:rPr>
                <w:sz w:val="16"/>
              </w:rPr>
              <w:t>10/10 final safe-mode polished version with page-guided TOC, governance notes, metadata cleanup, and render verification.</w:t>
            </w:r>
          </w:p>
        </w:tc>
      </w:tr>
      <w:tr w:rsidR="003D1DEF" w14:paraId="739CAA96" w14:textId="77777777">
        <w:trPr>
          <w:jc w:val="center"/>
        </w:trPr>
        <w:tc>
          <w:tcPr>
            <w:tcW w:w="2448" w:type="dxa"/>
            <w:shd w:val="clear" w:color="auto" w:fill="FFFFFF"/>
            <w:tcMar>
              <w:top w:w="80" w:type="dxa"/>
              <w:left w:w="80" w:type="dxa"/>
              <w:bottom w:w="80" w:type="dxa"/>
              <w:right w:w="80" w:type="dxa"/>
            </w:tcMar>
            <w:vAlign w:val="center"/>
          </w:tcPr>
          <w:p w14:paraId="129E8EB2" w14:textId="77777777" w:rsidR="003D1DEF" w:rsidRDefault="00000000">
            <w:r>
              <w:rPr>
                <w:sz w:val="16"/>
              </w:rPr>
              <w:t>License</w:t>
            </w:r>
          </w:p>
        </w:tc>
        <w:tc>
          <w:tcPr>
            <w:tcW w:w="7200" w:type="dxa"/>
            <w:shd w:val="clear" w:color="auto" w:fill="FFFFFF"/>
            <w:tcMar>
              <w:top w:w="80" w:type="dxa"/>
              <w:left w:w="80" w:type="dxa"/>
              <w:bottom w:w="80" w:type="dxa"/>
              <w:right w:w="80" w:type="dxa"/>
            </w:tcMar>
            <w:vAlign w:val="center"/>
          </w:tcPr>
          <w:p w14:paraId="67D50E90" w14:textId="77777777" w:rsidR="003D1DEF" w:rsidRDefault="00000000">
            <w:r>
              <w:rPr>
                <w:sz w:val="16"/>
              </w:rPr>
              <w:t>Creative Commons Attribution 4.0 International, if public sharing and reuse are intended.</w:t>
            </w:r>
          </w:p>
        </w:tc>
      </w:tr>
      <w:tr w:rsidR="003D1DEF" w14:paraId="3B8EE041" w14:textId="77777777">
        <w:trPr>
          <w:jc w:val="center"/>
        </w:trPr>
        <w:tc>
          <w:tcPr>
            <w:tcW w:w="2448" w:type="dxa"/>
            <w:shd w:val="clear" w:color="auto" w:fill="F7FAFC"/>
            <w:tcMar>
              <w:top w:w="80" w:type="dxa"/>
              <w:left w:w="80" w:type="dxa"/>
              <w:bottom w:w="80" w:type="dxa"/>
              <w:right w:w="80" w:type="dxa"/>
            </w:tcMar>
            <w:vAlign w:val="center"/>
          </w:tcPr>
          <w:p w14:paraId="5C493B7F" w14:textId="77777777" w:rsidR="003D1DEF" w:rsidRDefault="00000000">
            <w:r>
              <w:rPr>
                <w:sz w:val="16"/>
              </w:rPr>
              <w:t>Description</w:t>
            </w:r>
          </w:p>
        </w:tc>
        <w:tc>
          <w:tcPr>
            <w:tcW w:w="7200" w:type="dxa"/>
            <w:shd w:val="clear" w:color="auto" w:fill="F7FAFC"/>
            <w:tcMar>
              <w:top w:w="80" w:type="dxa"/>
              <w:left w:w="80" w:type="dxa"/>
              <w:bottom w:w="80" w:type="dxa"/>
              <w:right w:w="80" w:type="dxa"/>
            </w:tcMar>
            <w:vAlign w:val="center"/>
          </w:tcPr>
          <w:p w14:paraId="007C4C7C" w14:textId="77777777" w:rsidR="003D1DEF" w:rsidRDefault="00000000">
            <w:r>
              <w:rPr>
                <w:sz w:val="16"/>
              </w:rPr>
              <w:t>A dashboard-supported data analytics research paper evaluating system load, CBP-HHS responsibility split, transfer-discharge balance, backlog accumulation, KPI health, and pressure drivers in the UAC care pipeline.</w:t>
            </w:r>
          </w:p>
        </w:tc>
      </w:tr>
    </w:tbl>
    <w:p w14:paraId="733DE1B9" w14:textId="77777777" w:rsidR="003D1DEF" w:rsidRDefault="003D1DEF"/>
    <w:p w14:paraId="28095FC8" w14:textId="77777777" w:rsidR="003D1DEF" w:rsidRDefault="00000000">
      <w:pPr>
        <w:pStyle w:val="Heading2"/>
        <w:spacing w:before="160" w:after="80"/>
      </w:pPr>
      <w:r>
        <w:rPr>
          <w:rFonts w:ascii="Calibri" w:hAnsi="Calibri"/>
          <w:color w:val="0F766E"/>
        </w:rPr>
        <w:t>Appendix E: Final Publication Readiness Checklist</w:t>
      </w:r>
    </w:p>
    <w:p w14:paraId="0AAC52F4" w14:textId="77777777" w:rsidR="003D1DEF" w:rsidRDefault="00000000">
      <w:pPr>
        <w:pStyle w:val="ListBullet"/>
      </w:pPr>
      <w:r>
        <w:t>All primary sections are included: executive summary, methodology, data governance, limitations, EDA, results, findings, recommendations, implementation, conclusion, references, and appendix.</w:t>
      </w:r>
    </w:p>
    <w:p w14:paraId="0FF6FF35" w14:textId="77777777" w:rsidR="003D1DEF" w:rsidRDefault="00000000">
      <w:pPr>
        <w:pStyle w:val="ListBullet"/>
      </w:pPr>
      <w:r>
        <w:t>All 20 dashboard and visualization screenshots are included or documented, with the lowest-readability support visual placed in the appendix.</w:t>
      </w:r>
    </w:p>
    <w:p w14:paraId="11A9604F" w14:textId="77777777" w:rsidR="003D1DEF" w:rsidRDefault="00000000">
      <w:pPr>
        <w:pStyle w:val="ListBullet"/>
      </w:pPr>
      <w:r>
        <w:t>The report uses a clean, professional layout with readable headings, tables, captions, and body text.</w:t>
      </w:r>
    </w:p>
    <w:p w14:paraId="29E07830" w14:textId="77777777" w:rsidR="003D1DEF" w:rsidRDefault="00000000">
      <w:pPr>
        <w:pStyle w:val="ListBullet"/>
      </w:pPr>
      <w:r>
        <w:t>The report avoids unsupported causal claims and clearly states limitations and scope boundaries.</w:t>
      </w:r>
    </w:p>
    <w:p w14:paraId="236F99D6" w14:textId="77777777" w:rsidR="003D1DEF" w:rsidRDefault="00000000">
      <w:pPr>
        <w:pStyle w:val="ListBullet"/>
      </w:pPr>
      <w:r>
        <w:t>The paper is suitable for portfolio, GitHub, Zenodo-style repository upload, and professional project submission.</w:t>
      </w:r>
    </w:p>
    <w:sectPr w:rsidR="003D1DEF" w:rsidSect="00034616">
      <w:headerReference w:type="default" r:id="rId28"/>
      <w:footerReference w:type="default" r:id="rId29"/>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68BD3" w14:textId="77777777" w:rsidR="00FA750F" w:rsidRDefault="00FA750F">
      <w:pPr>
        <w:spacing w:after="0" w:line="240" w:lineRule="auto"/>
      </w:pPr>
      <w:r>
        <w:separator/>
      </w:r>
    </w:p>
  </w:endnote>
  <w:endnote w:type="continuationSeparator" w:id="0">
    <w:p w14:paraId="599896CB" w14:textId="77777777" w:rsidR="00FA750F" w:rsidRDefault="00FA7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4F4B" w14:textId="77777777" w:rsidR="003D1DEF" w:rsidRDefault="00000000">
    <w:pPr>
      <w:pStyle w:val="Footer"/>
      <w:jc w:val="right"/>
    </w:pPr>
    <w:r>
      <w:rPr>
        <w:color w:val="475569"/>
        <w:sz w:val="17"/>
      </w:rPr>
      <w:t xml:space="preserve">Mohit Gupta | Data Analytics Research Paper | Page </w:t>
    </w:r>
    <w:r>
      <w:fldChar w:fldCharType="begin"/>
    </w:r>
    <w:r>
      <w:instrText>PAGE</w:instrText>
    </w:r>
    <w:r w:rsidR="00356984">
      <w:fldChar w:fldCharType="separate"/>
    </w:r>
    <w:r w:rsidR="003569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A0DE4" w14:textId="77777777" w:rsidR="00FA750F" w:rsidRDefault="00FA750F">
      <w:pPr>
        <w:spacing w:after="0" w:line="240" w:lineRule="auto"/>
      </w:pPr>
      <w:r>
        <w:separator/>
      </w:r>
    </w:p>
  </w:footnote>
  <w:footnote w:type="continuationSeparator" w:id="0">
    <w:p w14:paraId="2B2635E2" w14:textId="77777777" w:rsidR="00FA750F" w:rsidRDefault="00FA7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C292" w14:textId="77777777" w:rsidR="003D1DEF" w:rsidRDefault="00000000">
    <w:pPr>
      <w:pStyle w:val="Header"/>
      <w:jc w:val="center"/>
    </w:pPr>
    <w:r>
      <w:rPr>
        <w:color w:val="475569"/>
        <w:sz w:val="17"/>
      </w:rPr>
      <w:t>System Capacity &amp; Care Load Analytics for Unaccompanied Children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829865">
    <w:abstractNumId w:val="8"/>
  </w:num>
  <w:num w:numId="2" w16cid:durableId="1043872897">
    <w:abstractNumId w:val="6"/>
  </w:num>
  <w:num w:numId="3" w16cid:durableId="1089081807">
    <w:abstractNumId w:val="5"/>
  </w:num>
  <w:num w:numId="4" w16cid:durableId="800926779">
    <w:abstractNumId w:val="4"/>
  </w:num>
  <w:num w:numId="5" w16cid:durableId="231618768">
    <w:abstractNumId w:val="7"/>
  </w:num>
  <w:num w:numId="6" w16cid:durableId="2065060414">
    <w:abstractNumId w:val="3"/>
  </w:num>
  <w:num w:numId="7" w16cid:durableId="2107921577">
    <w:abstractNumId w:val="2"/>
  </w:num>
  <w:num w:numId="8" w16cid:durableId="906887314">
    <w:abstractNumId w:val="1"/>
  </w:num>
  <w:num w:numId="9" w16cid:durableId="150143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BBF"/>
    <w:rsid w:val="00326F90"/>
    <w:rsid w:val="00356984"/>
    <w:rsid w:val="003D1DEF"/>
    <w:rsid w:val="00AA1D8D"/>
    <w:rsid w:val="00B47730"/>
    <w:rsid w:val="00CB0664"/>
    <w:rsid w:val="00FA75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DABD1"/>
  <w14:defaultImageDpi w14:val="300"/>
  <w15:docId w15:val="{A341A5E1-CA46-4E6D-B52A-5D1DE781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02A4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8474</Words>
  <Characters>48306</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Capacity &amp; Care Load Analytics for Unaccompanied Children</dc:title>
  <dc:subject>Healthcare capacity analytics, UAC care-load monitoring, CBP-HHS system load, net intake pressure, and backlog analytics</dc:subject>
  <dc:creator>Mohit Gupta</dc:creator>
  <cp:keywords>UAC analytics, healthcare capacity analytics, CBP, HHS, system load monitoring, care load, net intake pressure, backlog accumulation, discharge offset ratio, Streamlit dashboard, data analytics research paper</cp:keywords>
  <dc:description>10/10 safe-mode polished research paper: page-guided TOC, improved governance notes, metadata cleanup, and render-verified layout.</dc:description>
  <cp:lastModifiedBy>Mohit Gupta</cp:lastModifiedBy>
  <cp:revision>2</cp:revision>
  <cp:lastPrinted>2026-06-17T17:37:00Z</cp:lastPrinted>
  <dcterms:created xsi:type="dcterms:W3CDTF">2026-06-17T17:09:00Z</dcterms:created>
  <dcterms:modified xsi:type="dcterms:W3CDTF">2026-06-17T17:39:00Z</dcterms:modified>
  <cp:category/>
</cp:coreProperties>
</file>