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jc w:val="center"/>
      </w:pPr>
      <w:r>
        <w:rPr>
          <w:rFonts w:ascii="Arial" w:hAnsi="Arial"/>
          <w:b/>
          <w:color w:val="1F4E79"/>
          <w:sz w:val="36"/>
        </w:rPr>
        <w:t>ARIHANT KUMAR JAIN</w:t>
      </w:r>
    </w:p>
    <w:p>
      <w:pPr>
        <w:keepNext/>
        <w:spacing w:before="0" w:after="160"/>
        <w:jc w:val="center"/>
      </w:pPr>
      <w:r>
        <w:rPr>
          <w:rFonts w:ascii="Arial" w:hAnsi="Arial"/>
          <w:b/>
          <w:color w:val="595959"/>
          <w:sz w:val="19"/>
        </w:rPr>
        <w:t xml:space="preserve">Email: </w:t>
      </w:r>
      <w:r>
        <w:rPr>
          <w:rFonts w:ascii="Arial" w:hAnsi="Arial"/>
          <w:color w:val="333333"/>
          <w:sz w:val="19"/>
        </w:rPr>
        <w:t>arihantjainn04@gmail.com</w:t>
      </w:r>
      <w:r>
        <w:rPr>
          <w:rFonts w:ascii="Arial" w:hAnsi="Arial"/>
          <w:color w:val="595959"/>
          <w:sz w:val="19"/>
        </w:rPr>
        <w:t xml:space="preserve">  |  </w:t>
      </w:r>
      <w:r>
        <w:rPr>
          <w:rFonts w:ascii="Arial" w:hAnsi="Arial"/>
          <w:b/>
          <w:color w:val="595959"/>
          <w:sz w:val="19"/>
        </w:rPr>
        <w:t xml:space="preserve">Phone: </w:t>
      </w:r>
      <w:r>
        <w:rPr>
          <w:rFonts w:ascii="Arial" w:hAnsi="Arial"/>
          <w:color w:val="333333"/>
          <w:sz w:val="19"/>
        </w:rPr>
        <w:t>+91 8939258516</w:t>
      </w:r>
      <w:r>
        <w:br/>
      </w:r>
      <w:r>
        <w:rPr>
          <w:rFonts w:ascii="Arial" w:hAnsi="Arial"/>
          <w:b/>
          <w:color w:val="595959"/>
          <w:sz w:val="19"/>
        </w:rPr>
        <w:t xml:space="preserve">LinkedIn: </w:t>
      </w:r>
      <w:r>
        <w:rPr>
          <w:rFonts w:ascii="Arial" w:hAnsi="Arial"/>
          <w:color w:val="333333"/>
          <w:sz w:val="19"/>
        </w:rPr>
        <w:t>linkedin.com/in/arihant-jain-ai</w:t>
      </w:r>
      <w:r>
        <w:rPr>
          <w:rFonts w:ascii="Arial" w:hAnsi="Arial"/>
          <w:color w:val="595959"/>
          <w:sz w:val="19"/>
        </w:rPr>
        <w:t xml:space="preserve">  |  </w:t>
      </w:r>
      <w:r>
        <w:rPr>
          <w:rFonts w:ascii="Arial" w:hAnsi="Arial"/>
          <w:b/>
          <w:color w:val="595959"/>
          <w:sz w:val="19"/>
        </w:rPr>
        <w:t xml:space="preserve">GitHub: </w:t>
      </w:r>
      <w:r>
        <w:rPr>
          <w:rFonts w:ascii="Arial" w:hAnsi="Arial"/>
          <w:color w:val="333333"/>
          <w:sz w:val="19"/>
        </w:rPr>
        <w:t>github.com/techwizAJ</w:t>
      </w:r>
      <w:r>
        <w:rPr>
          <w:rFonts w:ascii="Arial" w:hAnsi="Arial"/>
          <w:color w:val="595959"/>
          <w:sz w:val="19"/>
        </w:rPr>
        <w:t xml:space="preserve">  |  </w:t>
      </w:r>
      <w:r>
        <w:rPr>
          <w:rFonts w:ascii="Arial" w:hAnsi="Arial"/>
          <w:b/>
          <w:color w:val="595959"/>
          <w:sz w:val="19"/>
        </w:rPr>
        <w:t xml:space="preserve">Portfolio: </w:t>
      </w:r>
      <w:r>
        <w:rPr>
          <w:rFonts w:ascii="Arial" w:hAnsi="Arial"/>
          <w:color w:val="333333"/>
          <w:sz w:val="19"/>
        </w:rPr>
        <w:t>arihant-tech.info</w:t>
      </w:r>
    </w:p>
    <w:p>
      <w:pPr>
        <w:keepNext/>
        <w:spacing w:before="240" w:after="80"/>
        <w:pBdr>
          <w:bottom w:val="single" w:sz="12" w:space="4" w:color="1F4E79"/>
        </w:pBdr>
      </w:pPr>
      <w:r>
        <w:rPr>
          <w:rFonts w:ascii="Arial" w:hAnsi="Arial"/>
          <w:b/>
          <w:color w:val="1F4E79"/>
          <w:sz w:val="24"/>
        </w:rPr>
        <w:t>PROFILE SUMMARY</w:t>
      </w:r>
    </w:p>
    <w:p>
      <w:pPr>
        <w:spacing w:before="0" w:after="120" w:line="264" w:lineRule="auto"/>
      </w:pPr>
      <w:r>
        <w:rPr>
          <w:rFonts w:ascii="Arial" w:hAnsi="Arial"/>
          <w:color w:val="333333"/>
          <w:sz w:val="19"/>
        </w:rPr>
        <w:t>Senior Software Engineer with 7+ years of hands-on experience developing and scaling distributed ledger, transactional, and AI platforms. Experienced in optimizing p99 latency in high throughput environments, resolving distributed state challenges, and integrating multi-agent workflows. Proven track record of supporting zero-downtime microservice migrations, contributing to resilient high volume transactional workflows, and cutting operational latency. Strong background in Java/Spring ecosystem, Kafka event-driven backbones, caching topologies, and robust system-level consistency models.</w:t>
      </w:r>
    </w:p>
    <w:p>
      <w:pPr>
        <w:keepNext/>
        <w:spacing w:before="240" w:after="80"/>
        <w:pBdr>
          <w:bottom w:val="single" w:sz="12" w:space="4" w:color="1F4E79"/>
        </w:pBdr>
      </w:pPr>
      <w:r>
        <w:rPr>
          <w:rFonts w:ascii="Arial" w:hAnsi="Arial"/>
          <w:b/>
          <w:color w:val="1F4E79"/>
          <w:sz w:val="24"/>
        </w:rPr>
        <w:t>CORE SKILLS</w:t>
      </w:r>
    </w:p>
    <w:p>
      <w:pPr>
        <w:spacing w:before="0" w:after="50" w:line="252" w:lineRule="auto"/>
      </w:pPr>
      <w:r>
        <w:rPr>
          <w:rFonts w:ascii="Arial" w:hAnsi="Arial"/>
          <w:b/>
          <w:color w:val="1F4E79"/>
          <w:sz w:val="19"/>
        </w:rPr>
        <w:t xml:space="preserve">•  </w:t>
      </w:r>
      <w:r>
        <w:rPr>
          <w:rFonts w:ascii="Arial" w:hAnsi="Arial"/>
          <w:b/>
          <w:color w:val="333333"/>
          <w:sz w:val="19"/>
        </w:rPr>
        <w:t xml:space="preserve">Languages: </w:t>
      </w:r>
      <w:r>
        <w:rPr>
          <w:rFonts w:ascii="Arial" w:hAnsi="Arial"/>
          <w:color w:val="333333"/>
          <w:sz w:val="19"/>
        </w:rPr>
        <w:t>Java (Core, Concurrency, Multithreading), Python, C++, Node.js, SQL</w:t>
      </w:r>
    </w:p>
    <w:p>
      <w:pPr>
        <w:spacing w:before="0" w:after="50" w:line="252" w:lineRule="auto"/>
      </w:pPr>
      <w:r>
        <w:rPr>
          <w:rFonts w:ascii="Arial" w:hAnsi="Arial"/>
          <w:b/>
          <w:color w:val="1F4E79"/>
          <w:sz w:val="19"/>
        </w:rPr>
        <w:t xml:space="preserve">•  </w:t>
      </w:r>
      <w:r>
        <w:rPr>
          <w:rFonts w:ascii="Arial" w:hAnsi="Arial"/>
          <w:b/>
          <w:color w:val="333333"/>
          <w:sz w:val="19"/>
        </w:rPr>
        <w:t xml:space="preserve">Backend Frameworks: </w:t>
      </w:r>
      <w:r>
        <w:rPr>
          <w:rFonts w:ascii="Arial" w:hAnsi="Arial"/>
          <w:color w:val="333333"/>
          <w:sz w:val="19"/>
        </w:rPr>
        <w:t>Spring Boot, Spring Cloud, Spring Security, Spring WebFlux (Reactive Stack)</w:t>
      </w:r>
    </w:p>
    <w:p>
      <w:pPr>
        <w:spacing w:before="0" w:after="50" w:line="252" w:lineRule="auto"/>
      </w:pPr>
      <w:r>
        <w:rPr>
          <w:rFonts w:ascii="Arial" w:hAnsi="Arial"/>
          <w:b/>
          <w:color w:val="1F4E79"/>
          <w:sz w:val="19"/>
        </w:rPr>
        <w:t xml:space="preserve">•  </w:t>
      </w:r>
      <w:r>
        <w:rPr>
          <w:rFonts w:ascii="Arial" w:hAnsi="Arial"/>
          <w:b/>
          <w:color w:val="333333"/>
          <w:sz w:val="19"/>
        </w:rPr>
        <w:t xml:space="preserve">Distributed Systems &amp; Storage: </w:t>
      </w:r>
      <w:r>
        <w:rPr>
          <w:rFonts w:ascii="Arial" w:hAnsi="Arial"/>
          <w:color w:val="333333"/>
          <w:sz w:val="19"/>
        </w:rPr>
        <w:t>Apache Kafka, Redis (Cache-Aside, Distributed Locks), MongoDB, MySQL, Elasticsearch, Azure Service Bus</w:t>
      </w:r>
    </w:p>
    <w:p>
      <w:pPr>
        <w:spacing w:before="0" w:after="50" w:line="252" w:lineRule="auto"/>
      </w:pPr>
      <w:r>
        <w:rPr>
          <w:rFonts w:ascii="Arial" w:hAnsi="Arial"/>
          <w:b/>
          <w:color w:val="1F4E79"/>
          <w:sz w:val="19"/>
        </w:rPr>
        <w:t xml:space="preserve">•  </w:t>
      </w:r>
      <w:r>
        <w:rPr>
          <w:rFonts w:ascii="Arial" w:hAnsi="Arial"/>
          <w:b/>
          <w:color w:val="333333"/>
          <w:sz w:val="19"/>
        </w:rPr>
        <w:t xml:space="preserve">Systems Architecture: </w:t>
      </w:r>
      <w:r>
        <w:rPr>
          <w:rFonts w:ascii="Arial" w:hAnsi="Arial"/>
          <w:color w:val="333333"/>
          <w:sz w:val="19"/>
        </w:rPr>
        <w:t>Distributed Transactions (Saga Orchestration, Event Sourcing, ACID), Consistency Models (Eventual/Strong Consistency, Linearizability), High Availability, Idempotency Engineering, Fault Isolation (Resilience4j Circuit Breakers, Bulkheads, Rate Limiters), Observability (OpenTelemetry, Prometheus, ELK Stack, Zipkin, JProfiler)</w:t>
      </w:r>
    </w:p>
    <w:p>
      <w:pPr>
        <w:spacing w:before="0" w:after="50" w:line="252" w:lineRule="auto"/>
      </w:pPr>
      <w:r>
        <w:rPr>
          <w:rFonts w:ascii="Arial" w:hAnsi="Arial"/>
          <w:b/>
          <w:color w:val="1F4E79"/>
          <w:sz w:val="19"/>
        </w:rPr>
        <w:t xml:space="preserve">•  </w:t>
      </w:r>
      <w:r>
        <w:rPr>
          <w:rFonts w:ascii="Arial" w:hAnsi="Arial"/>
          <w:b/>
          <w:color w:val="333333"/>
          <w:sz w:val="19"/>
        </w:rPr>
        <w:t xml:space="preserve">AI &amp; Next-Gen Systems: </w:t>
      </w:r>
      <w:r>
        <w:rPr>
          <w:rFonts w:ascii="Arial" w:hAnsi="Arial"/>
          <w:color w:val="333333"/>
          <w:sz w:val="19"/>
        </w:rPr>
        <w:t>Multi-Agent Systems, LangGraph (Orchestration &amp; State Management), Retrieval-Augmented Generation (RAG) Pipelines, Knowledge Graphs, Semantic Vector Search, Claude / OpenAI LLM Integration</w:t>
      </w:r>
    </w:p>
    <w:p>
      <w:pPr>
        <w:spacing w:before="0" w:after="50" w:line="252" w:lineRule="auto"/>
      </w:pPr>
      <w:r>
        <w:rPr>
          <w:rFonts w:ascii="Arial" w:hAnsi="Arial"/>
          <w:b/>
          <w:color w:val="1F4E79"/>
          <w:sz w:val="19"/>
        </w:rPr>
        <w:t xml:space="preserve">•  </w:t>
      </w:r>
      <w:r>
        <w:rPr>
          <w:rFonts w:ascii="Arial" w:hAnsi="Arial"/>
          <w:b/>
          <w:color w:val="333333"/>
          <w:sz w:val="19"/>
        </w:rPr>
        <w:t xml:space="preserve">Cloud &amp; DevOps: </w:t>
      </w:r>
      <w:r>
        <w:rPr>
          <w:rFonts w:ascii="Arial" w:hAnsi="Arial"/>
          <w:color w:val="333333"/>
          <w:sz w:val="19"/>
        </w:rPr>
        <w:t>AWS, Azure, Docker, Kubernetes, Terraform, Jenkins, CI/CD, Liquibase Schema Migration</w:t>
      </w:r>
    </w:p>
    <w:p>
      <w:pPr>
        <w:keepNext/>
        <w:spacing w:before="240" w:after="80"/>
        <w:pBdr>
          <w:bottom w:val="single" w:sz="12" w:space="4" w:color="1F4E79"/>
        </w:pBdr>
      </w:pPr>
      <w:r>
        <w:rPr>
          <w:rFonts w:ascii="Arial" w:hAnsi="Arial"/>
          <w:b/>
          <w:color w:val="1F4E79"/>
          <w:sz w:val="24"/>
        </w:rPr>
        <w:t>WORK EXPERIENCE</w:t>
      </w:r>
    </w:p>
    <w:p>
      <w:pPr>
        <w:keepNext/>
        <w:tabs>
          <w:tab w:pos="10800" w:val="right"/>
        </w:tabs>
        <w:spacing w:before="140" w:after="30"/>
      </w:pPr>
      <w:r>
        <w:rPr>
          <w:rFonts w:ascii="Arial" w:hAnsi="Arial"/>
          <w:b/>
          <w:i w:val="0"/>
          <w:color w:val="333333"/>
          <w:sz w:val="20"/>
        </w:rPr>
        <w:t>WISSEN TECHNOLOGY</w:t>
      </w:r>
      <w:r>
        <w:rPr>
          <w:rFonts w:ascii="Arial" w:hAnsi="Arial"/>
          <w:b w:val="0"/>
          <w:i w:val="0"/>
          <w:color w:val="333333"/>
          <w:sz w:val="20"/>
        </w:rPr>
        <w:t xml:space="preserve"> | Client: </w:t>
      </w:r>
      <w:r>
        <w:rPr>
          <w:rFonts w:ascii="Arial" w:hAnsi="Arial"/>
          <w:b/>
          <w:i w:val="0"/>
          <w:color w:val="333333"/>
          <w:sz w:val="20"/>
        </w:rPr>
        <w:t>MORGAN STANLEY</w:t>
      </w:r>
      <w:r>
        <w:rPr>
          <w:rFonts w:ascii="Arial" w:hAnsi="Arial"/>
          <w:b w:val="0"/>
          <w:i w:val="0"/>
          <w:color w:val="333333"/>
          <w:sz w:val="20"/>
        </w:rPr>
        <w:t xml:space="preserve"> | Banglore, India</w:t>
      </w:r>
      <w:r>
        <w:tab/>
      </w:r>
      <w:r>
        <w:rPr>
          <w:rFonts w:ascii="Arial" w:hAnsi="Arial"/>
          <w:b/>
          <w:color w:val="333333"/>
          <w:sz w:val="20"/>
        </w:rPr>
        <w:t>June 2025 – Present</w:t>
      </w:r>
    </w:p>
    <w:p>
      <w:pPr>
        <w:keepNext/>
        <w:spacing w:before="0" w:after="60"/>
      </w:pPr>
      <w:r>
        <w:rPr>
          <w:rFonts w:ascii="Arial" w:hAnsi="Arial"/>
          <w:i/>
          <w:color w:val="595959"/>
          <w:sz w:val="20"/>
        </w:rPr>
        <w:t>Senior Software Engineer</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Agentic Flow Accelerator Platform: </w:t>
      </w:r>
      <w:r>
        <w:rPr>
          <w:rFonts w:ascii="Arial" w:hAnsi="Arial"/>
          <w:color w:val="333333"/>
          <w:sz w:val="19"/>
        </w:rPr>
        <w:t>Owned the development of a meta-orchestration platform utilizing autonomous multi-agent workflows to automate market onboarding (legal entities, depositories, agent accounts). Built event-driven compilation engines that dynamically generate schema migrations (Liquibase) and pull requests, compressing the onboarding pipeline from 3 weeks to ~10 minutes with zero schema drift.</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Agentic Reconciliation Intelligence System: </w:t>
      </w:r>
      <w:r>
        <w:rPr>
          <w:rFonts w:ascii="Arial" w:hAnsi="Arial"/>
          <w:color w:val="333333"/>
          <w:sz w:val="19"/>
        </w:rPr>
        <w:t>Implemented a distributed data-aggregation and log-analysis engine to index multi-system database and legacy mainframe ledger streams (processing high-volume events). Integrated a RAG pipeline and Knowledge Graphs into a multi-agent diagnostic framework. Automated break detection and root-cause analysis, compressing cross-border trade desk investigations from weeks to &lt;5 minutes.</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Global Market Scoping Engine: </w:t>
      </w:r>
      <w:r>
        <w:rPr>
          <w:rFonts w:ascii="Arial" w:hAnsi="Arial"/>
          <w:color w:val="333333"/>
          <w:sz w:val="19"/>
        </w:rPr>
        <w:t>Led the migration of Morgan Stanley’s legacy trade-scoping rules system to a market-driven rules. Reduced overall rule-base complexity by 85%, improving the system's reliability and reducing transactional settlement risk.</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High-Availability Settlement Pipelines: </w:t>
      </w:r>
      <w:r>
        <w:rPr>
          <w:rFonts w:ascii="Arial" w:hAnsi="Arial"/>
          <w:color w:val="333333"/>
          <w:sz w:val="19"/>
        </w:rPr>
        <w:t>Owned the settlements core, settlements adapter and Trade Capture Interface for the Asia-Pacific trade settlement infrastructure, safely processing 1.5M+ transactions daily. Implemented saga coordinator, distributed transactional consensus, and idempotent ingestion filters.</w:t>
      </w:r>
    </w:p>
    <w:p>
      <w:pPr>
        <w:keepNext/>
        <w:tabs>
          <w:tab w:pos="10800" w:val="right"/>
        </w:tabs>
        <w:spacing w:before="140" w:after="30"/>
      </w:pPr>
      <w:r>
        <w:rPr>
          <w:rFonts w:ascii="Arial" w:hAnsi="Arial"/>
          <w:b/>
          <w:i w:val="0"/>
          <w:color w:val="333333"/>
          <w:sz w:val="20"/>
        </w:rPr>
        <w:t>TATA CONSULTANCY SERVICES (TCS)</w:t>
      </w:r>
      <w:r>
        <w:rPr>
          <w:rFonts w:ascii="Arial" w:hAnsi="Arial"/>
          <w:b w:val="0"/>
          <w:i w:val="0"/>
          <w:color w:val="333333"/>
          <w:sz w:val="20"/>
        </w:rPr>
        <w:t xml:space="preserve"> | Client: </w:t>
      </w:r>
      <w:r>
        <w:rPr>
          <w:rFonts w:ascii="Arial" w:hAnsi="Arial"/>
          <w:b/>
          <w:i w:val="0"/>
          <w:color w:val="333333"/>
          <w:sz w:val="20"/>
        </w:rPr>
        <w:t>ERICSSON</w:t>
      </w:r>
      <w:r>
        <w:rPr>
          <w:rFonts w:ascii="Arial" w:hAnsi="Arial"/>
          <w:b w:val="0"/>
          <w:i w:val="0"/>
          <w:color w:val="333333"/>
          <w:sz w:val="20"/>
        </w:rPr>
        <w:t xml:space="preserve"> | Chennai, India</w:t>
      </w:r>
      <w:r>
        <w:tab/>
      </w:r>
      <w:r>
        <w:rPr>
          <w:rFonts w:ascii="Arial" w:hAnsi="Arial"/>
          <w:b/>
          <w:color w:val="333333"/>
          <w:sz w:val="20"/>
        </w:rPr>
        <w:t>April 2022 – June 2025</w:t>
      </w:r>
    </w:p>
    <w:p>
      <w:pPr>
        <w:keepNext/>
        <w:spacing w:before="0" w:after="60"/>
      </w:pPr>
      <w:r>
        <w:rPr>
          <w:rFonts w:ascii="Arial" w:hAnsi="Arial"/>
          <w:i/>
          <w:color w:val="595959"/>
          <w:sz w:val="20"/>
        </w:rPr>
        <w:t>Systems Engineer</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Core Microservice Refactoring &amp; Latency Optimization: </w:t>
      </w:r>
      <w:r>
        <w:rPr>
          <w:rFonts w:ascii="Arial" w:hAnsi="Arial"/>
          <w:color w:val="333333"/>
          <w:sz w:val="19"/>
        </w:rPr>
        <w:t>Led migration of a core telecommunications provisioning microservice to an event-driven architecture. Replaced synchronous HTTP polling with a high-throughput data ingestion pipeline using Apache Kafka and a distributed Redis cache-aside topology. Slashed p99 latency from 12 seconds to 40 milliseconds while enforcing eventual consistency models between MongoDB and relational data stores.</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High-Throughput Messaging &amp; Scaling: </w:t>
      </w:r>
      <w:r>
        <w:rPr>
          <w:rFonts w:ascii="Arial" w:hAnsi="Arial"/>
          <w:color w:val="333333"/>
          <w:sz w:val="19"/>
        </w:rPr>
        <w:t>Designed Kafka event schema and deployed a partitioned messaging backbone using Kafka, configured with custom partitioners, consumer group scaling, and backpressure handling. Supported throughput scaling of 100k+ RPS during peak telemetry traffic bursts without message loss.</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Asynchronous Execution &amp; Concurrency: </w:t>
      </w:r>
      <w:r>
        <w:rPr>
          <w:rFonts w:ascii="Arial" w:hAnsi="Arial"/>
          <w:color w:val="333333"/>
          <w:sz w:val="19"/>
        </w:rPr>
        <w:t>Migrated legacy synchronous APIs into non-blocking, reactive asynchronous streams (using Spring WebFlux/CompletableFuture), improving concurrent connection handling by 5x under peak telecommunication workloads.</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Fault Isolation &amp; Resilience: </w:t>
      </w:r>
      <w:r>
        <w:rPr>
          <w:rFonts w:ascii="Arial" w:hAnsi="Arial"/>
          <w:color w:val="333333"/>
          <w:sz w:val="19"/>
        </w:rPr>
        <w:t>Implemented system resilience patterns utilizing Resilience4j (Circuit Breakers, Bulkheads, and Rate Limiters) to prevent cascading failures across downstream provisioning networks. Integrated Azure Active Directory (AD) with OIDC/OAuth 2.0 and Spring Security to enforce enterprise-grade API security.</w:t>
      </w:r>
    </w:p>
    <w:p>
      <w:pPr>
        <w:keepNext/>
        <w:tabs>
          <w:tab w:pos="10800" w:val="right"/>
        </w:tabs>
        <w:spacing w:before="140" w:after="30"/>
      </w:pPr>
      <w:r>
        <w:rPr>
          <w:rFonts w:ascii="Arial" w:hAnsi="Arial"/>
          <w:b/>
          <w:i w:val="0"/>
          <w:color w:val="333333"/>
          <w:sz w:val="20"/>
        </w:rPr>
        <w:t>HIGHRADIUS TECHNOLOGIES</w:t>
      </w:r>
      <w:r>
        <w:rPr>
          <w:rFonts w:ascii="Arial" w:hAnsi="Arial"/>
          <w:b w:val="0"/>
          <w:i w:val="0"/>
          <w:color w:val="333333"/>
          <w:sz w:val="20"/>
        </w:rPr>
        <w:t xml:space="preserve"> | Hyderabad, India</w:t>
      </w:r>
      <w:r>
        <w:tab/>
      </w:r>
      <w:r>
        <w:rPr>
          <w:rFonts w:ascii="Arial" w:hAnsi="Arial"/>
          <w:b/>
          <w:color w:val="333333"/>
          <w:sz w:val="20"/>
        </w:rPr>
        <w:t>January 2019 – March 2022</w:t>
      </w:r>
    </w:p>
    <w:p>
      <w:pPr>
        <w:keepNext/>
        <w:spacing w:before="0" w:after="60"/>
      </w:pPr>
      <w:r>
        <w:rPr>
          <w:rFonts w:ascii="Arial" w:hAnsi="Arial"/>
          <w:i/>
          <w:color w:val="595959"/>
          <w:sz w:val="20"/>
        </w:rPr>
        <w:t>Technical Consultant (Growth Path: Intern to TC)</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Promotion Timeline: </w:t>
      </w:r>
      <w:r>
        <w:rPr>
          <w:rFonts w:ascii="Arial" w:hAnsi="Arial"/>
          <w:color w:val="333333"/>
          <w:sz w:val="19"/>
        </w:rPr>
        <w:t>Promoted 4 times within a 3-year tenure, progressing from Software Development Intern to Technical Consultant: Technical Consultant (Oct 2021 – Mar 2022) • Associate Technical Consultant (Jul 2020 – Nov 2021) • Associate Software Engineer (May 2019 – Jun 2020) • Software Development Intern (Jan 2019 – Apr 2019).</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Configurable Rule-Engine Framework: </w:t>
      </w:r>
      <w:r>
        <w:rPr>
          <w:rFonts w:ascii="Arial" w:hAnsi="Arial"/>
          <w:color w:val="333333"/>
          <w:sz w:val="19"/>
        </w:rPr>
        <w:t>Built a configurable rule-engine framework to parse and match incoming accounts receivable data. Elevated straight-through payment reconciliation automation from 20% to 80% for enterprise clients, reducing manual accounts-receivable aging cycles by 70%.</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Financial File Ingestion Pipeline: </w:t>
      </w:r>
      <w:r>
        <w:rPr>
          <w:rFonts w:ascii="Arial" w:hAnsi="Arial"/>
          <w:color w:val="333333"/>
          <w:sz w:val="19"/>
        </w:rPr>
        <w:t>Implemented a high-volume financial parsing and ingestion pipeline supporting standard global banking formats (BAI2 and MT940). Developed streaming parsers that processed 500MB+ banking statement files with transactional isolation and duplicate detection.</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Technical Leadership: </w:t>
      </w:r>
      <w:r>
        <w:rPr>
          <w:rFonts w:ascii="Arial" w:hAnsi="Arial"/>
          <w:color w:val="333333"/>
          <w:sz w:val="19"/>
        </w:rPr>
        <w:t>Mentored a cross-functional team of 10+ junior software engineers, standardizing code quality metrics, CI/CD automated test suites (JUnit/Mockito), and robust system design best practices.</w:t>
      </w:r>
    </w:p>
    <w:p>
      <w:pPr>
        <w:keepNext/>
        <w:spacing w:before="240" w:after="80"/>
        <w:pBdr>
          <w:bottom w:val="single" w:sz="12" w:space="4" w:color="1F4E79"/>
        </w:pBdr>
      </w:pPr>
      <w:r>
        <w:rPr>
          <w:rFonts w:ascii="Arial" w:hAnsi="Arial"/>
          <w:b/>
          <w:color w:val="1F4E79"/>
          <w:sz w:val="24"/>
        </w:rPr>
        <w:t>KEY PROJECTS</w:t>
      </w:r>
    </w:p>
    <w:p>
      <w:pPr>
        <w:keepNext/>
        <w:tabs>
          <w:tab w:pos="10800" w:val="right"/>
        </w:tabs>
        <w:spacing w:before="140" w:after="30"/>
      </w:pPr>
      <w:r>
        <w:rPr>
          <w:rFonts w:ascii="Arial" w:hAnsi="Arial"/>
          <w:b/>
          <w:i w:val="0"/>
          <w:color w:val="333333"/>
          <w:sz w:val="20"/>
        </w:rPr>
        <w:t>BoardroomIQ AI</w:t>
      </w:r>
      <w:r>
        <w:rPr>
          <w:rFonts w:ascii="Arial" w:hAnsi="Arial"/>
          <w:b w:val="0"/>
          <w:i w:val="0"/>
          <w:color w:val="333333"/>
          <w:sz w:val="20"/>
        </w:rPr>
        <w:t xml:space="preserve"> | Solo-Built AI Strategy Platform</w:t>
      </w:r>
      <w:r>
        <w:tab/>
      </w:r>
      <w:r>
        <w:rPr>
          <w:rFonts w:ascii="Arial" w:hAnsi="Arial"/>
          <w:b/>
          <w:color w:val="333333"/>
          <w:sz w:val="20"/>
        </w:rPr>
        <w:t>Live Demo: boardroomiq-ai.com</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System Overview: </w:t>
      </w:r>
      <w:r>
        <w:rPr>
          <w:rFonts w:ascii="Arial" w:hAnsi="Arial"/>
          <w:color w:val="333333"/>
          <w:sz w:val="19"/>
        </w:rPr>
        <w:t>A high-performance strategy simulation platform featuring autonomous multi-agent boardrooms.</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Distributed &amp; AI Architecture: </w:t>
      </w:r>
      <w:r>
        <w:rPr>
          <w:rFonts w:ascii="Arial" w:hAnsi="Arial"/>
          <w:color w:val="333333"/>
          <w:sz w:val="19"/>
        </w:rPr>
        <w:t>Engineered using a hierarchical agent architecture (orchestrated via LangGraph and powered by Claude LLM API) where individual personas (CFO, Bear, Bull, Activist) debate corporate actions using deep Retrieval-Augmented Generation (RAG) context.</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Systems Engineering: </w:t>
      </w:r>
      <w:r>
        <w:rPr>
          <w:rFonts w:ascii="Arial" w:hAnsi="Arial"/>
          <w:color w:val="333333"/>
          <w:sz w:val="19"/>
        </w:rPr>
        <w:t>Leveraged Redis for distributed state management and session caching, ensuring low-latency agent turn-taking and context window compression. Designed an asynchronous job queue using Node.js to manage concurrency spikes during heavy simulated debates. Built dynamic evaluation nodes that calculate, track, and score user strategy performance across 8 dimensions in real-time.</w:t>
      </w:r>
    </w:p>
    <w:p>
      <w:pPr>
        <w:keepNext/>
        <w:tabs>
          <w:tab w:pos="10800" w:val="right"/>
        </w:tabs>
        <w:spacing w:before="140" w:after="30"/>
      </w:pPr>
      <w:r>
        <w:rPr>
          <w:rFonts w:ascii="Arial" w:hAnsi="Arial"/>
          <w:b/>
          <w:i w:val="0"/>
          <w:color w:val="333333"/>
          <w:sz w:val="20"/>
        </w:rPr>
        <w:t>Treasury Infrastructure Platform</w:t>
      </w:r>
      <w:r>
        <w:rPr>
          <w:rFonts w:ascii="Arial" w:hAnsi="Arial"/>
          <w:b w:val="0"/>
          <w:i w:val="0"/>
          <w:color w:val="333333"/>
          <w:sz w:val="20"/>
        </w:rPr>
        <w:t xml:space="preserve"> | Open-Source Distributed Financial Infrastructure</w:t>
      </w:r>
      <w:r>
        <w:tab/>
      </w:r>
      <w:r>
        <w:rPr>
          <w:rFonts w:ascii="Arial" w:hAnsi="Arial"/>
          <w:b/>
          <w:color w:val="333333"/>
          <w:sz w:val="20"/>
        </w:rPr>
        <w:t>Source: github.com/techwizAJ/TreasuryApplication</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System Overview: </w:t>
      </w:r>
      <w:r>
        <w:rPr>
          <w:rFonts w:ascii="Arial" w:hAnsi="Arial"/>
          <w:color w:val="333333"/>
          <w:sz w:val="19"/>
        </w:rPr>
        <w:t>A high-throughput, enterprise-grade financial ledger and cash-visibility engine.</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Architecture: </w:t>
      </w:r>
      <w:r>
        <w:rPr>
          <w:rFonts w:ascii="Arial" w:hAnsi="Arial"/>
          <w:color w:val="333333"/>
          <w:sz w:val="19"/>
        </w:rPr>
        <w:t>Engineered with Spring Boot and MySQL to handle distributed transactional integrity across multi-region accounting ledgers.</w:t>
      </w:r>
    </w:p>
    <w:p>
      <w:pPr>
        <w:spacing w:before="0" w:after="50" w:line="252" w:lineRule="auto"/>
        <w:ind w:left="360" w:hanging="216"/>
      </w:pPr>
      <w:r>
        <w:rPr>
          <w:rFonts w:ascii="Arial" w:hAnsi="Arial"/>
          <w:b/>
          <w:color w:val="1F4E79"/>
          <w:sz w:val="19"/>
        </w:rPr>
        <w:t xml:space="preserve">•  </w:t>
      </w:r>
      <w:r>
        <w:rPr>
          <w:rFonts w:ascii="Arial" w:hAnsi="Arial"/>
          <w:b/>
          <w:color w:val="333333"/>
          <w:sz w:val="19"/>
        </w:rPr>
        <w:t xml:space="preserve">Systems Engineering: </w:t>
      </w:r>
      <w:r>
        <w:rPr>
          <w:rFonts w:ascii="Arial" w:hAnsi="Arial"/>
          <w:color w:val="333333"/>
          <w:sz w:val="19"/>
        </w:rPr>
        <w:t>Implemented strict transactional auditing, double-entry bookkeeping constraints, Saga orchestration to handle payment settlements, and idempotent API endpoints to guarantee zero double-spend or duplicate billing events under network failures.</w:t>
      </w:r>
    </w:p>
    <w:p>
      <w:pPr>
        <w:keepNext/>
        <w:spacing w:before="240" w:after="80"/>
        <w:pBdr>
          <w:bottom w:val="single" w:sz="12" w:space="4" w:color="1F4E79"/>
        </w:pBdr>
      </w:pPr>
      <w:r>
        <w:rPr>
          <w:rFonts w:ascii="Arial" w:hAnsi="Arial"/>
          <w:b/>
          <w:color w:val="1F4E79"/>
          <w:sz w:val="24"/>
        </w:rPr>
        <w:t>EDUCATION</w:t>
      </w:r>
    </w:p>
    <w:p>
      <w:pPr>
        <w:keepNext/>
        <w:tabs>
          <w:tab w:pos="10800" w:val="right"/>
        </w:tabs>
        <w:spacing w:before="40" w:after="50"/>
      </w:pPr>
      <w:r>
        <w:rPr>
          <w:rFonts w:ascii="Arial" w:hAnsi="Arial"/>
          <w:b/>
          <w:i w:val="0"/>
          <w:color w:val="333333"/>
          <w:sz w:val="19"/>
        </w:rPr>
        <w:t>SRM University, Chennai</w:t>
      </w:r>
      <w:r>
        <w:rPr>
          <w:rFonts w:ascii="Arial" w:hAnsi="Arial"/>
          <w:b w:val="0"/>
          <w:i w:val="0"/>
          <w:color w:val="333333"/>
          <w:sz w:val="19"/>
        </w:rPr>
        <w:t xml:space="preserve"> — </w:t>
      </w:r>
      <w:r>
        <w:rPr>
          <w:rFonts w:ascii="Arial" w:hAnsi="Arial"/>
          <w:b w:val="0"/>
          <w:i/>
          <w:color w:val="333333"/>
          <w:sz w:val="19"/>
        </w:rPr>
        <w:t>Bachelor of Technology in Computer Science and Engineering</w:t>
      </w:r>
      <w:r>
        <w:rPr>
          <w:rFonts w:ascii="Arial" w:hAnsi="Arial"/>
          <w:b w:val="0"/>
          <w:i w:val="0"/>
          <w:color w:val="333333"/>
          <w:sz w:val="19"/>
        </w:rPr>
        <w:t xml:space="preserve"> (2019)</w:t>
      </w:r>
      <w:r>
        <w:tab/>
      </w:r>
      <w:r>
        <w:rPr>
          <w:rFonts w:ascii="Arial" w:hAnsi="Arial"/>
          <w:b/>
          <w:color w:val="333333"/>
          <w:sz w:val="19"/>
        </w:rPr>
        <w:t>Performance: 85.09% (Distinction)</w:t>
      </w:r>
    </w:p>
    <w:p>
      <w:pPr>
        <w:keepNext/>
        <w:tabs>
          <w:tab w:pos="10800" w:val="right"/>
        </w:tabs>
        <w:spacing w:before="40" w:after="50"/>
      </w:pPr>
      <w:r>
        <w:rPr>
          <w:rFonts w:ascii="Arial" w:hAnsi="Arial"/>
          <w:b/>
          <w:i w:val="0"/>
          <w:color w:val="333333"/>
          <w:sz w:val="19"/>
        </w:rPr>
        <w:t>Sri Chaitanya Junior College, Hyderabad</w:t>
      </w:r>
      <w:r>
        <w:rPr>
          <w:rFonts w:ascii="Arial" w:hAnsi="Arial"/>
          <w:b w:val="0"/>
          <w:i w:val="0"/>
          <w:color w:val="333333"/>
          <w:sz w:val="19"/>
        </w:rPr>
        <w:t xml:space="preserve"> — </w:t>
      </w:r>
      <w:r>
        <w:rPr>
          <w:rFonts w:ascii="Arial" w:hAnsi="Arial"/>
          <w:b w:val="0"/>
          <w:i/>
          <w:color w:val="333333"/>
          <w:sz w:val="19"/>
        </w:rPr>
        <w:t>Higher Secondary Certificate (12th Grade)</w:t>
      </w:r>
      <w:r>
        <w:rPr>
          <w:rFonts w:ascii="Arial" w:hAnsi="Arial"/>
          <w:b w:val="0"/>
          <w:i w:val="0"/>
          <w:color w:val="333333"/>
          <w:sz w:val="19"/>
        </w:rPr>
        <w:t xml:space="preserve"> (2015)</w:t>
      </w:r>
      <w:r>
        <w:tab/>
      </w:r>
      <w:r>
        <w:rPr>
          <w:rFonts w:ascii="Arial" w:hAnsi="Arial"/>
          <w:b/>
          <w:color w:val="333333"/>
          <w:sz w:val="19"/>
        </w:rPr>
        <w:t>Performance: 90.3%</w:t>
      </w:r>
    </w:p>
    <w:p>
      <w:pPr>
        <w:keepNext/>
        <w:tabs>
          <w:tab w:pos="10800" w:val="right"/>
        </w:tabs>
        <w:spacing w:before="40" w:after="50"/>
      </w:pPr>
      <w:r>
        <w:rPr>
          <w:rFonts w:ascii="Arial" w:hAnsi="Arial"/>
          <w:b/>
          <w:i w:val="0"/>
          <w:color w:val="333333"/>
          <w:sz w:val="19"/>
        </w:rPr>
        <w:t>Slate The School, Hyderabad</w:t>
      </w:r>
      <w:r>
        <w:rPr>
          <w:rFonts w:ascii="Arial" w:hAnsi="Arial"/>
          <w:b w:val="0"/>
          <w:i w:val="0"/>
          <w:color w:val="333333"/>
          <w:sz w:val="19"/>
        </w:rPr>
        <w:t xml:space="preserve"> — </w:t>
      </w:r>
      <w:r>
        <w:rPr>
          <w:rFonts w:ascii="Arial" w:hAnsi="Arial"/>
          <w:b w:val="0"/>
          <w:i/>
          <w:color w:val="333333"/>
          <w:sz w:val="19"/>
        </w:rPr>
        <w:t>Secondary School Certificate (10th Grade)</w:t>
      </w:r>
      <w:r>
        <w:rPr>
          <w:rFonts w:ascii="Arial" w:hAnsi="Arial"/>
          <w:b w:val="0"/>
          <w:i w:val="0"/>
          <w:color w:val="333333"/>
          <w:sz w:val="19"/>
        </w:rPr>
        <w:t xml:space="preserve"> (2013)</w:t>
      </w:r>
      <w:r>
        <w:tab/>
      </w:r>
      <w:r>
        <w:rPr>
          <w:rFonts w:ascii="Arial" w:hAnsi="Arial"/>
          <w:b/>
          <w:color w:val="333333"/>
          <w:sz w:val="19"/>
        </w:rPr>
        <w:t>Performance: 9.3 GPA</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