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ndara-bold.ttf" ContentType="application/x-font-ttf"/>
  <Override PartName="/word/fonts/Candara-boldItalic.ttf" ContentType="application/x-font-ttf"/>
  <Override PartName="/word/fonts/Candara-italic.ttf" ContentType="application/x-font-ttf"/>
  <Override PartName="/word/fonts/Candara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02.0" w:type="dxa"/>
        <w:jc w:val="left"/>
        <w:tblInd w:w="4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1002"/>
        <w:tblGridChange w:id="0">
          <w:tblGrid>
            <w:gridCol w:w="11002"/>
          </w:tblGrid>
        </w:tblGridChange>
      </w:tblGrid>
      <w:tr>
        <w:trPr>
          <w:cantSplit w:val="0"/>
          <w:trHeight w:val="2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Candara" w:cs="Candara" w:eastAsia="Candara" w:hAnsi="Candara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Candara" w:cs="Candara" w:eastAsia="Candara" w:hAnsi="Candara"/>
              </w:rPr>
            </w:pPr>
            <w:r w:rsidDel="00000000" w:rsidR="00000000" w:rsidRPr="00000000">
              <w:rPr>
                <w:rFonts w:ascii="Candara" w:cs="Candara" w:eastAsia="Candara" w:hAnsi="Candara"/>
              </w:rPr>
              <w:drawing>
                <wp:inline distB="0" distT="0" distL="0" distR="0">
                  <wp:extent cx="6597305" cy="1516473"/>
                  <wp:effectExtent b="0" l="0" r="0" t="0"/>
                  <wp:docPr id="5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26255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7305" cy="15164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352425</wp:posOffset>
                      </wp:positionH>
                      <wp:positionV relativeFrom="paragraph">
                        <wp:posOffset>133350</wp:posOffset>
                      </wp:positionV>
                      <wp:extent cx="5991225" cy="1238863"/>
                      <wp:effectExtent b="0" l="0" r="0" t="0"/>
                      <wp:wrapNone/>
                      <wp:docPr id="4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2547798" y="3206518"/>
                                <a:ext cx="5596404" cy="11469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44"/>
                                      <w:vertAlign w:val="baseline"/>
                                    </w:rPr>
                                    <w:t xml:space="preserve">ARIHANT KUMAR JAIN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44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4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mbria" w:cs="Cambria" w:eastAsia="Cambria" w:hAnsi="Cambr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2"/>
                                      <w:vertAlign w:val="baseline"/>
                                    </w:rPr>
                                    <w:t xml:space="preserve">arihantjainn04@gmail.com | +91 8939258516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mbria" w:cs="Cambria" w:eastAsia="Cambria" w:hAnsi="Cambr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mbria" w:cs="Cambria" w:eastAsia="Cambria" w:hAnsi="Cambr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2"/>
                                      <w:vertAlign w:val="baseline"/>
                                    </w:rPr>
                                    <w:t xml:space="preserve">linkedin.com/in/arihant-jain-ai | github.com/techwizAJ | arihant-tech.info</w:t>
                                  </w:r>
                                  <w:r w:rsidDel="00000000" w:rsidR="00000000" w:rsidRPr="00000000">
                                    <w:rPr>
                                      <w:rFonts w:ascii="Cambria" w:cs="Cambria" w:eastAsia="Cambria" w:hAnsi="Cambria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ffff"/>
                                      <w:sz w:val="22"/>
                                      <w:vertAlign w:val="baseline"/>
                                    </w:rPr>
                                    <w:br w:type="textWrapping"/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352425</wp:posOffset>
                      </wp:positionH>
                      <wp:positionV relativeFrom="paragraph">
                        <wp:posOffset>133350</wp:posOffset>
                      </wp:positionV>
                      <wp:extent cx="5991225" cy="1238863"/>
                      <wp:effectExtent b="0" l="0" r="0" t="0"/>
                      <wp:wrapNone/>
                      <wp:docPr id="48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991225" cy="12388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:rsidR="00000000" w:rsidDel="00000000" w:rsidP="00000000" w:rsidRDefault="00000000" w:rsidRPr="00000000" w14:paraId="00000004">
      <w:pPr>
        <w:spacing w:after="0" w:lineRule="auto"/>
        <w:rPr>
          <w:rFonts w:ascii="Tahoma" w:cs="Tahoma" w:eastAsia="Tahoma" w:hAnsi="Tahoma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95.0" w:type="dxa"/>
        <w:jc w:val="left"/>
        <w:tblInd w:w="27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0395"/>
        <w:tblGridChange w:id="0">
          <w:tblGrid>
            <w:gridCol w:w="10395"/>
          </w:tblGrid>
        </w:tblGridChange>
      </w:tblGrid>
      <w:tr>
        <w:trPr>
          <w:cantSplit w:val="0"/>
          <w:trHeight w:val="2094.10156249999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hd w:fill="ffffff" w:val="clear"/>
              <w:spacing w:after="0" w:line="240" w:lineRule="auto"/>
              <w:jc w:val="both"/>
              <w:rPr>
                <w:b w:val="1"/>
                <w:bCs w:val="1"/>
                <w:color w:val="00b0f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Profile Summary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between w:color="000000" w:space="1" w:sz="4" w:val="single"/>
              </w:pBdr>
              <w:spacing w:after="120" w:line="72" w:lineRule="auto"/>
              <w:jc w:val="both"/>
              <w:rPr/>
            </w:pPr>
            <w:r w:rsidDel="00000000" w:rsidR="00000000" w:rsidRPr="00000000">
              <w:rPr/>
              <mc:AlternateContent>
                <mc:Choice Requires="wpg">
                  <w:drawing>
                    <wp:inline distB="0" distT="0" distL="0" distR="0">
                      <wp:extent cx="6394450" cy="45085"/>
                      <wp:effectExtent b="0" l="0" r="0" t="0"/>
                      <wp:docPr id="49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125"/>
                                <a:ext cx="6394450" cy="45085"/>
                                <a:chOff x="2148775" y="3757125"/>
                                <a:chExt cx="6394475" cy="457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141"/>
                                  <a:ext cx="6394451" cy="45719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6394450" cy="45085"/>
                      <wp:effectExtent b="0" l="0" r="0" t="0"/>
                      <wp:docPr id="49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numPr>
                <w:ilvl w:val="0"/>
                <w:numId w:val="1"/>
              </w:numPr>
              <w:spacing w:after="240" w:before="240" w:lineRule="auto"/>
              <w:ind w:left="360" w:right="600"/>
              <w:jc w:val="both"/>
              <w:rPr>
                <w:rFonts w:ascii="Calibri" w:cs="Calibri" w:eastAsia="Calibri" w:hAnsi="Calibri"/>
                <w:sz w:val="21"/>
                <w:szCs w:val="21"/>
              </w:rPr>
            </w:pPr>
            <w:r>
              <w:t>High-performance Senior / Staff Software Engineer (L6 equivalent) with 7+ years of hands-on experience architecting, scaling, and securing distributed ledger, transactional, and next-generation AI platforms. Recognized expert in optimizing p99 latency in ultra-high throughput environments, resolving complex distributed state challenges, and integrating autonomous multi-agent workflows as high-scale system capabilities. Proven track record of spearheading zero-downtime microservice migrations, designing resilient transactional workflows ($10B+ daily volume), and cutting operational latency by up to 99%. Expert in Java/Spring ecosystem, Kafka event-driven backbones, caching topologies, and robust system-level consistency models.</w:t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146"/>
              </w:tabs>
              <w:spacing w:after="0" w:before="0" w:line="240" w:lineRule="auto"/>
              <w:ind w:left="0" w:right="697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6"/>
                <w:szCs w:val="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tabs>
                <w:tab w:val="left" w:leader="none" w:pos="2146"/>
              </w:tabs>
              <w:spacing w:after="0" w:line="240" w:lineRule="auto"/>
              <w:ind w:right="697"/>
              <w:jc w:val="both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Work Experience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72" w:lineRule="auto"/>
              <w:jc w:val="both"/>
              <w:rPr/>
            </w:pPr>
            <w:r w:rsidDel="00000000" w:rsidR="00000000" w:rsidRPr="00000000">
              <w:rPr/>
              <mc:AlternateContent>
                <mc:Choice Requires="wpg">
                  <w:drawing>
                    <wp:inline distB="0" distT="0" distL="0" distR="0">
                      <wp:extent cx="6394450" cy="45085"/>
                      <wp:effectExtent b="0" l="0" r="0" t="0"/>
                      <wp:docPr id="50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125"/>
                                <a:ext cx="6394450" cy="45085"/>
                                <a:chOff x="2148775" y="3757125"/>
                                <a:chExt cx="6394475" cy="457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141"/>
                                  <a:ext cx="6394451" cy="45719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6394450" cy="45085"/>
                      <wp:effectExtent b="0" l="0" r="0" t="0"/>
                      <wp:docPr id="50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hd w:fill="d9d9d9" w:val="clear"/>
              <w:jc w:val="both"/>
              <w:rPr>
                <w:b w:val="1"/>
                <w:bCs w:val="1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Wissen Technology ( Morgan Stanley )</w:t>
            </w:r>
          </w:p>
          <w:p w:rsidR="00000000" w:rsidDel="00000000" w:rsidP="00000000" w:rsidRDefault="00000000" w:rsidRPr="00000000" w14:paraId="0000000C">
            <w:pPr>
              <w:shd w:fill="d9d9d9" w:val="clear"/>
              <w:jc w:val="both"/>
              <w:rPr>
                <w:b w:val="1"/>
                <w:bCs w:val="1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Senior Software  Engineer</w:t>
            </w:r>
          </w:p>
          <w:p w:rsidR="00000000" w:rsidDel="00000000" w:rsidP="00000000" w:rsidRDefault="00000000" w:rsidRPr="00000000" w14:paraId="0000000D">
            <w:pPr>
              <w:shd w:fill="d9d9d9" w:val="clear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27 June 2025 - Current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3"/>
              </w:numPr>
              <w:ind w:left="360"/>
              <w:jc w:val="both"/>
              <w:rPr>
                <w:sz w:val="20"/>
                <w:szCs w:val="20"/>
              </w:rPr>
            </w:pPr>
            <w:r>
              <w:t>Architected and built an Agentic Flow Accelerator Platform leveraging multi-agent orchestration, workflow automation, and context-aware decisions to automate end-to-end market onboarding (agent accounts, depositories, legal entities, trade scoping), dynamically generating PRs and Liquibase migration scripts and reducing onboarding time from 3 weeks to ~10 minutes (~99% efficiency gain).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3"/>
              </w:numPr>
              <w:ind w:left="360"/>
              <w:jc w:val="both"/>
              <w:rPr>
                <w:sz w:val="20"/>
                <w:szCs w:val="20"/>
              </w:rPr>
            </w:pPr>
            <w:r>
              <w:t>Developed an AI-powered Agentic Reconciliation Intelligence System utilizing multi-agent orchestration, cross-system context engineering, and retrieval-augmented analysis (aggregating logs, databases, and knowledge graphs of distributed repositories across mainframe &amp; cloud), enabling automated break detection, root-cause analysis, and business insight generation, reducing trade reconciliation effort from weeks to minutes.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3"/>
              </w:numPr>
              <w:ind w:left="360"/>
              <w:jc w:val="both"/>
              <w:rPr>
                <w:sz w:val="20"/>
                <w:szCs w:val="20"/>
              </w:rPr>
            </w:pPr>
            <w:r>
              <w:t>Global Market Scoping Engine: Redesigned Morgan Stanley’s legacy trade-scoping rules system, migrating from a brittle, rules-based structure prone to validation failures to a market-driven policy matrix. Reduced overall rule-base complexity by 85%, eliminating edge cases that previously exposed the firm to millions in transactional settlement risk.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3"/>
              </w:numPr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High-Availability Settlement Pipelines: Led the distributed systems design for the Asia-Pacific trade settlement infrastructure, safely processing 1.5M+ transactions daily ($10B+ transactional volume). Implemented distributed transactional consensus, Saga orchestration patterns, and idempotent ingestion filters to guarantee strict 'exactly-once' processing under extreme market volatility.</w:t>
            </w:r>
          </w:p>
          <w:p w:rsidR="00000000" w:rsidDel="00000000" w:rsidP="00000000" w:rsidRDefault="00000000" w:rsidRPr="00000000" w14:paraId="00000012">
            <w:pPr>
              <w:shd w:fill="d9d9d9" w:val="clear"/>
              <w:jc w:val="both"/>
              <w:rPr>
                <w:b w:val="1"/>
                <w:bCs w:val="1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TCS ( Ericsson )</w:t>
            </w:r>
          </w:p>
          <w:p w:rsidR="00000000" w:rsidDel="00000000" w:rsidP="00000000" w:rsidRDefault="00000000" w:rsidRPr="00000000" w14:paraId="00000013">
            <w:pPr>
              <w:shd w:fill="d9d9d9" w:val="clear"/>
              <w:jc w:val="both"/>
              <w:rPr>
                <w:b w:val="1"/>
                <w:bCs w:val="1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Systems Engineer</w:t>
            </w:r>
          </w:p>
          <w:p w:rsidR="00000000" w:rsidDel="00000000" w:rsidP="00000000" w:rsidRDefault="00000000" w:rsidRPr="00000000" w14:paraId="00000014">
            <w:pPr>
              <w:shd w:fill="d9d9d9" w:val="clear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04 April 2022 - 25 June 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1"/>
              <w:keepLines w:val="1"/>
              <w:numPr>
                <w:ilvl w:val="0"/>
                <w:numId w:val="3"/>
              </w:numPr>
            </w:pPr>
            <w:r>
              <w:t>Redesigned degraded legacy microservices by implementing high-performance cache-aside and event-driven data ingestion, reducing p99 latency by 99% (from 12s to 40ms) while maintaining strict transactional consistency across distributed databases (MongoDB + Kafka).</w:t>
            </w:r>
          </w:p>
          <w:p w:rsidR="00000000" w:rsidDel="00000000" w:rsidP="00000000" w:rsidRDefault="00000000" w:rsidRPr="00000000" w14:paraId="00000016">
            <w:pPr>
              <w:keepNext w:val="1"/>
              <w:keepLines w:val="1"/>
              <w:numPr>
                <w:ilvl w:val="0"/>
                <w:numId w:val="3"/>
              </w:numPr>
              <w:spacing w:after="0" w:lineRule="auto"/>
            </w:pPr>
            <w:r>
              <w:t>Designed high-throughput event-driven architecture using Kafka with partitioning and horizontal scaling to enable asynchronous processing.</w:t>
            </w:r>
          </w:p>
          <w:p w:rsidR="00000000" w:rsidDel="00000000" w:rsidP="00000000" w:rsidRDefault="00000000" w:rsidRPr="00000000" w14:paraId="00000017">
            <w:pPr>
              <w:keepNext w:val="1"/>
              <w:keepLines w:val="1"/>
              <w:numPr>
                <w:ilvl w:val="0"/>
                <w:numId w:val="3"/>
              </w:numPr>
              <w:spacing w:after="0" w:lineRule="auto"/>
            </w:pPr>
            <w:r>
              <w:t>Developed non-blocking asynchronous APIs and led migration to highly available, fault-tolerant microservices.</w:t>
            </w:r>
          </w:p>
          <w:p w:rsidR="00000000" w:rsidDel="00000000" w:rsidP="00000000" w:rsidRDefault="00000000" w:rsidRPr="00000000" w14:paraId="00000018">
            <w:pPr>
              <w:keepNext w:val="1"/>
              <w:keepLines w:val="1"/>
              <w:numPr>
                <w:ilvl w:val="0"/>
                <w:numId w:val="3"/>
              </w:numPr>
              <w:spacing w:after="0" w:lineRule="auto"/>
            </w:pPr>
            <w:r>
              <w:t>Fault Isolation &amp; Resilience: Implemented system resilience patterns utilizing Resilience4j (Circuit Breakers, Bulkheads, and Rate Limiters) to prevent cascading failures across downstream provisioning networks. Integrated Azure Active Directory (AD) with OIDC/OAuth 2.0 and Spring Security to enforce enterprise-grade API security.</w:t>
            </w:r>
          </w:p>
          <w:p w:rsidR="00000000" w:rsidDel="00000000" w:rsidP="00000000" w:rsidRDefault="00000000" w:rsidRPr="00000000" w14:paraId="00000019">
            <w:pPr>
              <w:keepNext w:val="1"/>
              <w:keepLines w:val="1"/>
              <w:numPr>
                <w:ilvl w:val="0"/>
                <w:numId w:val="3"/>
              </w:numPr>
              <w:spacing w:after="0" w:lineRule="auto"/>
            </w:pPr>
            <w:r/>
          </w:p>
          <w:p w:rsidR="00000000" w:rsidDel="00000000" w:rsidP="00000000" w:rsidRDefault="00000000" w:rsidRPr="00000000" w14:paraId="0000001A">
            <w:pPr>
              <w:keepNext w:val="1"/>
              <w:keepLines w:val="1"/>
              <w:numPr>
                <w:ilvl w:val="0"/>
                <w:numId w:val="3"/>
              </w:numPr>
            </w:pPr>
            <w:r/>
          </w:p>
          <w:p w:rsidR="00000000" w:rsidDel="00000000" w:rsidP="00000000" w:rsidRDefault="00000000" w:rsidRPr="00000000" w14:paraId="0000001B">
            <w:pPr>
              <w:keepLines w:val="1"/>
              <w:shd w:fill="d9d9d9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HighRadius Technologies, Hyderabad</w:t>
            </w:r>
          </w:p>
          <w:p w:rsidR="00000000" w:rsidDel="00000000" w:rsidP="00000000" w:rsidRDefault="00000000" w:rsidRPr="00000000" w14:paraId="0000001C">
            <w:pPr>
              <w:shd w:fill="d9d9d9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Growth Path:</w:t>
            </w:r>
          </w:p>
          <w:p w:rsidR="00000000" w:rsidDel="00000000" w:rsidP="00000000" w:rsidRDefault="00000000" w:rsidRPr="00000000" w14:paraId="0000001D">
            <w:pPr>
              <w:shd w:fill="d9d9d9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Software Development Intern            Jan’19 – Apr’19</w:t>
            </w:r>
          </w:p>
          <w:p w:rsidR="00000000" w:rsidDel="00000000" w:rsidP="00000000" w:rsidRDefault="00000000" w:rsidRPr="00000000" w14:paraId="0000001E">
            <w:pPr>
              <w:shd w:fill="d9d9d9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Associate Software Engineer               1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May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 20</w:t>
            </w: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19 – Jun’20</w:t>
            </w:r>
          </w:p>
          <w:p w:rsidR="00000000" w:rsidDel="00000000" w:rsidP="00000000" w:rsidRDefault="00000000" w:rsidRPr="00000000" w14:paraId="0000001F">
            <w:pPr>
              <w:shd w:fill="d9d9d9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20"/>
                <w:szCs w:val="20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Associate Technical Consultant           Jul’20-Nov’21</w:t>
            </w:r>
          </w:p>
          <w:p w:rsidR="00000000" w:rsidDel="00000000" w:rsidP="00000000" w:rsidRDefault="00000000" w:rsidRPr="00000000" w14:paraId="00000020">
            <w:pPr>
              <w:shd w:fill="d9d9d9" w:val="clear"/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highlight w:val="lightGray"/>
                <w:rtl w:val="0"/>
              </w:rPr>
              <w:t xml:space="preserve">Technical Consultant                             Oct’21- 31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highlight w:val="lightGray"/>
                <w:rtl w:val="0"/>
              </w:rPr>
              <w:t xml:space="preserve">March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Configurable Rule-Engine Framework: Architected and built a highly configurable, high-performance rule-engine framework to parse and match incoming accounts receivable data. Elevated straight-through payment reconciliation automation from 20% to 80% for Fortune 500 enterprise clients, reducing manual accounts-receivable aging cycles by 70%.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Financial File Ingestion Pipeline: Engineered a robust, high-volume financial parsing and ingestion pipeline supporting standard global banking formats (BAI2 and MT940). Designed streaming parsers that processed 500MB+ banking statement files containing millions of transactions with strict transactional isolation and duplicate detection (idempotent ledger writes).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Distributed Observability &amp; Performance Tuning: Designed and established an enterprise-wide observability framework integrating distributed tracing (ELK Stack, Prometheus, Zipkin) and structured logging. Enabled proactive performance bottleneck identification, reducing mean-time-to-detection (MTTD) of anomalies from 4 hours to under 5 minutes across multi-tenant SaaS environments.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Technical Leadership: Mentored a cross-functional team of 10+ junior software engineers, standardizing code quality metrics, CI/CD automated test suites (JUnit/Mockito), and robust system design best practices.</w:t>
            </w:r>
          </w:p>
          <w:p w:rsidR="00000000" w:rsidDel="00000000" w:rsidP="00000000" w:rsidRDefault="00000000" w:rsidRPr="00000000" w14:paraId="00000025">
            <w:pPr>
              <w:shd w:fill="ffffff" w:val="clear"/>
              <w:spacing w:after="0" w:line="240" w:lineRule="auto"/>
              <w:jc w:val="both"/>
              <w:rPr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8"/>
                <w:szCs w:val="28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System Design &amp; Architecture Highlights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450"/>
                                <a:ext cx="6394450" cy="45085"/>
                                <a:chOff x="2148775" y="3757450"/>
                                <a:chExt cx="6394450" cy="451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458"/>
                                  <a:ext cx="6394450" cy="45085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8" name="Shape 18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5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7">
            <w:pPr>
              <w:shd w:fill="ffffff" w:val="clear"/>
              <w:ind w:left="0" w:firstLine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Designed distributed reconciliation system processing multi-source data using event-driven architectures to automate compliance flows.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Redesigned degraded legacy microservices by implementing high-performance cache-aside and event-driven data ingestion, reducing latency from 12s to 40ms while maintaining strict data correctness.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Architected and deployed an Agentic Flow Accelerator Platform leveraging multi-agent orchestration, reducing onboarding cycle time by 99.9%.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Designed high-availability settlement and transaction ledger platforms ($10B+ daily volume) with distributed consensus.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Designed observability framework (logging, tracing, metrics) enabling faster debugging and performance tuning.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Experience with consistency models: eventual consistency, idempotency, distributed transactions (Saga patterns).</w:t>
            </w:r>
          </w:p>
          <w:p w:rsidR="00000000" w:rsidDel="00000000" w:rsidP="00000000" w:rsidRDefault="00000000" w:rsidRPr="00000000" w14:paraId="0000002E">
            <w:pPr>
              <w:shd w:fill="ffffff" w:val="clear"/>
              <w:ind w:lef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rPr>
                <w:b w:val="1"/>
                <w:bCs w:val="1"/>
                <w:sz w:val="28"/>
                <w:szCs w:val="28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Key Achievements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450"/>
                                <a:ext cx="6394450" cy="45085"/>
                                <a:chOff x="2148775" y="3757450"/>
                                <a:chExt cx="6394450" cy="451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458"/>
                                  <a:ext cx="6394450" cy="45085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8" name="Shape 18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4" name="image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9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30">
            <w:pPr>
              <w:tabs>
                <w:tab w:val="left" w:leader="none" w:pos="2146"/>
              </w:tabs>
              <w:ind w:left="0" w:right="697" w:firstLine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>
              <w:t>Reduced market onboarding time for settlements from 3 weeks to ~10 minutes (~99.9% efficiency gain) using multi-agent orchestration.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shd w:fill="ffffff" w:val="clear"/>
              <w:jc w:val="both"/>
            </w:pPr>
            <w:r>
              <w:t>Reduced trade reconciliation effort from weeks to under 5 minutes using retrieval-augmented multi-agent systems.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Improved API latency by ~99% (12s to  40ms).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shd w:fill="ffffff" w:val="clear"/>
              <w:ind w:left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Increased automation from 20% to 80% via rule-engine system.</w:t>
            </w:r>
          </w:p>
          <w:p w:rsidR="00000000" w:rsidDel="00000000" w:rsidP="00000000" w:rsidRDefault="00000000" w:rsidRPr="00000000" w14:paraId="00000035">
            <w:pPr>
              <w:shd w:fill="ffffff" w:val="clear"/>
              <w:ind w:lef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IT Skills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450"/>
                                <a:ext cx="6394450" cy="45085"/>
                                <a:chOff x="2148775" y="3757450"/>
                                <a:chExt cx="6394450" cy="451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458"/>
                                  <a:ext cx="6394450" cy="45085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5" name="Shape 15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2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37">
            <w:pPr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"/>
              </w:numPr>
              <w:ind w:left="36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Architecture: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Microservices, Distributed Systems, Event-Driven Architecture, System Design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Languages: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Java, Python, C++, Node.js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Frameworks: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Spring Boot, Spring Cloud, Spring Security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Databases: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MySQL, MongoDB, Elasticsearch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Messaging: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Kafka, Azure Service Bus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Cloud: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AWS, Azure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DevOps: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Docker, Kubernetes, Jenkins, Terraform, GitHub Actions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Tools: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IntelliJ, Git, Postman, JProfiler, Claude Code, VS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2"/>
              </w:num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Concepts: </w:t>
            </w:r>
            <w:r w:rsidDel="00000000" w:rsidR="00000000" w:rsidRPr="00000000">
              <w:rPr>
                <w:rtl w:val="0"/>
              </w:rPr>
              <w:t xml:space="preserve">Idempotency, Eventual Consistency, Distributed Transactions, Caching Strategies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2"/>
              </w:numPr>
              <w:ind w:left="360"/>
              <w:rPr>
                <w:b w:val="1"/>
                <w:bCs w:val="1"/>
                <w:sz w:val="20"/>
                <w:szCs w:val="20"/>
              </w:rPr>
            </w:pPr>
            <w:r>
              <w:t>AI: Multi-Agent Workflows, Agentic Workflows, RAG Pipelines, Knowledge Aggregation, LangGraph, Knowledge Graphs</w:t>
            </w:r>
          </w:p>
          <w:p w:rsidR="00000000" w:rsidDel="00000000" w:rsidP="00000000" w:rsidRDefault="00000000" w:rsidRPr="00000000" w14:paraId="00000042">
            <w:pPr>
              <w:ind w:lef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rPr>
                <w:b w:val="1"/>
                <w:bCs w:val="1"/>
                <w:sz w:val="28"/>
                <w:szCs w:val="28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Project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450"/>
                                <a:ext cx="6394450" cy="45085"/>
                                <a:chOff x="2148775" y="3757450"/>
                                <a:chExt cx="6394450" cy="451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458"/>
                                  <a:ext cx="6394450" cy="45085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8" name="Shape 18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-12699</wp:posOffset>
                      </wp:positionH>
                      <wp:positionV relativeFrom="paragraph">
                        <wp:posOffset>228600</wp:posOffset>
                      </wp:positionV>
                      <wp:extent cx="6394450" cy="45085"/>
                      <wp:effectExtent b="0" l="0" r="0" t="0"/>
                      <wp:wrapNone/>
                      <wp:docPr id="53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t>Treasury Infrastructure Platform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45" w:right="0" w:hanging="36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Built high-throughput financial ledger system to track payments, receivables, and outstanding balances across multiple regions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45" w:right="0" w:hanging="36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t>Designed highly resilient backend services with distributed transactional integrity and secure auditing patterns</w:t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ind w:left="0" w:firstLine="0"/>
              <w:rPr>
                <w:b w:val="1"/>
                <w:bCs w:val="1"/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0"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4A">
            <w:pPr>
              <w:spacing w:after="120" w:line="72" w:lineRule="auto"/>
              <w:jc w:val="both"/>
              <w:rPr/>
            </w:pPr>
            <w:r w:rsidDel="00000000" w:rsidR="00000000" w:rsidRPr="00000000">
              <w:rPr/>
              <mc:AlternateContent>
                <mc:Choice Requires="wpg">
                  <w:drawing>
                    <wp:inline distB="0" distT="0" distL="0" distR="0">
                      <wp:extent cx="6394450" cy="45085"/>
                      <wp:effectExtent b="0" l="0" r="0" t="0"/>
                      <wp:docPr id="5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48775" y="3757125"/>
                                <a:ext cx="6394450" cy="45085"/>
                                <a:chOff x="2148775" y="3757125"/>
                                <a:chExt cx="6394475" cy="457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48775" y="3757141"/>
                                  <a:ext cx="6394451" cy="45719"/>
                                  <a:chOff x="0" y="0"/>
                                  <a:chExt cx="6394451" cy="45719"/>
                                </a:xfrm>
                              </wpg:grpSpPr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94450" cy="45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516687" y="23160"/>
                                    <a:ext cx="587776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12700">
                                    <a:solidFill>
                                      <a:srgbClr val="262626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537667" cy="45719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B0F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6394450" cy="45085"/>
                      <wp:effectExtent b="0" l="0" r="0" t="0"/>
                      <wp:docPr id="51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94450" cy="4508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360" w:right="0" w:hanging="36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B.Tech. in Computer Science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from SRM University, Chennai in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2019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; 85.0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9%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360" w:right="0" w:hanging="36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12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from Sri Chaitanya, Hyderabad in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2015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; 90.3%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40" w:lineRule="auto"/>
              <w:ind w:left="360" w:right="0" w:hanging="36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th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from Slate The School, Hyderabad in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2013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; 9.3 GPA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tabs>
          <w:tab w:val="left" w:leader="none" w:pos="0"/>
        </w:tabs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10" w:type="default"/>
      <w:pgSz w:h="15840" w:w="12240" w:orient="portrait"/>
      <w:pgMar w:bottom="0" w:top="547" w:left="630" w:right="360" w:header="72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ambria"/>
  <w:font w:name="Courier New"/>
  <w:font w:name="Tahoma">
    <w:embedRegular w:fontKey="{00000000-0000-0000-0000-000000000000}" r:id="rId1" w:subsetted="0"/>
    <w:embedBold w:fontKey="{00000000-0000-0000-0000-000000000000}" r:id="rId2" w:subsetted="0"/>
  </w:font>
  <w:font w:name="Candara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11250"/>
      </w:tabs>
      <w:spacing w:after="0" w:before="0" w:line="240" w:lineRule="auto"/>
      <w:ind w:left="-108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8273037" cy="406200"/>
          <wp:effectExtent b="0" l="0" r="0" t="0"/>
          <wp:docPr id="5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73037" cy="406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-US"/>
      </w:rPr>
    </w:rPrDefault>
    <w:pPrDefault>
      <w:pPr>
        <w:spacing w:after="240" w:lineRule="auto"/>
        <w:ind w:left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1" w:default="1">
    <w:name w:val="Normal"/>
    <w:uiPriority w:val="0"/>
    <w:qFormat w:val="1"/>
    <w:pPr>
      <w:spacing w:after="200" w:line="276" w:lineRule="auto"/>
    </w:pPr>
    <w:rPr>
      <w:rFonts w:asciiTheme="minorHAnsi" w:cstheme="minorBidi" w:eastAsiaTheme="minorHAnsi" w:hAnsiTheme="minorHAnsi"/>
      <w:sz w:val="22"/>
      <w:szCs w:val="22"/>
      <w:lang w:bidi="ar-SA" w:eastAsia="en-US" w:val="en-US"/>
    </w:rPr>
  </w:style>
  <w:style w:type="character" w:styleId="2" w:default="1">
    <w:name w:val="Default Paragraph Font"/>
    <w:uiPriority w:val="1"/>
    <w:semiHidden w:val="1"/>
    <w:unhideWhenUsed w:val="1"/>
  </w:style>
  <w:style w:type="table" w:styleId="3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4">
    <w:name w:val="Balloon Text"/>
    <w:basedOn w:val="1"/>
    <w:link w:val="12"/>
    <w:uiPriority w:val="99"/>
    <w:semiHidden w:val="1"/>
    <w:unhideWhenUsed w:val="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5">
    <w:name w:val="annotation reference"/>
    <w:basedOn w:val="2"/>
    <w:uiPriority w:val="99"/>
    <w:semiHidden w:val="1"/>
    <w:unhideWhenUsed w:val="1"/>
    <w:qFormat w:val="1"/>
    <w:rPr>
      <w:sz w:val="16"/>
      <w:szCs w:val="16"/>
    </w:rPr>
  </w:style>
  <w:style w:type="paragraph" w:styleId="6">
    <w:name w:val="annotation text"/>
    <w:basedOn w:val="1"/>
    <w:link w:val="20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paragraph" w:styleId="7">
    <w:name w:val="annotation subject"/>
    <w:basedOn w:val="6"/>
    <w:next w:val="6"/>
    <w:link w:val="21"/>
    <w:uiPriority w:val="99"/>
    <w:semiHidden w:val="1"/>
    <w:unhideWhenUsed w:val="1"/>
    <w:rPr>
      <w:b w:val="1"/>
      <w:bCs w:val="1"/>
    </w:rPr>
  </w:style>
  <w:style w:type="paragraph" w:styleId="8">
    <w:name w:val="footer"/>
    <w:basedOn w:val="1"/>
    <w:link w:val="17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paragraph" w:styleId="9">
    <w:name w:val="header"/>
    <w:basedOn w:val="1"/>
    <w:link w:val="19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10">
    <w:name w:val="Hyperlink"/>
    <w:basedOn w:val="2"/>
    <w:uiPriority w:val="99"/>
    <w:unhideWhenUsed w:val="1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styleId="11">
    <w:name w:val="Table Grid"/>
    <w:basedOn w:val="3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12" w:customStyle="1">
    <w:name w:val="Balloon Text Char"/>
    <w:basedOn w:val="2"/>
    <w:link w:val="4"/>
    <w:uiPriority w:val="99"/>
    <w:semiHidden w:val="1"/>
    <w:qFormat w:val="1"/>
    <w:rPr>
      <w:rFonts w:ascii="Tahoma" w:cs="Tahoma" w:hAnsi="Tahoma"/>
      <w:sz w:val="16"/>
      <w:szCs w:val="16"/>
    </w:rPr>
  </w:style>
  <w:style w:type="paragraph" w:styleId="13">
    <w:name w:val="List Paragraph"/>
    <w:basedOn w:val="1"/>
    <w:link w:val="15"/>
    <w:uiPriority w:val="34"/>
    <w:qFormat w:val="1"/>
    <w:pPr>
      <w:ind w:left="720"/>
      <w:contextualSpacing w:val="1"/>
    </w:pPr>
  </w:style>
  <w:style w:type="character" w:styleId="14" w:customStyle="1">
    <w:name w:val="rvts36"/>
    <w:uiPriority w:val="0"/>
    <w:qFormat w:val="1"/>
  </w:style>
  <w:style w:type="character" w:styleId="15" w:customStyle="1">
    <w:name w:val="List Paragraph Char"/>
    <w:link w:val="13"/>
    <w:uiPriority w:val="34"/>
    <w:qFormat w:val="1"/>
  </w:style>
  <w:style w:type="table" w:styleId="16" w:customStyle="1">
    <w:name w:val="Table Grid1"/>
    <w:basedOn w:val="3"/>
    <w:uiPriority w:val="3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17" w:customStyle="1">
    <w:name w:val="Footer Char"/>
    <w:basedOn w:val="2"/>
    <w:link w:val="8"/>
    <w:uiPriority w:val="99"/>
  </w:style>
  <w:style w:type="paragraph" w:styleId="18" w:customStyle="1">
    <w:name w:val="Table Paragraph"/>
    <w:basedOn w:val="1"/>
    <w:uiPriority w:val="0"/>
    <w:qFormat w:val="1"/>
    <w:pPr>
      <w:widowControl w:val="0"/>
      <w:autoSpaceDE w:val="0"/>
      <w:autoSpaceDN w:val="0"/>
      <w:spacing w:after="0" w:line="240" w:lineRule="auto"/>
    </w:pPr>
    <w:rPr>
      <w:rFonts w:ascii="Cambria" w:cs="Cambria" w:eastAsia="Cambria" w:hAnsi="Cambria"/>
      <w:lang w:bidi="en-US"/>
    </w:rPr>
  </w:style>
  <w:style w:type="character" w:styleId="19" w:customStyle="1">
    <w:name w:val="Header Char"/>
    <w:basedOn w:val="2"/>
    <w:link w:val="9"/>
    <w:uiPriority w:val="99"/>
  </w:style>
  <w:style w:type="character" w:styleId="20" w:customStyle="1">
    <w:name w:val="Comment Text Char"/>
    <w:basedOn w:val="2"/>
    <w:link w:val="6"/>
    <w:uiPriority w:val="99"/>
    <w:semiHidden w:val="1"/>
    <w:rPr>
      <w:sz w:val="20"/>
      <w:szCs w:val="20"/>
    </w:rPr>
  </w:style>
  <w:style w:type="character" w:styleId="21" w:customStyle="1">
    <w:name w:val="Comment Subject Char"/>
    <w:basedOn w:val="20"/>
    <w:link w:val="7"/>
    <w:uiPriority w:val="99"/>
    <w:semiHidden w:val="1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yperlink" Target="https://github.com/techwizAJ/TreasuryApplic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andara-regular.ttf"/><Relationship Id="rId4" Type="http://schemas.openxmlformats.org/officeDocument/2006/relationships/font" Target="fonts/Candara-bold.ttf"/><Relationship Id="rId5" Type="http://schemas.openxmlformats.org/officeDocument/2006/relationships/font" Target="fonts/Candara-italic.ttf"/><Relationship Id="rId6" Type="http://schemas.openxmlformats.org/officeDocument/2006/relationships/font" Target="fonts/Candara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SGWd5vMWYvrDOPS//KFBLSGNPA==">CgMxLjAyCGguZ2pkZ3hzMghoLmdqZGd4czIIaC5namRneHM4AHIhMVVUUHhrOHlhVzhqMHp6Y0F6amNkcWhHRFBEMnlMTGxI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2021-08-10T11:09:00Z</dcterms:created>
  <dc:creator>Preeti Arora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1033-11.2.0.10323</vt:lpwstr>
  </property>
  <property fmtid="{D5CDD505-2E9C-101B-9397-08002B2CF9AE}" pid="3" name="ICV">
    <vt:lpwstr>7BB65480B3DB4FC39813A04D78886C05</vt:lpwstr>
  </property>
</Properties>
</file>