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FDD1" w14:textId="77777777" w:rsidR="00F33F25" w:rsidRPr="00F24B27" w:rsidRDefault="00000000">
      <w:pPr>
        <w:snapToGrid w:val="0"/>
        <w:jc w:val="center"/>
        <w:rPr>
          <w:rFonts w:ascii="黑体" w:eastAsia="黑体" w:hAnsi="黑体" w:cs="黑体"/>
          <w:b/>
          <w:bCs/>
          <w:color w:val="FF0000"/>
          <w:spacing w:val="-57"/>
          <w:kern w:val="21"/>
          <w:sz w:val="60"/>
          <w:szCs w:val="60"/>
        </w:rPr>
      </w:pPr>
      <w:r w:rsidRPr="00F24B27">
        <w:rPr>
          <w:rFonts w:ascii="黑体" w:eastAsia="黑体" w:hAnsi="黑体" w:cs="黑体" w:hint="eastAsia"/>
          <w:b/>
          <w:bCs/>
          <w:color w:val="FF0000"/>
          <w:spacing w:val="-57"/>
          <w:kern w:val="21"/>
          <w:sz w:val="60"/>
          <w:szCs w:val="60"/>
          <w:lang w:val="en-US"/>
        </w:rPr>
        <w:t>泰安市文化旅游发展集团商业运营管理有限公司爱琴海公司</w:t>
      </w:r>
      <w:r w:rsidRPr="00F24B27">
        <w:rPr>
          <w:rFonts w:ascii="黑体" w:eastAsia="黑体" w:hAnsi="黑体" w:cs="黑体" w:hint="eastAsia"/>
          <w:b/>
          <w:bCs/>
          <w:color w:val="FF0000"/>
          <w:spacing w:val="-57"/>
          <w:kern w:val="21"/>
          <w:sz w:val="60"/>
          <w:szCs w:val="60"/>
        </w:rPr>
        <w:t>文件</w:t>
      </w:r>
    </w:p>
    <w:p w14:paraId="0898FFF0" w14:textId="77777777" w:rsidR="00F33F25" w:rsidRDefault="00F33F25">
      <w:pPr>
        <w:snapToGrid w:val="0"/>
        <w:jc w:val="center"/>
        <w:rPr>
          <w:rFonts w:ascii="宋体" w:eastAsia="宋体"/>
          <w:color w:val="FF0000"/>
          <w:spacing w:val="-57"/>
          <w:kern w:val="21"/>
          <w:sz w:val="10"/>
          <w:szCs w:val="2"/>
        </w:rPr>
      </w:pPr>
    </w:p>
    <w:p w14:paraId="709F58D3" w14:textId="46FAF5C4" w:rsidR="00F33F25" w:rsidRDefault="00000000">
      <w:pPr>
        <w:snapToGrid w:val="0"/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rFonts w:ascii="宋体" w:eastAsia="宋体" w:hint="eastAsia"/>
          <w:color w:val="000007"/>
          <w:sz w:val="32"/>
        </w:rPr>
        <w:t>泰</w:t>
      </w:r>
      <w:r>
        <w:rPr>
          <w:rFonts w:ascii="宋体" w:eastAsia="宋体" w:hint="eastAsia"/>
          <w:color w:val="000007"/>
          <w:sz w:val="32"/>
          <w:lang w:val="en-US"/>
        </w:rPr>
        <w:t>旅爱物</w:t>
      </w:r>
      <w:proofErr w:type="gramEnd"/>
      <w:r>
        <w:rPr>
          <w:rFonts w:ascii="宋体" w:eastAsia="宋体" w:hint="eastAsia"/>
          <w:color w:val="000007"/>
          <w:sz w:val="32"/>
        </w:rPr>
        <w:t>字〔</w:t>
      </w:r>
      <w:r>
        <w:rPr>
          <w:color w:val="000007"/>
          <w:sz w:val="32"/>
        </w:rPr>
        <w:t>202</w:t>
      </w:r>
      <w:r>
        <w:rPr>
          <w:rFonts w:hint="eastAsia"/>
          <w:color w:val="000007"/>
          <w:sz w:val="32"/>
          <w:lang w:val="en-US"/>
        </w:rPr>
        <w:t>4</w:t>
      </w:r>
      <w:r>
        <w:rPr>
          <w:rFonts w:ascii="宋体" w:eastAsia="宋体" w:hint="eastAsia"/>
          <w:color w:val="000007"/>
          <w:sz w:val="32"/>
        </w:rPr>
        <w:t>〕</w:t>
      </w:r>
      <w:r w:rsidR="00F24B27">
        <w:rPr>
          <w:rFonts w:ascii="宋体" w:eastAsia="宋体" w:hint="eastAsia"/>
          <w:color w:val="000007"/>
          <w:sz w:val="32"/>
          <w:lang w:val="en-US"/>
        </w:rPr>
        <w:t>7</w:t>
      </w:r>
      <w:r>
        <w:rPr>
          <w:rFonts w:ascii="宋体" w:eastAsia="宋体" w:hint="eastAsia"/>
          <w:color w:val="000007"/>
          <w:sz w:val="32"/>
        </w:rPr>
        <w:t>号</w:t>
      </w:r>
    </w:p>
    <w:p w14:paraId="2C1F9129" w14:textId="47898A92" w:rsidR="00F33F25" w:rsidRDefault="00000000">
      <w:pPr>
        <w:widowControl/>
        <w:ind w:left="660" w:hangingChars="150" w:hanging="660"/>
        <w:jc w:val="center"/>
        <w:rPr>
          <w:rFonts w:ascii="方正小标宋简体" w:eastAsia="方正小标宋简体"/>
          <w:spacing w:val="-23"/>
          <w:sz w:val="44"/>
          <w:szCs w:val="44"/>
          <w:lang w:val="en-US"/>
        </w:rPr>
      </w:pPr>
      <w:r>
        <w:rPr>
          <w:rFonts w:ascii="方正小标宋简体" w:eastAsia="方正小标宋简体" w:hAnsi="方正小标宋简体" w:cs="方正小标宋简体" w:hint="eastAsia"/>
          <w:bCs/>
          <w:noProof/>
          <w:spacing w:val="-2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CDFDE8" wp14:editId="5C928F10">
                <wp:simplePos x="0" y="0"/>
                <wp:positionH relativeFrom="page">
                  <wp:posOffset>993140</wp:posOffset>
                </wp:positionH>
                <wp:positionV relativeFrom="paragraph">
                  <wp:posOffset>64135</wp:posOffset>
                </wp:positionV>
                <wp:extent cx="5550535" cy="8890"/>
                <wp:effectExtent l="0" t="3175" r="12065" b="33655"/>
                <wp:wrapTopAndBottom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535" cy="889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49A32" id="直线 2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8.2pt,5.05pt" to="515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" strokecolor="red" strokeweight="3pt">
                <w10:wrap type="topAndBottom" anchorx="page"/>
              </v:line>
            </w:pict>
          </mc:Fallback>
        </mc:AlternateContent>
      </w:r>
      <w:r>
        <w:rPr>
          <w:rFonts w:ascii="方正小标宋简体" w:eastAsia="方正小标宋简体"/>
          <w:noProof/>
          <w:spacing w:val="-2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873439" wp14:editId="46EB5FA0">
                <wp:simplePos x="0" y="0"/>
                <wp:positionH relativeFrom="page">
                  <wp:posOffset>747395</wp:posOffset>
                </wp:positionH>
                <wp:positionV relativeFrom="paragraph">
                  <wp:posOffset>61595</wp:posOffset>
                </wp:positionV>
                <wp:extent cx="6012180" cy="8255"/>
                <wp:effectExtent l="0" t="3810" r="7620" b="33655"/>
                <wp:wrapTopAndBottom/>
                <wp:docPr id="4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180" cy="825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BED2C" id="直线 30" o:spid="_x0000_s1026" style="position:absolute;left:0;text-align:left;flip:y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8.85pt,4.85pt" to="53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" strokecolor="red" strokeweight="3pt">
                <w10:wrap type="topAndBottom" anchorx="page"/>
              </v:line>
            </w:pict>
          </mc:Fallback>
        </mc:AlternateContent>
      </w:r>
      <w:r w:rsidR="00F24B27" w:rsidRPr="00F24B27">
        <w:rPr>
          <w:rFonts w:ascii="方正小标宋简体" w:eastAsia="方正小标宋简体" w:hAnsi="方正小标宋简体" w:cs="方正小标宋简体" w:hint="eastAsia"/>
          <w:bCs/>
          <w:noProof/>
          <w:spacing w:val="-23"/>
          <w:sz w:val="44"/>
          <w:szCs w:val="44"/>
        </w:rPr>
        <w:t>关于持续深化违规电气焊作业和违规施工专项整治的通知</w:t>
      </w:r>
      <w:r w:rsidR="00F24B27">
        <w:rPr>
          <w:rFonts w:ascii="方正小标宋简体" w:eastAsia="方正小标宋简体"/>
          <w:spacing w:val="-23"/>
          <w:sz w:val="44"/>
          <w:szCs w:val="44"/>
          <w:lang w:val="en-US"/>
        </w:rPr>
        <w:t xml:space="preserve"> </w:t>
      </w:r>
    </w:p>
    <w:p w14:paraId="5210AB22" w14:textId="77777777" w:rsidR="00F33F25" w:rsidRDefault="00F33F25">
      <w:pPr>
        <w:snapToGrid w:val="0"/>
        <w:jc w:val="both"/>
        <w:rPr>
          <w:rFonts w:ascii="仿宋_GB2312" w:eastAsia="仿宋_GB2312"/>
          <w:sz w:val="18"/>
          <w:szCs w:val="18"/>
          <w:lang w:val="en-US"/>
        </w:rPr>
      </w:pPr>
    </w:p>
    <w:p w14:paraId="28295375" w14:textId="77777777" w:rsidR="00F24B27" w:rsidRPr="00F24B27" w:rsidRDefault="00F24B27" w:rsidP="008211FC">
      <w:pPr>
        <w:snapToGrid w:val="0"/>
        <w:spacing w:line="480" w:lineRule="exact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 w:hint="eastAsia"/>
          <w:sz w:val="32"/>
          <w:szCs w:val="32"/>
          <w:lang w:val="en-US"/>
        </w:rPr>
        <w:t>各部门、各店铺：</w:t>
      </w:r>
    </w:p>
    <w:p w14:paraId="54738346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2023年下半年以来，在公司各部门的共同努力下，违规施工电气焊和违规施工专项整治行动有序推进，有效遏制事故发展势头，取得了阶段性成效。为进一步夯实工作基础，巩固专项整治成果，全力做好</w:t>
      </w:r>
      <w:proofErr w:type="gramStart"/>
      <w:r w:rsidRPr="00F24B27">
        <w:rPr>
          <w:rFonts w:ascii="仿宋_GB2312" w:eastAsia="仿宋_GB2312"/>
          <w:sz w:val="32"/>
          <w:szCs w:val="32"/>
          <w:lang w:val="en-US"/>
        </w:rPr>
        <w:t>违规电</w:t>
      </w:r>
      <w:proofErr w:type="gramEnd"/>
      <w:r w:rsidRPr="00F24B27">
        <w:rPr>
          <w:rFonts w:ascii="仿宋_GB2312" w:eastAsia="仿宋_GB2312"/>
          <w:sz w:val="32"/>
          <w:szCs w:val="32"/>
          <w:lang w:val="en-US"/>
        </w:rPr>
        <w:t>气焊作业和违规施工这项工作，根据各级政府职能部门要求，现就有关事项通知如下：</w:t>
      </w:r>
    </w:p>
    <w:p w14:paraId="6E7FF11D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黑体" w:eastAsia="黑体" w:hAnsi="黑体"/>
          <w:sz w:val="32"/>
          <w:szCs w:val="32"/>
          <w:lang w:val="en-US"/>
        </w:rPr>
      </w:pPr>
      <w:r w:rsidRPr="00F24B27">
        <w:rPr>
          <w:rFonts w:ascii="黑体" w:eastAsia="黑体" w:hAnsi="黑体" w:hint="eastAsia"/>
          <w:sz w:val="32"/>
          <w:szCs w:val="32"/>
          <w:lang w:val="en-US"/>
        </w:rPr>
        <w:t>一、工作要求</w:t>
      </w:r>
    </w:p>
    <w:p w14:paraId="3D51D9D3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楷体_GB2312" w:eastAsia="楷体_GB2312" w:hint="eastAsia"/>
          <w:sz w:val="32"/>
          <w:szCs w:val="32"/>
          <w:lang w:val="en-US"/>
        </w:rPr>
      </w:pPr>
      <w:r w:rsidRPr="00F24B27">
        <w:rPr>
          <w:rFonts w:ascii="楷体_GB2312" w:eastAsia="楷体_GB2312" w:hint="eastAsia"/>
          <w:sz w:val="32"/>
          <w:szCs w:val="32"/>
          <w:lang w:val="en-US"/>
        </w:rPr>
        <w:t>（一）层层压实责任</w:t>
      </w:r>
    </w:p>
    <w:p w14:paraId="081E49E6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 w:hint="eastAsia"/>
          <w:sz w:val="32"/>
          <w:szCs w:val="32"/>
          <w:lang w:val="en-US"/>
        </w:rPr>
        <w:t>各部门、各店铺要按照“谁招请无证人员，谁负责的原则”，严格落实安全生产主体责任，健全安全生产管理组织，明确该项工作的责任人、管理人。</w:t>
      </w:r>
    </w:p>
    <w:p w14:paraId="0D05B2A8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楷体_GB2312" w:eastAsia="楷体_GB2312" w:hint="eastAsia"/>
          <w:sz w:val="32"/>
          <w:szCs w:val="32"/>
          <w:lang w:val="en-US"/>
        </w:rPr>
      </w:pPr>
      <w:r w:rsidRPr="00F24B27">
        <w:rPr>
          <w:rFonts w:ascii="楷体_GB2312" w:eastAsia="楷体_GB2312" w:hint="eastAsia"/>
          <w:sz w:val="32"/>
          <w:szCs w:val="32"/>
          <w:lang w:val="en-US"/>
        </w:rPr>
        <w:t>（二）加强宣传引导</w:t>
      </w:r>
    </w:p>
    <w:p w14:paraId="2EA3900E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 w:hint="eastAsia"/>
          <w:sz w:val="32"/>
          <w:szCs w:val="32"/>
          <w:lang w:val="en-US"/>
        </w:rPr>
        <w:t>充分利用各种主流媒体和新媒体平台向各重点人群推送，要发挥典型火灾案例的警示教育作用，广泛宣传电气焊作业和违规施工的危害及惩罚措施，特别是对后代的影响，确保入脑入心，形成震慑效果。要加大</w:t>
      </w:r>
      <w:proofErr w:type="gramStart"/>
      <w:r w:rsidRPr="00F24B27">
        <w:rPr>
          <w:rFonts w:ascii="仿宋_GB2312" w:eastAsia="仿宋_GB2312" w:hint="eastAsia"/>
          <w:sz w:val="32"/>
          <w:szCs w:val="32"/>
          <w:lang w:val="en-US"/>
        </w:rPr>
        <w:t>违规电</w:t>
      </w:r>
      <w:proofErr w:type="gramEnd"/>
      <w:r w:rsidRPr="00F24B27">
        <w:rPr>
          <w:rFonts w:ascii="仿宋_GB2312" w:eastAsia="仿宋_GB2312" w:hint="eastAsia"/>
          <w:sz w:val="32"/>
          <w:szCs w:val="32"/>
          <w:lang w:val="en-US"/>
        </w:rPr>
        <w:t>气焊和违规施工宣传力度，营业期间要在施工部位入口醒目位置张贴，营业期间严禁动火、明火、施工标识，大力开展有奖举报，对举报的无证从事电气焊作业的行为经查证属实的，立即督促整改，按有关规定予以奖励，激发员工参与监督举报的积极性。</w:t>
      </w:r>
    </w:p>
    <w:p w14:paraId="53DA2554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楷体_GB2312" w:eastAsia="楷体_GB2312" w:hint="eastAsia"/>
          <w:sz w:val="32"/>
          <w:szCs w:val="32"/>
          <w:lang w:val="en-US"/>
        </w:rPr>
      </w:pPr>
      <w:r w:rsidRPr="00F24B27">
        <w:rPr>
          <w:rFonts w:ascii="楷体_GB2312" w:eastAsia="楷体_GB2312" w:hint="eastAsia"/>
          <w:sz w:val="32"/>
          <w:szCs w:val="32"/>
          <w:lang w:val="en-US"/>
        </w:rPr>
        <w:t>（三）加强教育培训</w:t>
      </w:r>
    </w:p>
    <w:p w14:paraId="72D6E2DA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 w:hint="eastAsia"/>
          <w:sz w:val="32"/>
          <w:szCs w:val="32"/>
          <w:lang w:val="en-US"/>
        </w:rPr>
        <w:t>对涉及电气焊作业的审批人、监护人开展安全生产教育培训，</w:t>
      </w:r>
      <w:r w:rsidRPr="00F24B27">
        <w:rPr>
          <w:rFonts w:ascii="仿宋_GB2312" w:eastAsia="仿宋_GB2312" w:hint="eastAsia"/>
          <w:sz w:val="32"/>
          <w:szCs w:val="32"/>
          <w:lang w:val="en-US"/>
        </w:rPr>
        <w:lastRenderedPageBreak/>
        <w:t>使培训对象熟悉消防及安全生产的法律法规</w:t>
      </w:r>
      <w:proofErr w:type="gramStart"/>
      <w:r w:rsidRPr="00F24B27">
        <w:rPr>
          <w:rFonts w:ascii="仿宋_GB2312" w:eastAsia="仿宋_GB2312" w:hint="eastAsia"/>
          <w:sz w:val="32"/>
          <w:szCs w:val="32"/>
          <w:lang w:val="en-US"/>
        </w:rPr>
        <w:t>和</w:t>
      </w:r>
      <w:proofErr w:type="gramEnd"/>
      <w:r w:rsidRPr="00F24B27">
        <w:rPr>
          <w:rFonts w:ascii="仿宋_GB2312" w:eastAsia="仿宋_GB2312" w:hint="eastAsia"/>
          <w:sz w:val="32"/>
          <w:szCs w:val="32"/>
          <w:lang w:val="en-US"/>
        </w:rPr>
        <w:t>。制度规定掌握预防和处置初期火灾的能力。</w:t>
      </w:r>
    </w:p>
    <w:p w14:paraId="38C9AF25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楷体_GB2312" w:eastAsia="楷体_GB2312" w:hint="eastAsia"/>
          <w:sz w:val="32"/>
          <w:szCs w:val="32"/>
          <w:lang w:val="en-US"/>
        </w:rPr>
      </w:pPr>
      <w:r w:rsidRPr="00F24B27">
        <w:rPr>
          <w:rFonts w:ascii="楷体_GB2312" w:eastAsia="楷体_GB2312" w:hint="eastAsia"/>
          <w:sz w:val="32"/>
          <w:szCs w:val="32"/>
          <w:lang w:val="en-US"/>
        </w:rPr>
        <w:t>（四）加强消防演练</w:t>
      </w:r>
    </w:p>
    <w:p w14:paraId="2C50F24A" w14:textId="77777777" w:rsidR="00F24B27" w:rsidRPr="00F24B27" w:rsidRDefault="00F24B27" w:rsidP="008211FC">
      <w:pPr>
        <w:snapToGrid w:val="0"/>
        <w:spacing w:line="480" w:lineRule="exact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 w:hint="eastAsia"/>
          <w:sz w:val="32"/>
          <w:szCs w:val="32"/>
          <w:lang w:val="en-US"/>
        </w:rPr>
        <w:t>工程物业部要制定实操性强的灭火和应急疏散预案，定期组织开展消防演练，提升</w:t>
      </w:r>
      <w:proofErr w:type="gramStart"/>
      <w:r w:rsidRPr="00F24B27">
        <w:rPr>
          <w:rFonts w:ascii="仿宋_GB2312" w:eastAsia="仿宋_GB2312" w:hint="eastAsia"/>
          <w:sz w:val="32"/>
          <w:szCs w:val="32"/>
          <w:lang w:val="en-US"/>
        </w:rPr>
        <w:t>灭火自</w:t>
      </w:r>
      <w:proofErr w:type="gramEnd"/>
      <w:r w:rsidRPr="00F24B27">
        <w:rPr>
          <w:rFonts w:ascii="仿宋_GB2312" w:eastAsia="仿宋_GB2312" w:hint="eastAsia"/>
          <w:sz w:val="32"/>
          <w:szCs w:val="32"/>
          <w:lang w:val="en-US"/>
        </w:rPr>
        <w:t>防自救能力，配备足量的应急救援器材，指导从业人员熟练掌握各自岗位职责和应急处置程序。</w:t>
      </w:r>
    </w:p>
    <w:p w14:paraId="386BBE2D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楷体_GB2312" w:eastAsia="楷体_GB2312" w:hint="eastAsia"/>
          <w:sz w:val="32"/>
          <w:szCs w:val="32"/>
          <w:lang w:val="en-US"/>
        </w:rPr>
      </w:pPr>
      <w:r w:rsidRPr="00F24B27">
        <w:rPr>
          <w:rFonts w:ascii="楷体_GB2312" w:eastAsia="楷体_GB2312" w:hint="eastAsia"/>
          <w:sz w:val="32"/>
          <w:szCs w:val="32"/>
          <w:lang w:val="en-US"/>
        </w:rPr>
        <w:t>（五）严格检查</w:t>
      </w:r>
    </w:p>
    <w:p w14:paraId="186B8E28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 w:hint="eastAsia"/>
          <w:sz w:val="32"/>
          <w:szCs w:val="32"/>
          <w:lang w:val="en-US"/>
        </w:rPr>
        <w:t>对无证作业、证件造假等非法违法行为构成重大隐患的，应急管理部门将实施“一案双罚”，除追究动火作业单位的责任外，同时还追究单位管理责任。</w:t>
      </w:r>
    </w:p>
    <w:p w14:paraId="713944C8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黑体" w:eastAsia="黑体" w:hAnsi="黑体"/>
          <w:sz w:val="32"/>
          <w:szCs w:val="32"/>
          <w:lang w:val="en-US"/>
        </w:rPr>
      </w:pPr>
      <w:r w:rsidRPr="00F24B27">
        <w:rPr>
          <w:rFonts w:ascii="黑体" w:eastAsia="黑体" w:hAnsi="黑体" w:hint="eastAsia"/>
          <w:sz w:val="32"/>
          <w:szCs w:val="32"/>
          <w:lang w:val="en-US"/>
        </w:rPr>
        <w:t>二、整治内容</w:t>
      </w:r>
    </w:p>
    <w:p w14:paraId="3D10ABF6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楷体_GB2312" w:eastAsia="楷体_GB2312" w:hint="eastAsia"/>
          <w:sz w:val="32"/>
          <w:szCs w:val="32"/>
          <w:lang w:val="en-US"/>
        </w:rPr>
      </w:pPr>
      <w:r w:rsidRPr="00F24B27">
        <w:rPr>
          <w:rFonts w:ascii="楷体_GB2312" w:eastAsia="楷体_GB2312" w:hint="eastAsia"/>
          <w:sz w:val="32"/>
          <w:szCs w:val="32"/>
          <w:lang w:val="en-US"/>
        </w:rPr>
        <w:t>（一）电气焊作业准备管理方面</w:t>
      </w:r>
    </w:p>
    <w:p w14:paraId="43A1C738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1、聘用和招请未经安全培训合格，未取得相关证书的人员或无证实施电气焊作业的。</w:t>
      </w:r>
    </w:p>
    <w:p w14:paraId="30649ACB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2、电气焊设备安全质量不合格或使用淘汰危及安全的电气焊设备的。</w:t>
      </w:r>
    </w:p>
    <w:p w14:paraId="1E93235B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3、未严格履行电气焊作业审批手续的。</w:t>
      </w:r>
    </w:p>
    <w:p w14:paraId="0DC02A16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4、未</w:t>
      </w:r>
      <w:proofErr w:type="gramStart"/>
      <w:r w:rsidRPr="00F24B27">
        <w:rPr>
          <w:rFonts w:ascii="仿宋_GB2312" w:eastAsia="仿宋_GB2312"/>
          <w:sz w:val="32"/>
          <w:szCs w:val="32"/>
          <w:lang w:val="en-US"/>
        </w:rPr>
        <w:t>明确电</w:t>
      </w:r>
      <w:proofErr w:type="gramEnd"/>
      <w:r w:rsidRPr="00F24B27">
        <w:rPr>
          <w:rFonts w:ascii="仿宋_GB2312" w:eastAsia="仿宋_GB2312"/>
          <w:sz w:val="32"/>
          <w:szCs w:val="32"/>
          <w:lang w:val="en-US"/>
        </w:rPr>
        <w:t>气焊作业现场监护人员的。</w:t>
      </w:r>
    </w:p>
    <w:p w14:paraId="201B412C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5、未对租赁</w:t>
      </w:r>
      <w:proofErr w:type="gramStart"/>
      <w:r w:rsidRPr="00F24B27">
        <w:rPr>
          <w:rFonts w:ascii="仿宋_GB2312" w:eastAsia="仿宋_GB2312"/>
          <w:sz w:val="32"/>
          <w:szCs w:val="32"/>
          <w:lang w:val="en-US"/>
        </w:rPr>
        <w:t>店铺电</w:t>
      </w:r>
      <w:proofErr w:type="gramEnd"/>
      <w:r w:rsidRPr="00F24B27">
        <w:rPr>
          <w:rFonts w:ascii="仿宋_GB2312" w:eastAsia="仿宋_GB2312"/>
          <w:sz w:val="32"/>
          <w:szCs w:val="32"/>
          <w:lang w:val="en-US"/>
        </w:rPr>
        <w:t>气焊等动火作业加强管理的。</w:t>
      </w:r>
    </w:p>
    <w:p w14:paraId="509FEAC8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楷体_GB2312" w:eastAsia="楷体_GB2312" w:hint="eastAsia"/>
          <w:sz w:val="32"/>
          <w:szCs w:val="32"/>
          <w:lang w:val="en-US"/>
        </w:rPr>
      </w:pPr>
      <w:r w:rsidRPr="00F24B27">
        <w:rPr>
          <w:rFonts w:ascii="楷体_GB2312" w:eastAsia="楷体_GB2312" w:hint="eastAsia"/>
          <w:sz w:val="32"/>
          <w:szCs w:val="32"/>
          <w:lang w:val="en-US"/>
        </w:rPr>
        <w:t>（二）电气焊作业现场管理方面</w:t>
      </w:r>
    </w:p>
    <w:p w14:paraId="21FEE488" w14:textId="262ABEBD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1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、未严格遵守电气焊作业操作规程的。</w:t>
      </w:r>
    </w:p>
    <w:p w14:paraId="4A920222" w14:textId="59DA538E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2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、电气焊作业现场监护人员未认真履行监护责任的。</w:t>
      </w:r>
    </w:p>
    <w:p w14:paraId="5E68AC30" w14:textId="3231F737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3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、实施电气焊作业前，未清理周边可燃物或未配备相应灭火器材的。</w:t>
      </w:r>
    </w:p>
    <w:p w14:paraId="70A2A578" w14:textId="28E11372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4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、实施电气焊作业，未落实防火分隔等措施或未对现场安全问题进行管控的。</w:t>
      </w:r>
    </w:p>
    <w:p w14:paraId="2AB2EC59" w14:textId="54A5AA83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5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、施工现场动火作业，带火花作业时，与具有火灾爆炸风险作业交叉进行的。</w:t>
      </w:r>
    </w:p>
    <w:p w14:paraId="2D21E0A2" w14:textId="6447650B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6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、实施电气焊等动火作业现场未在醒目位置张贴作业警示标识的。</w:t>
      </w:r>
    </w:p>
    <w:p w14:paraId="07B37993" w14:textId="651DBA10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lastRenderedPageBreak/>
        <w:t>7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、在高处进行焊接或切割作业时，未清理下面的可燃物品，未采取有效的安全防护措施的。</w:t>
      </w:r>
    </w:p>
    <w:p w14:paraId="0B4BC443" w14:textId="5510C785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8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、在人员密集场所实施电气焊等动火作业，未制定灭火和紧急疏散预案的。</w:t>
      </w:r>
    </w:p>
    <w:p w14:paraId="74B4F93B" w14:textId="77777777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楷体_GB2312" w:eastAsia="楷体_GB2312" w:hint="eastAsia"/>
          <w:sz w:val="32"/>
          <w:szCs w:val="32"/>
          <w:lang w:val="en-US"/>
        </w:rPr>
      </w:pPr>
      <w:r w:rsidRPr="00F24B27">
        <w:rPr>
          <w:rFonts w:ascii="楷体_GB2312" w:eastAsia="楷体_GB2312" w:hint="eastAsia"/>
          <w:sz w:val="32"/>
          <w:szCs w:val="32"/>
          <w:lang w:val="en-US"/>
        </w:rPr>
        <w:t>（三）违规施工方面</w:t>
      </w:r>
    </w:p>
    <w:p w14:paraId="5DCA43CB" w14:textId="7D718CC8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9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、未经审批施工作业或无证施工作业的。</w:t>
      </w:r>
    </w:p>
    <w:p w14:paraId="3397AA39" w14:textId="7EEFAF08" w:rsidR="00F24B27" w:rsidRPr="00F24B27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10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、施工作业未明确并落实现场安全管理人员责任和措施的。</w:t>
      </w:r>
    </w:p>
    <w:p w14:paraId="5C6A20A0" w14:textId="3C5C98D4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1</w:t>
      </w:r>
      <w:r w:rsidR="008211FC">
        <w:rPr>
          <w:rFonts w:ascii="仿宋_GB2312" w:eastAsia="仿宋_GB2312" w:hint="eastAsia"/>
          <w:sz w:val="32"/>
          <w:szCs w:val="32"/>
          <w:lang w:val="en-US"/>
        </w:rPr>
        <w:t>1</w:t>
      </w:r>
      <w:r w:rsidRPr="00F24B27">
        <w:rPr>
          <w:rFonts w:ascii="仿宋_GB2312" w:eastAsia="仿宋_GB2312"/>
          <w:sz w:val="32"/>
          <w:szCs w:val="32"/>
          <w:lang w:val="en-US"/>
        </w:rPr>
        <w:t>、公共娱乐场所营业期间动火施工的。</w:t>
      </w:r>
    </w:p>
    <w:p w14:paraId="6E7284BF" w14:textId="44A82B60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1</w:t>
      </w:r>
      <w:r w:rsidR="008211FC">
        <w:rPr>
          <w:rFonts w:ascii="仿宋_GB2312" w:eastAsia="仿宋_GB2312" w:hint="eastAsia"/>
          <w:sz w:val="32"/>
          <w:szCs w:val="32"/>
          <w:lang w:val="en-US"/>
        </w:rPr>
        <w:t>2</w:t>
      </w:r>
      <w:r w:rsidRPr="00F24B27">
        <w:rPr>
          <w:rFonts w:ascii="仿宋_GB2312" w:eastAsia="仿宋_GB2312"/>
          <w:sz w:val="32"/>
          <w:szCs w:val="32"/>
          <w:lang w:val="en-US"/>
        </w:rPr>
        <w:t>、违规层层转包施工作业的，或将拆除工程发包给不具有相应资格等级的施工单位的。</w:t>
      </w:r>
    </w:p>
    <w:p w14:paraId="3A5B7F6F" w14:textId="22C97826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1</w:t>
      </w:r>
      <w:r w:rsidR="008211FC">
        <w:rPr>
          <w:rFonts w:ascii="仿宋_GB2312" w:eastAsia="仿宋_GB2312" w:hint="eastAsia"/>
          <w:sz w:val="32"/>
          <w:szCs w:val="32"/>
          <w:lang w:val="en-US"/>
        </w:rPr>
        <w:t>3</w:t>
      </w:r>
      <w:r w:rsidRPr="00F24B27">
        <w:rPr>
          <w:rFonts w:ascii="仿宋_GB2312" w:eastAsia="仿宋_GB2312"/>
          <w:sz w:val="32"/>
          <w:szCs w:val="32"/>
          <w:lang w:val="en-US"/>
        </w:rPr>
        <w:t>、营业期间涉及电气焊施工作业，未明确施工区和使用区安全管理责任的。</w:t>
      </w:r>
    </w:p>
    <w:p w14:paraId="63349C77" w14:textId="423AF3F1" w:rsidR="00F24B27" w:rsidRPr="00F24B27" w:rsidRDefault="00F24B27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 w:rsidRPr="00F24B27">
        <w:rPr>
          <w:rFonts w:ascii="仿宋_GB2312" w:eastAsia="仿宋_GB2312"/>
          <w:sz w:val="32"/>
          <w:szCs w:val="32"/>
          <w:lang w:val="en-US"/>
        </w:rPr>
        <w:t>1</w:t>
      </w:r>
      <w:r w:rsidR="008211FC">
        <w:rPr>
          <w:rFonts w:ascii="仿宋_GB2312" w:eastAsia="仿宋_GB2312" w:hint="eastAsia"/>
          <w:sz w:val="32"/>
          <w:szCs w:val="32"/>
          <w:lang w:val="en-US"/>
        </w:rPr>
        <w:t>4</w:t>
      </w:r>
      <w:r w:rsidRPr="00F24B27">
        <w:rPr>
          <w:rFonts w:ascii="仿宋_GB2312" w:eastAsia="仿宋_GB2312"/>
          <w:sz w:val="32"/>
          <w:szCs w:val="32"/>
          <w:lang w:val="en-US"/>
        </w:rPr>
        <w:t>、实行总承包的施工现场，总承包单位未统一负责安全生产工作，督促各分包单位落实安全生产责任的。</w:t>
      </w:r>
    </w:p>
    <w:p w14:paraId="23D11949" w14:textId="3121883D" w:rsidR="00F33F25" w:rsidRDefault="008211FC" w:rsidP="008211FC">
      <w:pPr>
        <w:snapToGrid w:val="0"/>
        <w:spacing w:line="480" w:lineRule="exact"/>
        <w:ind w:firstLineChars="200" w:firstLine="640"/>
        <w:jc w:val="both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/>
        </w:rPr>
        <w:t>15</w:t>
      </w:r>
      <w:r w:rsidR="00F24B27" w:rsidRPr="00F24B27">
        <w:rPr>
          <w:rFonts w:ascii="仿宋_GB2312" w:eastAsia="仿宋_GB2312"/>
          <w:sz w:val="32"/>
          <w:szCs w:val="32"/>
          <w:lang w:val="en-US"/>
        </w:rPr>
        <w:t>、施工人员不具有操作证书进行施工的。</w:t>
      </w:r>
    </w:p>
    <w:p w14:paraId="43DA5DCF" w14:textId="77777777" w:rsidR="00F33F25" w:rsidRDefault="00F33F25">
      <w:pPr>
        <w:snapToGrid w:val="0"/>
        <w:jc w:val="both"/>
        <w:rPr>
          <w:rFonts w:ascii="仿宋_GB2312" w:eastAsia="仿宋_GB2312"/>
          <w:sz w:val="32"/>
          <w:szCs w:val="32"/>
          <w:lang w:val="en-US"/>
        </w:rPr>
      </w:pPr>
    </w:p>
    <w:p w14:paraId="628F438F" w14:textId="77777777" w:rsidR="00F24B27" w:rsidRDefault="00F24B27">
      <w:pPr>
        <w:snapToGrid w:val="0"/>
        <w:jc w:val="both"/>
        <w:rPr>
          <w:rFonts w:ascii="仿宋_GB2312" w:eastAsia="仿宋_GB2312"/>
          <w:sz w:val="32"/>
          <w:szCs w:val="32"/>
          <w:lang w:val="en-US"/>
        </w:rPr>
      </w:pPr>
    </w:p>
    <w:p w14:paraId="28443FC4" w14:textId="77777777" w:rsidR="008211FC" w:rsidRDefault="008211FC">
      <w:pPr>
        <w:snapToGrid w:val="0"/>
        <w:jc w:val="both"/>
        <w:rPr>
          <w:rFonts w:ascii="仿宋_GB2312" w:eastAsia="仿宋_GB2312" w:hint="eastAsia"/>
          <w:sz w:val="32"/>
          <w:szCs w:val="32"/>
          <w:lang w:val="en-US"/>
        </w:rPr>
      </w:pPr>
    </w:p>
    <w:p w14:paraId="2B4D9A07" w14:textId="77777777" w:rsidR="00F33F25" w:rsidRDefault="00000000">
      <w:pPr>
        <w:spacing w:line="560" w:lineRule="exact"/>
        <w:ind w:firstLineChars="1329" w:firstLine="4253"/>
        <w:rPr>
          <w:rFonts w:ascii="仿宋_GB2312" w:eastAsia="仿宋_GB2312"/>
          <w:sz w:val="32"/>
          <w:szCs w:val="32"/>
          <w:lang w:val="en-US"/>
        </w:rPr>
      </w:pPr>
      <w:r>
        <w:rPr>
          <w:rFonts w:ascii="仿宋_GB2312" w:eastAsia="仿宋_GB2312" w:hint="eastAsia"/>
          <w:sz w:val="32"/>
          <w:szCs w:val="32"/>
        </w:rPr>
        <w:t>爱琴海公司安全管理委员会</w:t>
      </w:r>
      <w:r>
        <w:rPr>
          <w:rFonts w:ascii="仿宋_GB2312" w:eastAsia="仿宋_GB2312" w:hint="eastAsia"/>
          <w:sz w:val="32"/>
          <w:szCs w:val="32"/>
          <w:lang w:val="en-US"/>
        </w:rPr>
        <w:t>办公室</w:t>
      </w:r>
    </w:p>
    <w:p w14:paraId="59C0FEC2" w14:textId="3C77C3BB" w:rsidR="00F33F25" w:rsidRPr="00F24B27" w:rsidRDefault="00000000" w:rsidP="00F24B27">
      <w:pPr>
        <w:spacing w:line="560" w:lineRule="exact"/>
        <w:ind w:firstLineChars="1750" w:firstLine="560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02</w:t>
      </w:r>
      <w:r>
        <w:rPr>
          <w:rFonts w:ascii="仿宋_GB2312" w:eastAsia="仿宋_GB2312" w:hint="eastAsia"/>
          <w:sz w:val="32"/>
          <w:szCs w:val="32"/>
          <w:lang w:val="en-US"/>
        </w:rPr>
        <w:t>4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lang w:val="en-US"/>
        </w:rPr>
        <w:t>3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lang w:val="en-US"/>
        </w:rPr>
        <w:t>1</w:t>
      </w:r>
      <w:r w:rsidR="008211FC">
        <w:rPr>
          <w:rFonts w:ascii="仿宋_GB2312" w:eastAsia="仿宋_GB2312" w:hint="eastAsia"/>
          <w:sz w:val="32"/>
          <w:szCs w:val="32"/>
          <w:lang w:val="en-US"/>
        </w:rPr>
        <w:t>5</w:t>
      </w:r>
      <w:r>
        <w:rPr>
          <w:rFonts w:ascii="仿宋_GB2312" w:eastAsia="仿宋_GB2312" w:hint="eastAsia"/>
          <w:sz w:val="32"/>
          <w:szCs w:val="32"/>
        </w:rPr>
        <w:t>日</w:t>
      </w:r>
    </w:p>
    <w:p w14:paraId="3FB4CE98" w14:textId="77777777" w:rsidR="00F24B27" w:rsidRDefault="00F24B27">
      <w:pPr>
        <w:jc w:val="both"/>
        <w:rPr>
          <w:rFonts w:ascii="仿宋_GB2312" w:eastAsia="仿宋_GB2312" w:hAnsi="仿宋_GB2312" w:cs="仿宋_GB2312" w:hint="eastAsia"/>
          <w:sz w:val="32"/>
          <w:szCs w:val="32"/>
          <w:lang w:val="en-US"/>
        </w:rPr>
      </w:pPr>
    </w:p>
    <w:p w14:paraId="5439CA2D" w14:textId="77777777" w:rsidR="00F24B27" w:rsidRDefault="00F24B27">
      <w:pPr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</w:p>
    <w:p w14:paraId="182B8455" w14:textId="77777777" w:rsidR="008211FC" w:rsidRDefault="008211FC">
      <w:pPr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</w:p>
    <w:p w14:paraId="504EEBF7" w14:textId="77777777" w:rsidR="008211FC" w:rsidRDefault="008211FC">
      <w:pPr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</w:p>
    <w:p w14:paraId="07A37450" w14:textId="77777777" w:rsidR="008211FC" w:rsidRDefault="008211FC">
      <w:pPr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</w:p>
    <w:p w14:paraId="54CC0876" w14:textId="77777777" w:rsidR="008211FC" w:rsidRDefault="008211FC">
      <w:pPr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</w:p>
    <w:p w14:paraId="2AB4EAFF" w14:textId="77777777" w:rsidR="008211FC" w:rsidRDefault="008211FC">
      <w:pPr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</w:p>
    <w:p w14:paraId="3F7DA822" w14:textId="77777777" w:rsidR="008211FC" w:rsidRDefault="008211FC">
      <w:pPr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</w:p>
    <w:p w14:paraId="0DEEA13D" w14:textId="77777777" w:rsidR="008211FC" w:rsidRDefault="008211FC">
      <w:pPr>
        <w:jc w:val="both"/>
        <w:rPr>
          <w:rFonts w:ascii="仿宋_GB2312" w:eastAsia="仿宋_GB2312" w:hAnsi="仿宋_GB2312" w:cs="仿宋_GB2312" w:hint="eastAsia"/>
          <w:sz w:val="32"/>
          <w:szCs w:val="32"/>
          <w:lang w:val="en-US"/>
        </w:rPr>
      </w:pPr>
    </w:p>
    <w:p w14:paraId="1B690654" w14:textId="77777777" w:rsidR="00F33F25" w:rsidRDefault="00000000">
      <w:pPr>
        <w:tabs>
          <w:tab w:val="left" w:pos="670"/>
        </w:tabs>
        <w:snapToGrid w:val="0"/>
        <w:spacing w:line="20" w:lineRule="atLeas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7"/>
          <w:sz w:val="32"/>
          <w:szCs w:val="32"/>
        </w:rPr>
        <w:t>抄</w:t>
      </w:r>
      <w:r>
        <w:rPr>
          <w:rFonts w:ascii="仿宋_GB2312" w:eastAsia="仿宋_GB2312" w:hAnsi="仿宋_GB2312" w:cs="仿宋_GB2312" w:hint="eastAsia"/>
          <w:color w:val="000007"/>
          <w:sz w:val="32"/>
          <w:szCs w:val="32"/>
        </w:rPr>
        <w:tab/>
        <w:t>送</w:t>
      </w:r>
      <w:r>
        <w:rPr>
          <w:rFonts w:ascii="仿宋_GB2312" w:eastAsia="仿宋_GB2312" w:hAnsi="仿宋_GB2312" w:cs="仿宋_GB2312" w:hint="eastAsia"/>
          <w:color w:val="000007"/>
          <w:spacing w:val="-3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color w:val="000007"/>
          <w:sz w:val="32"/>
          <w:szCs w:val="32"/>
        </w:rPr>
        <w:t>总</w:t>
      </w:r>
      <w:r>
        <w:rPr>
          <w:rFonts w:ascii="仿宋_GB2312" w:eastAsia="仿宋_GB2312" w:hAnsi="仿宋_GB2312" w:cs="仿宋_GB2312" w:hint="eastAsia"/>
          <w:color w:val="000007"/>
          <w:sz w:val="32"/>
          <w:szCs w:val="32"/>
          <w:lang w:val="en-US"/>
        </w:rPr>
        <w:t>经</w:t>
      </w:r>
      <w:r>
        <w:rPr>
          <w:rFonts w:ascii="仿宋_GB2312" w:eastAsia="仿宋_GB2312" w:hAnsi="仿宋_GB2312" w:cs="仿宋_GB2312" w:hint="eastAsia"/>
          <w:color w:val="000007"/>
          <w:sz w:val="32"/>
          <w:szCs w:val="32"/>
        </w:rPr>
        <w:t>办</w:t>
      </w:r>
      <w:r>
        <w:rPr>
          <w:rFonts w:ascii="仿宋_GB2312" w:eastAsia="仿宋_GB2312" w:hAnsi="仿宋_GB2312" w:cs="仿宋_GB2312" w:hint="eastAsia"/>
          <w:color w:val="000007"/>
          <w:spacing w:val="-3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color w:val="000007"/>
          <w:sz w:val="32"/>
          <w:szCs w:val="32"/>
        </w:rPr>
        <w:t>各部门</w:t>
      </w:r>
    </w:p>
    <w:p w14:paraId="272489FA" w14:textId="68E0C0D8" w:rsidR="00F33F25" w:rsidRDefault="00000000">
      <w:pPr>
        <w:tabs>
          <w:tab w:val="left" w:pos="5710"/>
        </w:tabs>
        <w:snapToGrid w:val="0"/>
        <w:spacing w:after="36" w:line="20" w:lineRule="atLeast"/>
        <w:rPr>
          <w:rFonts w:ascii="仿宋_GB2312" w:eastAsia="仿宋_GB2312" w:hAnsi="仿宋_GB2312" w:cs="仿宋_GB2312"/>
          <w:color w:val="000007"/>
          <w:spacing w:val="-68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泰安市文化旅游发展集团商业运营管理有限公司爱琴海公司</w:t>
      </w:r>
      <w:r>
        <w:rPr>
          <w:rFonts w:ascii="仿宋_GB2312" w:eastAsia="仿宋_GB2312" w:hAnsi="仿宋_GB2312" w:cs="仿宋_GB2312" w:hint="eastAsia"/>
          <w:noProof/>
          <w:spacing w:val="-57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C04CC6" wp14:editId="424E24FE">
                <wp:simplePos x="0" y="0"/>
                <wp:positionH relativeFrom="page">
                  <wp:posOffset>907415</wp:posOffset>
                </wp:positionH>
                <wp:positionV relativeFrom="paragraph">
                  <wp:posOffset>425450</wp:posOffset>
                </wp:positionV>
                <wp:extent cx="5870575" cy="635"/>
                <wp:effectExtent l="0" t="12700" r="12065" b="17145"/>
                <wp:wrapTopAndBottom/>
                <wp:docPr id="3" name="直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0575" cy="635"/>
                        </a:xfrm>
                        <a:prstGeom prst="line">
                          <a:avLst/>
                        </a:prstGeom>
                        <a:ln w="2603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4B225" id="直线 29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1.45pt,33.5pt" to="533.7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" strokecolor="red" strokeweight="2.05pt">
                <w10:wrap type="topAndBottom" anchorx="page"/>
              </v:line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pacing w:val="-57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EDEEAD" wp14:editId="24EA4ADA">
                <wp:simplePos x="0" y="0"/>
                <wp:positionH relativeFrom="page">
                  <wp:posOffset>913130</wp:posOffset>
                </wp:positionH>
                <wp:positionV relativeFrom="paragraph">
                  <wp:posOffset>99695</wp:posOffset>
                </wp:positionV>
                <wp:extent cx="5838825" cy="635"/>
                <wp:effectExtent l="0" t="12700" r="13335" b="17145"/>
                <wp:wrapTopAndBottom/>
                <wp:docPr id="2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ln w="2603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49044" id="直线 14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1.9pt,7.85pt" to="531.6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" strokecolor="red" strokeweight="2.05pt">
                <w10:wrap type="topAndBottom" anchorx="page"/>
              </v:line>
            </w:pict>
          </mc:Fallback>
        </mc:AlternateConten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工程物业</w: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</w:rPr>
        <w:t>部20</w: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24</w: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</w:rPr>
        <w:t>年</w: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3月1</w:t>
      </w:r>
      <w:r w:rsidR="008211FC"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5</w: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日</w:t>
      </w:r>
    </w:p>
    <w:sectPr w:rsidR="00F33F25">
      <w:footerReference w:type="default" r:id="rId8"/>
      <w:pgSz w:w="11910" w:h="16840"/>
      <w:pgMar w:top="1100" w:right="1260" w:bottom="655" w:left="1420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85A2" w14:textId="77777777" w:rsidR="00013498" w:rsidRDefault="00013498">
      <w:r>
        <w:separator/>
      </w:r>
    </w:p>
  </w:endnote>
  <w:endnote w:type="continuationSeparator" w:id="0">
    <w:p w14:paraId="2F315BB8" w14:textId="77777777" w:rsidR="00013498" w:rsidRDefault="0001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0000600000000000000"/>
    <w:charset w:val="86"/>
    <w:family w:val="auto"/>
    <w:pitch w:val="variable"/>
    <w:sig w:usb0="800002BF" w:usb1="184F6CF8" w:usb2="00000012" w:usb3="00000000" w:csb0="0016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9598" w14:textId="77777777" w:rsidR="00F33F25" w:rsidRDefault="00F33F25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75BB" w14:textId="77777777" w:rsidR="00013498" w:rsidRDefault="00013498">
      <w:r>
        <w:separator/>
      </w:r>
    </w:p>
  </w:footnote>
  <w:footnote w:type="continuationSeparator" w:id="0">
    <w:p w14:paraId="4292589E" w14:textId="77777777" w:rsidR="00013498" w:rsidRDefault="00013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73CEE8"/>
    <w:multiLevelType w:val="singleLevel"/>
    <w:tmpl w:val="AA73CEE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25050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EyZWFlOTUzNTI2NmEyNzBlYmI2ZTVlMmE3Nzc1YzQifQ=="/>
  </w:docVars>
  <w:rsids>
    <w:rsidRoot w:val="00F33F25"/>
    <w:rsid w:val="00013498"/>
    <w:rsid w:val="008211FC"/>
    <w:rsid w:val="00AB67A9"/>
    <w:rsid w:val="00F24B27"/>
    <w:rsid w:val="00F33F25"/>
    <w:rsid w:val="011B3290"/>
    <w:rsid w:val="01C85BD4"/>
    <w:rsid w:val="023027D8"/>
    <w:rsid w:val="02354933"/>
    <w:rsid w:val="023943B6"/>
    <w:rsid w:val="028767BD"/>
    <w:rsid w:val="03467897"/>
    <w:rsid w:val="035C3C70"/>
    <w:rsid w:val="03757373"/>
    <w:rsid w:val="03892F81"/>
    <w:rsid w:val="03CF58CA"/>
    <w:rsid w:val="04CD5055"/>
    <w:rsid w:val="04D400C1"/>
    <w:rsid w:val="04E52A60"/>
    <w:rsid w:val="05203872"/>
    <w:rsid w:val="052B751C"/>
    <w:rsid w:val="05E1462D"/>
    <w:rsid w:val="060B4B2A"/>
    <w:rsid w:val="06550AEF"/>
    <w:rsid w:val="06790E14"/>
    <w:rsid w:val="06906B8D"/>
    <w:rsid w:val="07050EAA"/>
    <w:rsid w:val="081465C7"/>
    <w:rsid w:val="089A00B1"/>
    <w:rsid w:val="089B7149"/>
    <w:rsid w:val="09EF3642"/>
    <w:rsid w:val="0A000652"/>
    <w:rsid w:val="0A3730BD"/>
    <w:rsid w:val="0A4747E3"/>
    <w:rsid w:val="0B2A7F59"/>
    <w:rsid w:val="0BFD5B28"/>
    <w:rsid w:val="0C0E1512"/>
    <w:rsid w:val="0CDB1467"/>
    <w:rsid w:val="0D1904D8"/>
    <w:rsid w:val="0D5F1E64"/>
    <w:rsid w:val="0D6F7730"/>
    <w:rsid w:val="0EDE1004"/>
    <w:rsid w:val="0EEC324E"/>
    <w:rsid w:val="112C6057"/>
    <w:rsid w:val="1207244E"/>
    <w:rsid w:val="124402A5"/>
    <w:rsid w:val="125E66E4"/>
    <w:rsid w:val="127E2853"/>
    <w:rsid w:val="13203E5A"/>
    <w:rsid w:val="1325739E"/>
    <w:rsid w:val="1348781B"/>
    <w:rsid w:val="149A432E"/>
    <w:rsid w:val="14AB6124"/>
    <w:rsid w:val="166A6324"/>
    <w:rsid w:val="16E102DA"/>
    <w:rsid w:val="16E155D9"/>
    <w:rsid w:val="172F4DAC"/>
    <w:rsid w:val="1736699E"/>
    <w:rsid w:val="179B3F36"/>
    <w:rsid w:val="185619D0"/>
    <w:rsid w:val="1983621C"/>
    <w:rsid w:val="19F94F44"/>
    <w:rsid w:val="1A0B7593"/>
    <w:rsid w:val="1AB772D9"/>
    <w:rsid w:val="1AC42DA0"/>
    <w:rsid w:val="1AD4708A"/>
    <w:rsid w:val="1B2C7ABC"/>
    <w:rsid w:val="1BBB1E72"/>
    <w:rsid w:val="1BBE757B"/>
    <w:rsid w:val="1BEE6044"/>
    <w:rsid w:val="1C202C5C"/>
    <w:rsid w:val="1C296AE9"/>
    <w:rsid w:val="1E4F7175"/>
    <w:rsid w:val="1F6D61B8"/>
    <w:rsid w:val="20435783"/>
    <w:rsid w:val="21051000"/>
    <w:rsid w:val="21B63AEB"/>
    <w:rsid w:val="221D64B3"/>
    <w:rsid w:val="23D86009"/>
    <w:rsid w:val="24697FC2"/>
    <w:rsid w:val="24D04C15"/>
    <w:rsid w:val="258779C6"/>
    <w:rsid w:val="263406F7"/>
    <w:rsid w:val="267A11BB"/>
    <w:rsid w:val="26DF7235"/>
    <w:rsid w:val="27056CA7"/>
    <w:rsid w:val="27CB5475"/>
    <w:rsid w:val="28B20DDF"/>
    <w:rsid w:val="291211DE"/>
    <w:rsid w:val="292911DD"/>
    <w:rsid w:val="2965070D"/>
    <w:rsid w:val="29F15C38"/>
    <w:rsid w:val="2A0E23A2"/>
    <w:rsid w:val="2AB758C9"/>
    <w:rsid w:val="2B446ADE"/>
    <w:rsid w:val="2BD6133D"/>
    <w:rsid w:val="2C1414BB"/>
    <w:rsid w:val="2C1C5A17"/>
    <w:rsid w:val="2C38358F"/>
    <w:rsid w:val="2D5A468F"/>
    <w:rsid w:val="2DA6683C"/>
    <w:rsid w:val="2E577574"/>
    <w:rsid w:val="2E861CBA"/>
    <w:rsid w:val="2EEB5D92"/>
    <w:rsid w:val="2FB76E96"/>
    <w:rsid w:val="30153893"/>
    <w:rsid w:val="305B7A94"/>
    <w:rsid w:val="30D14C1A"/>
    <w:rsid w:val="317132F2"/>
    <w:rsid w:val="31940FA8"/>
    <w:rsid w:val="31A0050D"/>
    <w:rsid w:val="31FC559A"/>
    <w:rsid w:val="321A249C"/>
    <w:rsid w:val="322D735A"/>
    <w:rsid w:val="324F37F6"/>
    <w:rsid w:val="327318E0"/>
    <w:rsid w:val="32AF2197"/>
    <w:rsid w:val="32EB564E"/>
    <w:rsid w:val="32F130F5"/>
    <w:rsid w:val="33724D1B"/>
    <w:rsid w:val="33C06762"/>
    <w:rsid w:val="3482140E"/>
    <w:rsid w:val="34CC0624"/>
    <w:rsid w:val="358B0606"/>
    <w:rsid w:val="35BA7826"/>
    <w:rsid w:val="35F36CC8"/>
    <w:rsid w:val="36771F83"/>
    <w:rsid w:val="36EF3725"/>
    <w:rsid w:val="376745F2"/>
    <w:rsid w:val="376F2FFF"/>
    <w:rsid w:val="37D8588D"/>
    <w:rsid w:val="37ED1B24"/>
    <w:rsid w:val="38205838"/>
    <w:rsid w:val="38642C82"/>
    <w:rsid w:val="388A6A1C"/>
    <w:rsid w:val="39DC5FBD"/>
    <w:rsid w:val="3A0D6176"/>
    <w:rsid w:val="3A190846"/>
    <w:rsid w:val="3A5B5BDE"/>
    <w:rsid w:val="3A7C32FC"/>
    <w:rsid w:val="3A81571B"/>
    <w:rsid w:val="3B9E1819"/>
    <w:rsid w:val="3C214215"/>
    <w:rsid w:val="3C475574"/>
    <w:rsid w:val="3CBC54B4"/>
    <w:rsid w:val="3CBF27AD"/>
    <w:rsid w:val="3D0B5979"/>
    <w:rsid w:val="3EC659FA"/>
    <w:rsid w:val="3FA85719"/>
    <w:rsid w:val="410E6364"/>
    <w:rsid w:val="41514B93"/>
    <w:rsid w:val="41FF6AF3"/>
    <w:rsid w:val="42670A86"/>
    <w:rsid w:val="429D02B3"/>
    <w:rsid w:val="42C31CE3"/>
    <w:rsid w:val="43541BF4"/>
    <w:rsid w:val="43D47B46"/>
    <w:rsid w:val="44527527"/>
    <w:rsid w:val="447C7596"/>
    <w:rsid w:val="45DB0E8D"/>
    <w:rsid w:val="47657076"/>
    <w:rsid w:val="47C244E3"/>
    <w:rsid w:val="482A0149"/>
    <w:rsid w:val="4A325AB6"/>
    <w:rsid w:val="4A4A2ACF"/>
    <w:rsid w:val="4A565917"/>
    <w:rsid w:val="4A7242F5"/>
    <w:rsid w:val="4A7C4F0F"/>
    <w:rsid w:val="4ADD1B95"/>
    <w:rsid w:val="4B704B56"/>
    <w:rsid w:val="4B923D95"/>
    <w:rsid w:val="4BE81662"/>
    <w:rsid w:val="4BEF07BA"/>
    <w:rsid w:val="4BF5690F"/>
    <w:rsid w:val="4CFB7BD7"/>
    <w:rsid w:val="4DC06A6A"/>
    <w:rsid w:val="4DC4353E"/>
    <w:rsid w:val="4E6440AF"/>
    <w:rsid w:val="4F8913D4"/>
    <w:rsid w:val="4FA876DB"/>
    <w:rsid w:val="50820DF9"/>
    <w:rsid w:val="512A30EF"/>
    <w:rsid w:val="51520F4F"/>
    <w:rsid w:val="520F7AD9"/>
    <w:rsid w:val="52362D25"/>
    <w:rsid w:val="523F18E8"/>
    <w:rsid w:val="52907378"/>
    <w:rsid w:val="52EB0BC7"/>
    <w:rsid w:val="53357A87"/>
    <w:rsid w:val="534316CA"/>
    <w:rsid w:val="545F423B"/>
    <w:rsid w:val="54B55F5A"/>
    <w:rsid w:val="54BC6584"/>
    <w:rsid w:val="54BE2F46"/>
    <w:rsid w:val="54F061B5"/>
    <w:rsid w:val="550901DF"/>
    <w:rsid w:val="552C5A09"/>
    <w:rsid w:val="559E1C82"/>
    <w:rsid w:val="56D74831"/>
    <w:rsid w:val="570D4DDD"/>
    <w:rsid w:val="57815014"/>
    <w:rsid w:val="57973840"/>
    <w:rsid w:val="57F45240"/>
    <w:rsid w:val="58945384"/>
    <w:rsid w:val="58C60EB9"/>
    <w:rsid w:val="58C66285"/>
    <w:rsid w:val="5927463D"/>
    <w:rsid w:val="593323D3"/>
    <w:rsid w:val="593918A6"/>
    <w:rsid w:val="59B56E78"/>
    <w:rsid w:val="5A3D59C3"/>
    <w:rsid w:val="5A6F20DD"/>
    <w:rsid w:val="5A9C1D40"/>
    <w:rsid w:val="5AE10BD4"/>
    <w:rsid w:val="5AF67C81"/>
    <w:rsid w:val="5AF85806"/>
    <w:rsid w:val="5BD06385"/>
    <w:rsid w:val="5BD40F23"/>
    <w:rsid w:val="5C4E1CEB"/>
    <w:rsid w:val="5C587A42"/>
    <w:rsid w:val="5D4F61EB"/>
    <w:rsid w:val="5D6C1827"/>
    <w:rsid w:val="5DB108CD"/>
    <w:rsid w:val="5DD72473"/>
    <w:rsid w:val="601608F3"/>
    <w:rsid w:val="61C03ECB"/>
    <w:rsid w:val="61D64163"/>
    <w:rsid w:val="61DD6FB6"/>
    <w:rsid w:val="61F05BC0"/>
    <w:rsid w:val="628B4531"/>
    <w:rsid w:val="62D43425"/>
    <w:rsid w:val="63072182"/>
    <w:rsid w:val="63232CC9"/>
    <w:rsid w:val="63883A9D"/>
    <w:rsid w:val="63965D09"/>
    <w:rsid w:val="640F0CB3"/>
    <w:rsid w:val="646C7108"/>
    <w:rsid w:val="64FD405C"/>
    <w:rsid w:val="6520217C"/>
    <w:rsid w:val="65EF6D4D"/>
    <w:rsid w:val="65F62D83"/>
    <w:rsid w:val="6600411A"/>
    <w:rsid w:val="67C9588E"/>
    <w:rsid w:val="681906A9"/>
    <w:rsid w:val="682E35D8"/>
    <w:rsid w:val="683D3BA2"/>
    <w:rsid w:val="684869E5"/>
    <w:rsid w:val="684A764D"/>
    <w:rsid w:val="68586BB5"/>
    <w:rsid w:val="68E5638C"/>
    <w:rsid w:val="691B7D56"/>
    <w:rsid w:val="698F3F38"/>
    <w:rsid w:val="69D21E09"/>
    <w:rsid w:val="6A2C4BFF"/>
    <w:rsid w:val="6A8D496B"/>
    <w:rsid w:val="6AB15DEF"/>
    <w:rsid w:val="6AB204F0"/>
    <w:rsid w:val="6B39228C"/>
    <w:rsid w:val="6BE40285"/>
    <w:rsid w:val="6C0F65E8"/>
    <w:rsid w:val="6C310728"/>
    <w:rsid w:val="6CB10CA0"/>
    <w:rsid w:val="6D970ACF"/>
    <w:rsid w:val="6E742E7A"/>
    <w:rsid w:val="6EE1541A"/>
    <w:rsid w:val="6F3132A3"/>
    <w:rsid w:val="6FAF6482"/>
    <w:rsid w:val="709A5CAE"/>
    <w:rsid w:val="71A2203E"/>
    <w:rsid w:val="71C52AD8"/>
    <w:rsid w:val="71E94244"/>
    <w:rsid w:val="71ED127F"/>
    <w:rsid w:val="72353580"/>
    <w:rsid w:val="723E594C"/>
    <w:rsid w:val="724D4594"/>
    <w:rsid w:val="72A153D5"/>
    <w:rsid w:val="73AA1A25"/>
    <w:rsid w:val="73D2575F"/>
    <w:rsid w:val="747F5062"/>
    <w:rsid w:val="74D6754A"/>
    <w:rsid w:val="74EC71F7"/>
    <w:rsid w:val="764D262F"/>
    <w:rsid w:val="76B575AF"/>
    <w:rsid w:val="76B84C98"/>
    <w:rsid w:val="77037B42"/>
    <w:rsid w:val="77380CAD"/>
    <w:rsid w:val="77A6606B"/>
    <w:rsid w:val="79082012"/>
    <w:rsid w:val="790C676C"/>
    <w:rsid w:val="79A3594E"/>
    <w:rsid w:val="7A0B3779"/>
    <w:rsid w:val="7A672C85"/>
    <w:rsid w:val="7AE52476"/>
    <w:rsid w:val="7B23042A"/>
    <w:rsid w:val="7BD77DB7"/>
    <w:rsid w:val="7C8A21F9"/>
    <w:rsid w:val="7CE01DCE"/>
    <w:rsid w:val="7CE87DA1"/>
    <w:rsid w:val="7DA31FEC"/>
    <w:rsid w:val="7DD454CB"/>
    <w:rsid w:val="7E1352F2"/>
    <w:rsid w:val="7E56282A"/>
    <w:rsid w:val="7ED34956"/>
    <w:rsid w:val="7F3C5C29"/>
    <w:rsid w:val="7F8C4D34"/>
    <w:rsid w:val="7FF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E27A0D"/>
  <w15:docId w15:val="{19C9B5B8-736B-4484-8AA4-CB93A409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paragraph" w:styleId="1">
    <w:name w:val="heading 1"/>
    <w:basedOn w:val="a"/>
    <w:next w:val="a"/>
    <w:autoRedefine/>
    <w:qFormat/>
    <w:pPr>
      <w:spacing w:before="100" w:beforeAutospacing="1" w:after="10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autoRedefine/>
    <w:semiHidden/>
    <w:unhideWhenUsed/>
    <w:qFormat/>
    <w:pPr>
      <w:spacing w:beforeAutospacing="1" w:afterAutospacing="1"/>
      <w:outlineLvl w:val="1"/>
    </w:pPr>
    <w:rPr>
      <w:rFonts w:ascii="宋体" w:eastAsia="宋体" w:hAnsi="宋体" w:cs="Times New Roman" w:hint="eastAsia"/>
      <w:b/>
      <w:sz w:val="36"/>
      <w:szCs w:val="36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uiPriority w:val="1"/>
    <w:qFormat/>
    <w:rPr>
      <w:sz w:val="30"/>
      <w:szCs w:val="30"/>
    </w:rPr>
  </w:style>
  <w:style w:type="paragraph" w:styleId="a4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TableNormal">
    <w:name w:val="Table Normal"/>
    <w:autoRedefine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autoRedefine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footer"/>
    <w:basedOn w:val="a"/>
    <w:link w:val="a7"/>
    <w:rsid w:val="00AB67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B67A9"/>
    <w:rPr>
      <w:rFonts w:ascii="仿宋" w:eastAsia="仿宋" w:hAnsi="仿宋" w:cs="仿宋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云南湄公河集团有限公司文件</dc:title>
  <dc:creator>Admin</dc:creator>
  <cp:lastModifiedBy>相晨 张</cp:lastModifiedBy>
  <cp:revision>4</cp:revision>
  <cp:lastPrinted>2021-02-08T09:45:00Z</cp:lastPrinted>
  <dcterms:created xsi:type="dcterms:W3CDTF">2024-03-15T08:06:00Z</dcterms:created>
  <dcterms:modified xsi:type="dcterms:W3CDTF">2024-03-15T08:15:00Z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2020-05-17T00:00:00Z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4D41A5BE44DD4D88998A4E94963BC927</vt:lpwstr>
  </property>
</Properties>
</file>