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FDD1" w14:textId="77777777" w:rsidR="00F33F25" w:rsidRPr="00F24B27" w:rsidRDefault="00000000">
      <w:pPr>
        <w:snapToGrid w:val="0"/>
        <w:jc w:val="center"/>
        <w:rPr>
          <w:rFonts w:ascii="黑体" w:eastAsia="黑体" w:hAnsi="黑体" w:cs="黑体"/>
          <w:b/>
          <w:bCs/>
          <w:color w:val="FF0000"/>
          <w:spacing w:val="-57"/>
          <w:kern w:val="21"/>
          <w:sz w:val="60"/>
          <w:szCs w:val="60"/>
        </w:rPr>
      </w:pPr>
      <w:r w:rsidRPr="00F24B27">
        <w:rPr>
          <w:rFonts w:ascii="黑体" w:eastAsia="黑体" w:hAnsi="黑体" w:cs="黑体" w:hint="eastAsia"/>
          <w:b/>
          <w:bCs/>
          <w:color w:val="FF0000"/>
          <w:spacing w:val="-57"/>
          <w:kern w:val="21"/>
          <w:sz w:val="60"/>
          <w:szCs w:val="60"/>
          <w:lang w:val="en-US"/>
        </w:rPr>
        <w:t>泰安市文化旅游发展集团商业运营管理有限公司爱琴海公司</w:t>
      </w:r>
      <w:r w:rsidRPr="00F24B27">
        <w:rPr>
          <w:rFonts w:ascii="黑体" w:eastAsia="黑体" w:hAnsi="黑体" w:cs="黑体" w:hint="eastAsia"/>
          <w:b/>
          <w:bCs/>
          <w:color w:val="FF0000"/>
          <w:spacing w:val="-57"/>
          <w:kern w:val="21"/>
          <w:sz w:val="60"/>
          <w:szCs w:val="60"/>
        </w:rPr>
        <w:t>文件</w:t>
      </w:r>
    </w:p>
    <w:p w14:paraId="0898FFF0" w14:textId="77777777" w:rsidR="00F33F25" w:rsidRDefault="00F33F25">
      <w:pPr>
        <w:snapToGrid w:val="0"/>
        <w:jc w:val="center"/>
        <w:rPr>
          <w:rFonts w:ascii="宋体" w:eastAsia="宋体"/>
          <w:color w:val="FF0000"/>
          <w:spacing w:val="-57"/>
          <w:kern w:val="21"/>
          <w:sz w:val="10"/>
          <w:szCs w:val="2"/>
        </w:rPr>
      </w:pPr>
    </w:p>
    <w:p w14:paraId="709F58D3" w14:textId="357CE0E9" w:rsidR="00F33F25" w:rsidRDefault="00000000">
      <w:pPr>
        <w:snapToGrid w:val="0"/>
        <w:jc w:val="center"/>
        <w:rPr>
          <w:b/>
          <w:bCs/>
          <w:sz w:val="28"/>
          <w:szCs w:val="28"/>
          <w:lang w:val="en-US"/>
        </w:rPr>
      </w:pPr>
      <w:r>
        <w:rPr>
          <w:rFonts w:ascii="宋体" w:eastAsia="宋体" w:hint="eastAsia"/>
          <w:color w:val="000007"/>
          <w:sz w:val="32"/>
        </w:rPr>
        <w:t>泰</w:t>
      </w:r>
      <w:r>
        <w:rPr>
          <w:rFonts w:ascii="宋体" w:eastAsia="宋体" w:hint="eastAsia"/>
          <w:color w:val="000007"/>
          <w:sz w:val="32"/>
          <w:lang w:val="en-US"/>
        </w:rPr>
        <w:t>旅爱物</w:t>
      </w:r>
      <w:r>
        <w:rPr>
          <w:rFonts w:ascii="宋体" w:eastAsia="宋体" w:hint="eastAsia"/>
          <w:color w:val="000007"/>
          <w:sz w:val="32"/>
        </w:rPr>
        <w:t>字〔</w:t>
      </w:r>
      <w:r>
        <w:rPr>
          <w:color w:val="000007"/>
          <w:sz w:val="32"/>
        </w:rPr>
        <w:t>202</w:t>
      </w:r>
      <w:r>
        <w:rPr>
          <w:rFonts w:hint="eastAsia"/>
          <w:color w:val="000007"/>
          <w:sz w:val="32"/>
          <w:lang w:val="en-US"/>
        </w:rPr>
        <w:t>4</w:t>
      </w:r>
      <w:r>
        <w:rPr>
          <w:rFonts w:ascii="宋体" w:eastAsia="宋体" w:hint="eastAsia"/>
          <w:color w:val="000007"/>
          <w:sz w:val="32"/>
        </w:rPr>
        <w:t>〕</w:t>
      </w:r>
      <w:r w:rsidR="004B371B">
        <w:rPr>
          <w:rFonts w:ascii="宋体" w:eastAsia="宋体" w:hint="eastAsia"/>
          <w:color w:val="000007"/>
          <w:sz w:val="32"/>
          <w:lang w:val="en-US"/>
        </w:rPr>
        <w:t>8</w:t>
      </w:r>
      <w:r>
        <w:rPr>
          <w:rFonts w:ascii="宋体" w:eastAsia="宋体" w:hint="eastAsia"/>
          <w:color w:val="000007"/>
          <w:sz w:val="32"/>
        </w:rPr>
        <w:t>号</w:t>
      </w:r>
    </w:p>
    <w:p w14:paraId="74635F60" w14:textId="77777777" w:rsidR="00234632" w:rsidRDefault="00EB5F0F" w:rsidP="00234632">
      <w:pPr>
        <w:widowControl/>
        <w:jc w:val="center"/>
        <w:rPr>
          <w:rFonts w:ascii="方正小标宋简体" w:eastAsia="方正小标宋简体"/>
          <w:spacing w:val="-23"/>
          <w:sz w:val="44"/>
          <w:szCs w:val="44"/>
          <w:lang w:val="en-US"/>
        </w:rPr>
      </w:pPr>
      <w:r>
        <w:rPr>
          <w:rFonts w:ascii="方正小标宋简体" w:eastAsia="方正小标宋简体"/>
          <w:noProof/>
          <w:spacing w:val="-23"/>
          <w:sz w:val="44"/>
          <w:szCs w:val="44"/>
        </w:rPr>
        <mc:AlternateContent>
          <mc:Choice Requires="wps">
            <w:drawing>
              <wp:anchor distT="0" distB="0" distL="114300" distR="114300" simplePos="0" relativeHeight="251662336" behindDoc="1" locked="0" layoutInCell="1" allowOverlap="1" wp14:anchorId="7D873439" wp14:editId="6C82E6E0">
                <wp:simplePos x="0" y="0"/>
                <wp:positionH relativeFrom="page">
                  <wp:posOffset>747395</wp:posOffset>
                </wp:positionH>
                <wp:positionV relativeFrom="paragraph">
                  <wp:posOffset>153035</wp:posOffset>
                </wp:positionV>
                <wp:extent cx="6012180" cy="8255"/>
                <wp:effectExtent l="0" t="3810" r="7620" b="33655"/>
                <wp:wrapTopAndBottom/>
                <wp:docPr id="4" name="直线 30"/>
                <wp:cNvGraphicFramePr/>
                <a:graphic xmlns:a="http://schemas.openxmlformats.org/drawingml/2006/main">
                  <a:graphicData uri="http://schemas.microsoft.com/office/word/2010/wordprocessingShape">
                    <wps:wsp>
                      <wps:cNvCnPr/>
                      <wps:spPr>
                        <a:xfrm flipV="1">
                          <a:off x="0" y="0"/>
                          <a:ext cx="6012180" cy="8255"/>
                        </a:xfrm>
                        <a:prstGeom prst="line">
                          <a:avLst/>
                        </a:prstGeom>
                        <a:ln w="38100" cap="flat" cmpd="sng">
                          <a:solidFill>
                            <a:srgbClr val="FF0000"/>
                          </a:solidFill>
                          <a:prstDash val="solid"/>
                          <a:headEnd type="none" w="med" len="med"/>
                          <a:tailEnd type="none" w="med" len="med"/>
                        </a:ln>
                      </wps:spPr>
                      <wps:bodyPr/>
                    </wps:wsp>
                  </a:graphicData>
                </a:graphic>
              </wp:anchor>
            </w:drawing>
          </mc:Choice>
          <mc:Fallback>
            <w:pict>
              <v:line w14:anchorId="3D40AE4D" id="直线 30" o:spid="_x0000_s1026" style="position:absolute;left:0;text-align:left;flip:y;z-index:-251654144;visibility:visible;mso-wrap-style:square;mso-wrap-distance-left:9pt;mso-wrap-distance-top:0;mso-wrap-distance-right:9pt;mso-wrap-distance-bottom:0;mso-position-horizontal:absolute;mso-position-horizontal-relative:page;mso-position-vertical:absolute;mso-position-vertical-relative:text" from="58.85pt,12.05pt" to="532.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" strokecolor="red" strokeweight="3pt">
                <w10:wrap type="topAndBottom" anchorx="page"/>
              </v:line>
            </w:pict>
          </mc:Fallback>
        </mc:AlternateContent>
      </w:r>
      <w:r>
        <w:rPr>
          <w:rFonts w:ascii="方正小标宋简体" w:eastAsia="方正小标宋简体" w:hint="eastAsia"/>
          <w:spacing w:val="-23"/>
          <w:sz w:val="44"/>
          <w:szCs w:val="44"/>
          <w:lang w:val="en-US"/>
        </w:rPr>
        <w:t>关于</w:t>
      </w:r>
      <w:r w:rsidRPr="00EB5F0F">
        <w:rPr>
          <w:rFonts w:ascii="方正小标宋简体" w:eastAsia="方正小标宋简体" w:hint="eastAsia"/>
          <w:spacing w:val="-23"/>
          <w:sz w:val="44"/>
          <w:szCs w:val="44"/>
          <w:lang w:val="en-US"/>
        </w:rPr>
        <w:t>深入学习宣传和贯彻实施重大事故隐患判定</w:t>
      </w:r>
    </w:p>
    <w:p w14:paraId="5210AB22" w14:textId="6C32D006" w:rsidR="00F33F25" w:rsidRPr="00234632" w:rsidRDefault="00EB5F0F" w:rsidP="00234632">
      <w:pPr>
        <w:widowControl/>
        <w:jc w:val="center"/>
        <w:rPr>
          <w:rFonts w:ascii="方正小标宋简体" w:eastAsia="方正小标宋简体"/>
          <w:spacing w:val="-23"/>
          <w:sz w:val="44"/>
          <w:szCs w:val="44"/>
          <w:lang w:val="en-US"/>
        </w:rPr>
      </w:pPr>
      <w:r w:rsidRPr="00EB5F0F">
        <w:rPr>
          <w:rFonts w:ascii="方正小标宋简体" w:eastAsia="方正小标宋简体" w:hint="eastAsia"/>
          <w:spacing w:val="-23"/>
          <w:sz w:val="44"/>
          <w:szCs w:val="44"/>
          <w:lang w:val="en-US"/>
        </w:rPr>
        <w:t>标准的通知</w:t>
      </w:r>
    </w:p>
    <w:p w14:paraId="5B3E6DC6" w14:textId="25AC4ED2" w:rsidR="00EB5F0F" w:rsidRDefault="00F24B27" w:rsidP="00BC3B9D">
      <w:pPr>
        <w:snapToGrid w:val="0"/>
        <w:spacing w:line="520" w:lineRule="exact"/>
        <w:jc w:val="both"/>
        <w:rPr>
          <w:rFonts w:ascii="仿宋_GB2312" w:eastAsia="仿宋_GB2312"/>
          <w:sz w:val="32"/>
          <w:szCs w:val="32"/>
          <w:lang w:val="en-US"/>
        </w:rPr>
      </w:pPr>
      <w:r w:rsidRPr="00F24B27">
        <w:rPr>
          <w:rFonts w:ascii="仿宋_GB2312" w:eastAsia="仿宋_GB2312" w:hint="eastAsia"/>
          <w:sz w:val="32"/>
          <w:szCs w:val="32"/>
          <w:lang w:val="en-US"/>
        </w:rPr>
        <w:t>各部门、各店铺：</w:t>
      </w:r>
    </w:p>
    <w:p w14:paraId="06E11213" w14:textId="38D24E76" w:rsidR="00EB5F0F" w:rsidRPr="00F24B27" w:rsidRDefault="00EB5F0F" w:rsidP="00BC3B9D">
      <w:pPr>
        <w:snapToGrid w:val="0"/>
        <w:spacing w:line="520" w:lineRule="exact"/>
        <w:ind w:firstLineChars="200" w:firstLine="640"/>
        <w:jc w:val="both"/>
        <w:rPr>
          <w:rFonts w:ascii="仿宋_GB2312" w:eastAsia="仿宋_GB2312"/>
          <w:sz w:val="32"/>
          <w:szCs w:val="32"/>
          <w:lang w:val="en-US"/>
        </w:rPr>
      </w:pPr>
      <w:r>
        <w:rPr>
          <w:rFonts w:ascii="仿宋_GB2312" w:eastAsia="仿宋_GB2312" w:hint="eastAsia"/>
          <w:sz w:val="32"/>
          <w:szCs w:val="32"/>
          <w:lang w:val="en-US"/>
        </w:rPr>
        <w:t>为全面贯彻落实《</w:t>
      </w:r>
      <w:r w:rsidRPr="00EB5F0F">
        <w:rPr>
          <w:rFonts w:ascii="仿宋_GB2312" w:eastAsia="仿宋_GB2312" w:hint="eastAsia"/>
          <w:sz w:val="32"/>
          <w:szCs w:val="32"/>
          <w:lang w:val="en-US"/>
        </w:rPr>
        <w:t>泰安旅游经济开发区关于深入学习宣传和贯彻实施重大事故隐患判定标准的通知</w:t>
      </w:r>
      <w:r>
        <w:rPr>
          <w:rFonts w:ascii="仿宋_GB2312" w:eastAsia="仿宋_GB2312" w:hint="eastAsia"/>
          <w:sz w:val="32"/>
          <w:szCs w:val="32"/>
          <w:lang w:val="en-US"/>
        </w:rPr>
        <w:t>》要求，</w:t>
      </w:r>
      <w:r w:rsidRPr="00EB5F0F">
        <w:rPr>
          <w:rFonts w:ascii="仿宋_GB2312" w:eastAsia="仿宋_GB2312" w:hint="eastAsia"/>
          <w:sz w:val="32"/>
          <w:szCs w:val="32"/>
          <w:lang w:val="en-US"/>
        </w:rPr>
        <w:t>深入开展重大事故隐患判定标准落地行动，</w:t>
      </w:r>
      <w:r w:rsidR="00F80E87">
        <w:rPr>
          <w:rFonts w:ascii="仿宋_GB2312" w:eastAsia="仿宋_GB2312" w:hint="eastAsia"/>
          <w:sz w:val="32"/>
          <w:szCs w:val="32"/>
          <w:lang w:val="en-US"/>
        </w:rPr>
        <w:t>结合公司</w:t>
      </w:r>
      <w:r w:rsidRPr="00EB5F0F">
        <w:rPr>
          <w:rFonts w:ascii="仿宋_GB2312" w:eastAsia="仿宋_GB2312" w:hint="eastAsia"/>
          <w:sz w:val="32"/>
          <w:szCs w:val="32"/>
          <w:lang w:val="en-US"/>
        </w:rPr>
        <w:t>实际情况，现就加强重大事故隐患判定标准学习宣传和贯彻实施工作通知如下</w:t>
      </w:r>
      <w:r w:rsidR="00234632">
        <w:rPr>
          <w:rFonts w:ascii="仿宋_GB2312" w:eastAsia="仿宋_GB2312" w:hint="eastAsia"/>
          <w:sz w:val="32"/>
          <w:szCs w:val="32"/>
          <w:lang w:val="en-US"/>
        </w:rPr>
        <w:t>：</w:t>
      </w:r>
    </w:p>
    <w:p w14:paraId="6E7FF11D" w14:textId="345A81A4" w:rsidR="00F24B27" w:rsidRDefault="00F24B27" w:rsidP="00BC3B9D">
      <w:pPr>
        <w:snapToGrid w:val="0"/>
        <w:spacing w:line="520" w:lineRule="exact"/>
        <w:ind w:firstLineChars="200" w:firstLine="640"/>
        <w:jc w:val="both"/>
        <w:rPr>
          <w:rFonts w:ascii="黑体" w:eastAsia="黑体" w:hAnsi="黑体"/>
          <w:sz w:val="32"/>
          <w:szCs w:val="32"/>
          <w:lang w:val="en-US"/>
        </w:rPr>
      </w:pPr>
      <w:r w:rsidRPr="00F24B27">
        <w:rPr>
          <w:rFonts w:ascii="黑体" w:eastAsia="黑体" w:hAnsi="黑体" w:hint="eastAsia"/>
          <w:sz w:val="32"/>
          <w:szCs w:val="32"/>
          <w:lang w:val="en-US"/>
        </w:rPr>
        <w:t>一、</w:t>
      </w:r>
      <w:r w:rsidR="00F80E87">
        <w:rPr>
          <w:rFonts w:ascii="黑体" w:eastAsia="黑体" w:hAnsi="黑体" w:hint="eastAsia"/>
          <w:sz w:val="32"/>
          <w:szCs w:val="32"/>
          <w:lang w:val="en-US"/>
        </w:rPr>
        <w:t>活动主题和时间</w:t>
      </w:r>
    </w:p>
    <w:p w14:paraId="28443FC4" w14:textId="4B0BBBE8" w:rsidR="008211FC" w:rsidRDefault="00F80E87" w:rsidP="00BC3B9D">
      <w:pPr>
        <w:snapToGrid w:val="0"/>
        <w:spacing w:line="520" w:lineRule="exact"/>
        <w:ind w:firstLineChars="200" w:firstLine="640"/>
        <w:jc w:val="both"/>
        <w:rPr>
          <w:rFonts w:ascii="楷体_GB2312" w:eastAsia="楷体_GB2312" w:hAnsi="黑体"/>
          <w:sz w:val="32"/>
          <w:szCs w:val="32"/>
          <w:lang w:val="en-US"/>
        </w:rPr>
      </w:pPr>
      <w:r w:rsidRPr="00F80E87">
        <w:rPr>
          <w:rFonts w:ascii="楷体_GB2312" w:eastAsia="楷体_GB2312" w:hAnsi="黑体" w:hint="eastAsia"/>
          <w:sz w:val="32"/>
          <w:szCs w:val="32"/>
          <w:lang w:val="en-US"/>
        </w:rPr>
        <w:t>活动主题：山东省安全生产治本攻坚三年行动实施方案活动</w:t>
      </w:r>
    </w:p>
    <w:p w14:paraId="6254D6A6" w14:textId="42A5F7BC" w:rsidR="00F80E87" w:rsidRDefault="00F80E87" w:rsidP="00BC3B9D">
      <w:pPr>
        <w:snapToGrid w:val="0"/>
        <w:spacing w:line="520" w:lineRule="exact"/>
        <w:ind w:firstLineChars="200" w:firstLine="640"/>
        <w:jc w:val="both"/>
        <w:rPr>
          <w:rFonts w:ascii="楷体_GB2312" w:eastAsia="楷体_GB2312" w:hAnsi="黑体"/>
          <w:sz w:val="32"/>
          <w:szCs w:val="32"/>
          <w:lang w:val="en-US"/>
        </w:rPr>
      </w:pPr>
      <w:r>
        <w:rPr>
          <w:rFonts w:ascii="楷体_GB2312" w:eastAsia="楷体_GB2312" w:hAnsi="黑体" w:hint="eastAsia"/>
          <w:sz w:val="32"/>
          <w:szCs w:val="32"/>
          <w:lang w:val="en-US"/>
        </w:rPr>
        <w:t>时间：2024年1月1日至2026年12月31日</w:t>
      </w:r>
    </w:p>
    <w:p w14:paraId="646600B1" w14:textId="0560F595" w:rsidR="00F80E87" w:rsidRDefault="00F80E87" w:rsidP="00BC3B9D">
      <w:pPr>
        <w:snapToGrid w:val="0"/>
        <w:spacing w:line="520" w:lineRule="exact"/>
        <w:ind w:firstLineChars="200" w:firstLine="640"/>
        <w:jc w:val="both"/>
        <w:rPr>
          <w:rFonts w:ascii="黑体" w:eastAsia="黑体" w:hAnsi="黑体"/>
          <w:sz w:val="32"/>
          <w:szCs w:val="32"/>
          <w:lang w:val="en-US"/>
        </w:rPr>
      </w:pPr>
      <w:r w:rsidRPr="00F80E87">
        <w:rPr>
          <w:rFonts w:ascii="黑体" w:eastAsia="黑体" w:hAnsi="黑体" w:hint="eastAsia"/>
          <w:sz w:val="32"/>
          <w:szCs w:val="32"/>
          <w:lang w:val="en-US"/>
        </w:rPr>
        <w:t>二、总体要求</w:t>
      </w:r>
    </w:p>
    <w:p w14:paraId="43EBA857" w14:textId="2639DC31" w:rsidR="00F80E87" w:rsidRDefault="00F80E87" w:rsidP="00BC3B9D">
      <w:pPr>
        <w:snapToGrid w:val="0"/>
        <w:spacing w:line="520" w:lineRule="exact"/>
        <w:ind w:firstLineChars="200" w:firstLine="640"/>
        <w:jc w:val="both"/>
        <w:rPr>
          <w:rFonts w:ascii="仿宋_GB2312" w:eastAsia="仿宋_GB2312" w:hAnsi="黑体"/>
          <w:sz w:val="32"/>
          <w:szCs w:val="32"/>
          <w:lang w:val="en-US"/>
        </w:rPr>
      </w:pPr>
      <w:r w:rsidRPr="00F80E87">
        <w:rPr>
          <w:rFonts w:ascii="仿宋_GB2312" w:eastAsia="仿宋_GB2312" w:hAnsi="黑体" w:hint="eastAsia"/>
          <w:sz w:val="32"/>
          <w:szCs w:val="32"/>
          <w:lang w:val="en-US"/>
        </w:rPr>
        <w:t>深入学习贯彻党的二十大精神和习近平新时代中国特色社会主义思想，坚持人民至上、生命至上，聚焦安全生产工作中存在的突出问题和薄弱环节，动员</w:t>
      </w:r>
      <w:r w:rsidR="000A46D7">
        <w:rPr>
          <w:rFonts w:ascii="仿宋_GB2312" w:eastAsia="仿宋_GB2312" w:hAnsi="黑体" w:hint="eastAsia"/>
          <w:sz w:val="32"/>
          <w:szCs w:val="32"/>
          <w:lang w:val="en-US"/>
        </w:rPr>
        <w:t>全体员工</w:t>
      </w:r>
      <w:r w:rsidRPr="00F80E87">
        <w:rPr>
          <w:rFonts w:ascii="仿宋_GB2312" w:eastAsia="仿宋_GB2312" w:hAnsi="黑体" w:hint="eastAsia"/>
          <w:sz w:val="32"/>
          <w:szCs w:val="32"/>
          <w:lang w:val="en-US"/>
        </w:rPr>
        <w:t>树牢安全红线意识，强化安全生产责任落实，切实提高风险隐患排查整改质量，提升发现问题和解决问题的强烈意愿和能力水平，增强全</w:t>
      </w:r>
      <w:r w:rsidR="000A46D7">
        <w:rPr>
          <w:rFonts w:ascii="仿宋_GB2312" w:eastAsia="仿宋_GB2312" w:hAnsi="黑体" w:hint="eastAsia"/>
          <w:sz w:val="32"/>
          <w:szCs w:val="32"/>
          <w:lang w:val="en-US"/>
        </w:rPr>
        <w:t>公司</w:t>
      </w:r>
      <w:r w:rsidRPr="00F80E87">
        <w:rPr>
          <w:rFonts w:ascii="仿宋_GB2312" w:eastAsia="仿宋_GB2312" w:hAnsi="黑体" w:hint="eastAsia"/>
          <w:sz w:val="32"/>
          <w:szCs w:val="32"/>
          <w:lang w:val="en-US"/>
        </w:rPr>
        <w:t>安全意识和避险逃生能力，坚决防范遏制各类事故发生。</w:t>
      </w:r>
    </w:p>
    <w:p w14:paraId="35F5F830" w14:textId="449A253B" w:rsidR="00F80E87" w:rsidRDefault="000A46D7" w:rsidP="00BC3B9D">
      <w:pPr>
        <w:snapToGrid w:val="0"/>
        <w:spacing w:line="520" w:lineRule="exact"/>
        <w:ind w:firstLineChars="200" w:firstLine="640"/>
        <w:jc w:val="both"/>
        <w:rPr>
          <w:rFonts w:ascii="黑体" w:eastAsia="黑体" w:hAnsi="黑体"/>
          <w:sz w:val="32"/>
          <w:szCs w:val="32"/>
          <w:lang w:val="en-US"/>
        </w:rPr>
      </w:pPr>
      <w:r>
        <w:rPr>
          <w:rFonts w:ascii="黑体" w:eastAsia="黑体" w:hAnsi="黑体" w:hint="eastAsia"/>
          <w:sz w:val="32"/>
          <w:szCs w:val="32"/>
          <w:lang w:val="en-US"/>
        </w:rPr>
        <w:t>三、主要工作任务</w:t>
      </w:r>
    </w:p>
    <w:p w14:paraId="71CFCF7E" w14:textId="11EC20C0" w:rsidR="000A46D7" w:rsidRDefault="000A46D7" w:rsidP="00BC3B9D">
      <w:pPr>
        <w:snapToGrid w:val="0"/>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（一）推动建立“两个清单”。</w:t>
      </w:r>
      <w:r>
        <w:rPr>
          <w:rFonts w:ascii="仿宋_GB2312" w:eastAsia="仿宋_GB2312" w:hAnsi="黑体" w:hint="eastAsia"/>
          <w:sz w:val="32"/>
          <w:szCs w:val="32"/>
          <w:lang w:val="en-US"/>
        </w:rPr>
        <w:t>工程物业部</w:t>
      </w:r>
      <w:r w:rsidRPr="000A46D7">
        <w:rPr>
          <w:rFonts w:ascii="仿宋_GB2312" w:eastAsia="仿宋_GB2312" w:hAnsi="黑体" w:hint="eastAsia"/>
          <w:sz w:val="32"/>
          <w:szCs w:val="32"/>
          <w:lang w:val="en-US"/>
        </w:rPr>
        <w:t>依据</w:t>
      </w:r>
      <w:r w:rsidR="002F65B4" w:rsidRPr="002F65B4">
        <w:rPr>
          <w:rFonts w:ascii="仿宋_GB2312" w:eastAsia="仿宋_GB2312" w:hAnsi="黑体" w:hint="eastAsia"/>
          <w:sz w:val="32"/>
          <w:szCs w:val="32"/>
          <w:lang w:val="en-US"/>
        </w:rPr>
        <w:t>省政府安委会办公室编印的《重大事故隐患判定标准汇编》</w:t>
      </w:r>
      <w:r w:rsidRPr="000A46D7">
        <w:rPr>
          <w:rFonts w:ascii="仿宋_GB2312" w:eastAsia="仿宋_GB2312" w:hAnsi="黑体" w:hint="eastAsia"/>
          <w:sz w:val="32"/>
          <w:szCs w:val="32"/>
          <w:lang w:val="en-US"/>
        </w:rPr>
        <w:t>，研究制定重大事故隐患检查重点事项清单，明确检查对象、检查内容、检查频次等，推进照单检查。要指导和督促</w:t>
      </w:r>
      <w:r>
        <w:rPr>
          <w:rFonts w:ascii="仿宋_GB2312" w:eastAsia="仿宋_GB2312" w:hAnsi="黑体" w:hint="eastAsia"/>
          <w:sz w:val="32"/>
          <w:szCs w:val="32"/>
          <w:lang w:val="en-US"/>
        </w:rPr>
        <w:t>各部门、各</w:t>
      </w:r>
      <w:r w:rsidR="002F65B4">
        <w:rPr>
          <w:rFonts w:ascii="仿宋_GB2312" w:eastAsia="仿宋_GB2312" w:hAnsi="黑体" w:hint="eastAsia"/>
          <w:sz w:val="32"/>
          <w:szCs w:val="32"/>
          <w:lang w:val="en-US"/>
        </w:rPr>
        <w:t>店铺</w:t>
      </w:r>
      <w:r w:rsidRPr="000A46D7">
        <w:rPr>
          <w:rFonts w:ascii="仿宋_GB2312" w:eastAsia="仿宋_GB2312" w:hAnsi="黑体" w:hint="eastAsia"/>
          <w:sz w:val="32"/>
          <w:szCs w:val="32"/>
          <w:lang w:val="en-US"/>
        </w:rPr>
        <w:t>对照重大事</w:t>
      </w:r>
      <w:r w:rsidRPr="000A46D7">
        <w:rPr>
          <w:rFonts w:ascii="仿宋_GB2312" w:eastAsia="仿宋_GB2312" w:hAnsi="黑体" w:hint="eastAsia"/>
          <w:sz w:val="32"/>
          <w:szCs w:val="32"/>
          <w:lang w:val="en-US"/>
        </w:rPr>
        <w:lastRenderedPageBreak/>
        <w:t>故隐患判定标准，研究制定</w:t>
      </w:r>
      <w:r>
        <w:rPr>
          <w:rFonts w:ascii="仿宋_GB2312" w:eastAsia="仿宋_GB2312" w:hAnsi="黑体" w:hint="eastAsia"/>
          <w:sz w:val="32"/>
          <w:szCs w:val="32"/>
          <w:lang w:val="en-US"/>
        </w:rPr>
        <w:t>自己的</w:t>
      </w:r>
      <w:r w:rsidRPr="000A46D7">
        <w:rPr>
          <w:rFonts w:ascii="仿宋_GB2312" w:eastAsia="仿宋_GB2312" w:hAnsi="黑体" w:hint="eastAsia"/>
          <w:sz w:val="32"/>
          <w:szCs w:val="32"/>
          <w:lang w:val="en-US"/>
        </w:rPr>
        <w:t>重大事故隐患重点排查事项清单，明确排查的重点区域、场所、装置、岗位等以及相应的治理措施，并逐一明确排查责任人员，确保重大事故隐患早发现、早治理，把事故消灭在萌芽状态。</w:t>
      </w:r>
    </w:p>
    <w:p w14:paraId="62CE6B77" w14:textId="6F81FF94" w:rsidR="000A46D7" w:rsidRDefault="000A46D7" w:rsidP="00BC3B9D">
      <w:pPr>
        <w:snapToGrid w:val="0"/>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（二）</w:t>
      </w:r>
      <w:r w:rsidR="003150A1" w:rsidRPr="00234632">
        <w:rPr>
          <w:rFonts w:ascii="楷体_GB2312" w:eastAsia="楷体_GB2312" w:hAnsi="黑体" w:hint="eastAsia"/>
          <w:sz w:val="32"/>
          <w:szCs w:val="32"/>
          <w:lang w:val="en-US"/>
        </w:rPr>
        <w:t>开展专家解读。</w:t>
      </w:r>
      <w:r w:rsidR="003150A1">
        <w:rPr>
          <w:rFonts w:ascii="仿宋_GB2312" w:eastAsia="仿宋_GB2312" w:hAnsi="黑体" w:hint="eastAsia"/>
          <w:sz w:val="32"/>
          <w:szCs w:val="32"/>
          <w:lang w:val="en-US"/>
        </w:rPr>
        <w:t>公司组织</w:t>
      </w:r>
      <w:r w:rsidR="003150A1" w:rsidRPr="003150A1">
        <w:rPr>
          <w:rFonts w:ascii="仿宋_GB2312" w:eastAsia="仿宋_GB2312" w:hAnsi="黑体" w:hint="eastAsia"/>
          <w:sz w:val="32"/>
          <w:szCs w:val="32"/>
          <w:lang w:val="en-US"/>
        </w:rPr>
        <w:t>有关专家</w:t>
      </w:r>
      <w:r w:rsidR="003150A1">
        <w:rPr>
          <w:rFonts w:ascii="仿宋_GB2312" w:eastAsia="仿宋_GB2312" w:hAnsi="黑体" w:hint="eastAsia"/>
          <w:sz w:val="32"/>
          <w:szCs w:val="32"/>
          <w:lang w:val="en-US"/>
        </w:rPr>
        <w:t>开展</w:t>
      </w:r>
      <w:r w:rsidR="003150A1" w:rsidRPr="003150A1">
        <w:rPr>
          <w:rFonts w:ascii="仿宋_GB2312" w:eastAsia="仿宋_GB2312" w:hAnsi="黑体" w:hint="eastAsia"/>
          <w:sz w:val="32"/>
          <w:szCs w:val="32"/>
          <w:lang w:val="en-US"/>
        </w:rPr>
        <w:t>重大事故隐患判定标准解读</w:t>
      </w:r>
      <w:r w:rsidR="003150A1">
        <w:rPr>
          <w:rFonts w:ascii="仿宋_GB2312" w:eastAsia="仿宋_GB2312" w:hAnsi="黑体" w:hint="eastAsia"/>
          <w:sz w:val="32"/>
          <w:szCs w:val="32"/>
          <w:lang w:val="en-US"/>
        </w:rPr>
        <w:t>培训</w:t>
      </w:r>
      <w:r w:rsidR="003150A1" w:rsidRPr="003150A1">
        <w:rPr>
          <w:rFonts w:ascii="仿宋_GB2312" w:eastAsia="仿宋_GB2312" w:hAnsi="黑体" w:hint="eastAsia"/>
          <w:sz w:val="32"/>
          <w:szCs w:val="32"/>
          <w:lang w:val="en-US"/>
        </w:rPr>
        <w:t>，解析重大事故隐患的判定标准内容、容易产生的危害后果以及整改达标要求。同时利用</w:t>
      </w:r>
      <w:r w:rsidR="003150A1">
        <w:rPr>
          <w:rFonts w:ascii="仿宋_GB2312" w:eastAsia="仿宋_GB2312" w:hAnsi="黑体" w:hint="eastAsia"/>
          <w:sz w:val="32"/>
          <w:szCs w:val="32"/>
          <w:lang w:val="en-US"/>
        </w:rPr>
        <w:t>抖音短视频</w:t>
      </w:r>
      <w:r w:rsidR="003150A1" w:rsidRPr="003150A1">
        <w:rPr>
          <w:rFonts w:ascii="仿宋_GB2312" w:eastAsia="仿宋_GB2312" w:hAnsi="黑体" w:hint="eastAsia"/>
          <w:sz w:val="32"/>
          <w:szCs w:val="32"/>
          <w:lang w:val="en-US"/>
        </w:rPr>
        <w:t>、微信公众号等平台，广泛组织</w:t>
      </w:r>
      <w:r w:rsidR="003150A1">
        <w:rPr>
          <w:rFonts w:ascii="仿宋_GB2312" w:eastAsia="仿宋_GB2312" w:hAnsi="黑体" w:hint="eastAsia"/>
          <w:sz w:val="32"/>
          <w:szCs w:val="32"/>
          <w:lang w:val="en-US"/>
        </w:rPr>
        <w:t>各部门、各</w:t>
      </w:r>
      <w:r w:rsidR="002F65B4">
        <w:rPr>
          <w:rFonts w:ascii="仿宋_GB2312" w:eastAsia="仿宋_GB2312" w:hAnsi="黑体" w:hint="eastAsia"/>
          <w:sz w:val="32"/>
          <w:szCs w:val="32"/>
          <w:lang w:val="en-US"/>
        </w:rPr>
        <w:t>店铺</w:t>
      </w:r>
      <w:r w:rsidR="003150A1">
        <w:rPr>
          <w:rFonts w:ascii="仿宋_GB2312" w:eastAsia="仿宋_GB2312" w:hAnsi="黑体" w:hint="eastAsia"/>
          <w:sz w:val="32"/>
          <w:szCs w:val="32"/>
          <w:lang w:val="en-US"/>
        </w:rPr>
        <w:t>员工</w:t>
      </w:r>
      <w:r w:rsidR="003150A1" w:rsidRPr="003150A1">
        <w:rPr>
          <w:rFonts w:ascii="仿宋_GB2312" w:eastAsia="仿宋_GB2312" w:hAnsi="黑体" w:hint="eastAsia"/>
          <w:sz w:val="32"/>
          <w:szCs w:val="32"/>
          <w:lang w:val="en-US"/>
        </w:rPr>
        <w:t>对重大事故隐患判定标准进行全面系统学习，促使学深悟透，做到熟练掌握和运用</w:t>
      </w:r>
      <w:r w:rsidR="003150A1">
        <w:rPr>
          <w:rFonts w:ascii="仿宋_GB2312" w:eastAsia="仿宋_GB2312" w:hAnsi="黑体" w:hint="eastAsia"/>
          <w:sz w:val="32"/>
          <w:szCs w:val="32"/>
          <w:lang w:val="en-US"/>
        </w:rPr>
        <w:t>。</w:t>
      </w:r>
    </w:p>
    <w:p w14:paraId="25061C93" w14:textId="63CBA674" w:rsidR="003150A1" w:rsidRDefault="003150A1" w:rsidP="00BC3B9D">
      <w:pPr>
        <w:snapToGrid w:val="0"/>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（三）推动落实“五个必须”。</w:t>
      </w:r>
      <w:r w:rsidRPr="003150A1">
        <w:rPr>
          <w:rFonts w:ascii="仿宋_GB2312" w:eastAsia="仿宋_GB2312" w:hAnsi="黑体" w:hint="eastAsia"/>
          <w:sz w:val="32"/>
          <w:szCs w:val="32"/>
          <w:lang w:val="en-US"/>
        </w:rPr>
        <w:t>重大事故隐患判定标准纳入“开工第一课”必学内容，由</w:t>
      </w:r>
      <w:r>
        <w:rPr>
          <w:rFonts w:ascii="仿宋_GB2312" w:eastAsia="仿宋_GB2312" w:hAnsi="黑体" w:hint="eastAsia"/>
          <w:sz w:val="32"/>
          <w:szCs w:val="32"/>
          <w:lang w:val="en-US"/>
        </w:rPr>
        <w:t>爱琴海公司</w:t>
      </w:r>
      <w:r w:rsidRPr="003150A1">
        <w:rPr>
          <w:rFonts w:ascii="仿宋_GB2312" w:eastAsia="仿宋_GB2312" w:hAnsi="黑体" w:hint="eastAsia"/>
          <w:sz w:val="32"/>
          <w:szCs w:val="32"/>
          <w:lang w:val="en-US"/>
        </w:rPr>
        <w:t>主要负责人上好第一课，讲授重大事故隐患判定标准学习重点、注意事项和运用要求等内容，形成以上率下、全员参与的学习氛围。要将重大事故隐患判定标准纳入全员安全生产培训必学内容，督促从业人员特别是一线员工、危险作业人员、劳务派遣和灵活用工人员、外包施工人员深入学习，提高重大事故隐患辨识、排查能力。要将重大事故隐患判定标准纳入</w:t>
      </w:r>
      <w:r>
        <w:rPr>
          <w:rFonts w:ascii="仿宋_GB2312" w:eastAsia="仿宋_GB2312" w:hAnsi="黑体" w:hint="eastAsia"/>
          <w:sz w:val="32"/>
          <w:szCs w:val="32"/>
          <w:lang w:val="en-US"/>
        </w:rPr>
        <w:t>每日</w:t>
      </w:r>
      <w:r w:rsidRPr="003150A1">
        <w:rPr>
          <w:rFonts w:ascii="仿宋_GB2312" w:eastAsia="仿宋_GB2312" w:hAnsi="黑体" w:hint="eastAsia"/>
          <w:sz w:val="32"/>
          <w:szCs w:val="32"/>
          <w:lang w:val="en-US"/>
        </w:rPr>
        <w:t>“晨会”必学内容，</w:t>
      </w:r>
      <w:r>
        <w:rPr>
          <w:rFonts w:ascii="仿宋_GB2312" w:eastAsia="仿宋_GB2312" w:hAnsi="黑体" w:hint="eastAsia"/>
          <w:sz w:val="32"/>
          <w:szCs w:val="32"/>
          <w:lang w:val="en-US"/>
        </w:rPr>
        <w:t>各部门、各</w:t>
      </w:r>
      <w:r w:rsidRPr="003150A1">
        <w:rPr>
          <w:rFonts w:ascii="仿宋_GB2312" w:eastAsia="仿宋_GB2312" w:hAnsi="黑体" w:hint="eastAsia"/>
          <w:sz w:val="32"/>
          <w:szCs w:val="32"/>
          <w:lang w:val="en-US"/>
        </w:rPr>
        <w:t>生产经营一线，要利用晨会对可能涉及的重大事故隐患的相关判定内容进行学习，看紧盯牢容易产生重大事故隐患的</w:t>
      </w:r>
      <w:r>
        <w:rPr>
          <w:rFonts w:ascii="仿宋_GB2312" w:eastAsia="仿宋_GB2312" w:hAnsi="黑体" w:hint="eastAsia"/>
          <w:sz w:val="32"/>
          <w:szCs w:val="32"/>
          <w:lang w:val="en-US"/>
        </w:rPr>
        <w:t>重点区域</w:t>
      </w:r>
      <w:r w:rsidRPr="003150A1">
        <w:rPr>
          <w:rFonts w:ascii="仿宋_GB2312" w:eastAsia="仿宋_GB2312" w:hAnsi="黑体" w:hint="eastAsia"/>
          <w:sz w:val="32"/>
          <w:szCs w:val="32"/>
          <w:lang w:val="en-US"/>
        </w:rPr>
        <w:t>、重要环节、重要岗位。要将重大事故隐患判定标准纳入安全生产警示教育必学内容，开展安全生产警示教育时，学习重大事故隐患判定标准不落实的反面事故典型案例，深刻吸取事故教训，举一反三，防范同类事故重复发生。重大事故隐患判定标准纳入“安全生产月”必学内容，推动判定标准上墙，通过电子屏、公示栏、微信公众号等开展滚动宣传，促使从业人员触目可见，营造浓厚的宣传氛围。要采取竞赛、技能比武等方式，组织</w:t>
      </w:r>
      <w:r w:rsidR="0046557E">
        <w:rPr>
          <w:rFonts w:ascii="仿宋_GB2312" w:eastAsia="仿宋_GB2312" w:hAnsi="黑体" w:hint="eastAsia"/>
          <w:sz w:val="32"/>
          <w:szCs w:val="32"/>
          <w:lang w:val="en-US"/>
        </w:rPr>
        <w:t>公司全体员工</w:t>
      </w:r>
      <w:r w:rsidRPr="003150A1">
        <w:rPr>
          <w:rFonts w:ascii="仿宋_GB2312" w:eastAsia="仿宋_GB2312" w:hAnsi="黑体" w:hint="eastAsia"/>
          <w:sz w:val="32"/>
          <w:szCs w:val="32"/>
          <w:lang w:val="en-US"/>
        </w:rPr>
        <w:t>深入开展学习，提高重大事故隐患有效判定、精准辨识和全面排查能力。</w:t>
      </w:r>
    </w:p>
    <w:p w14:paraId="6E2A4029" w14:textId="77777777" w:rsidR="0046557E" w:rsidRDefault="0046557E" w:rsidP="00BC3B9D">
      <w:pPr>
        <w:snapToGrid w:val="0"/>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lastRenderedPageBreak/>
        <w:t>（四）组织举办安全生产普法知识竞赛。</w:t>
      </w:r>
      <w:r w:rsidRPr="0046557E">
        <w:rPr>
          <w:rFonts w:ascii="仿宋_GB2312" w:eastAsia="仿宋_GB2312" w:hAnsi="黑体" w:hint="eastAsia"/>
          <w:sz w:val="32"/>
          <w:szCs w:val="32"/>
          <w:lang w:val="en-US"/>
        </w:rPr>
        <w:t>坚持以练代训、以赛促学，</w:t>
      </w:r>
      <w:r>
        <w:rPr>
          <w:rFonts w:ascii="仿宋_GB2312" w:eastAsia="仿宋_GB2312" w:hAnsi="黑体" w:hint="eastAsia"/>
          <w:sz w:val="32"/>
          <w:szCs w:val="32"/>
          <w:lang w:val="en-US"/>
        </w:rPr>
        <w:t>公司</w:t>
      </w:r>
      <w:r w:rsidRPr="0046557E">
        <w:rPr>
          <w:rFonts w:ascii="仿宋_GB2312" w:eastAsia="仿宋_GB2312" w:hAnsi="黑体" w:hint="eastAsia"/>
          <w:sz w:val="32"/>
          <w:szCs w:val="32"/>
          <w:lang w:val="en-US"/>
        </w:rPr>
        <w:t>安委会组织举办</w:t>
      </w:r>
      <w:r>
        <w:rPr>
          <w:rFonts w:ascii="仿宋_GB2312" w:eastAsia="仿宋_GB2312" w:hAnsi="黑体" w:hint="eastAsia"/>
          <w:sz w:val="32"/>
          <w:szCs w:val="32"/>
          <w:lang w:val="en-US"/>
        </w:rPr>
        <w:t>公司</w:t>
      </w:r>
      <w:r w:rsidRPr="0046557E">
        <w:rPr>
          <w:rFonts w:ascii="仿宋_GB2312" w:eastAsia="仿宋_GB2312" w:hAnsi="黑体" w:hint="eastAsia"/>
          <w:sz w:val="32"/>
          <w:szCs w:val="32"/>
          <w:lang w:val="en-US"/>
        </w:rPr>
        <w:t>安全生产普法知识竞赛，围绕企业主体责任落实和重大事故隐患判定标准贯彻实施，广泛发动</w:t>
      </w:r>
      <w:r>
        <w:rPr>
          <w:rFonts w:ascii="仿宋_GB2312" w:eastAsia="仿宋_GB2312" w:hAnsi="黑体" w:hint="eastAsia"/>
          <w:sz w:val="32"/>
          <w:szCs w:val="32"/>
          <w:lang w:val="en-US"/>
        </w:rPr>
        <w:t>全体员工</w:t>
      </w:r>
      <w:r w:rsidRPr="0046557E">
        <w:rPr>
          <w:rFonts w:ascii="仿宋_GB2312" w:eastAsia="仿宋_GB2312" w:hAnsi="黑体" w:hint="eastAsia"/>
          <w:sz w:val="32"/>
          <w:szCs w:val="32"/>
          <w:lang w:val="en-US"/>
        </w:rPr>
        <w:t>参与答题，切实提</w:t>
      </w:r>
      <w:r>
        <w:rPr>
          <w:rFonts w:ascii="仿宋_GB2312" w:eastAsia="仿宋_GB2312" w:hAnsi="黑体" w:hint="eastAsia"/>
          <w:sz w:val="32"/>
          <w:szCs w:val="32"/>
          <w:lang w:val="en-US"/>
        </w:rPr>
        <w:t>公司整体</w:t>
      </w:r>
      <w:r w:rsidRPr="0046557E">
        <w:rPr>
          <w:rFonts w:ascii="仿宋_GB2312" w:eastAsia="仿宋_GB2312" w:hAnsi="黑体" w:hint="eastAsia"/>
          <w:sz w:val="32"/>
          <w:szCs w:val="32"/>
          <w:lang w:val="en-US"/>
        </w:rPr>
        <w:t>法治意识和重大事故隐患判定实操技能。</w:t>
      </w:r>
    </w:p>
    <w:p w14:paraId="2785BCDC" w14:textId="2E8EB30E" w:rsidR="0046557E" w:rsidRPr="0046557E" w:rsidRDefault="0046557E" w:rsidP="00BC3B9D">
      <w:pPr>
        <w:snapToGrid w:val="0"/>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（五）常态化开展监督检查。</w:t>
      </w:r>
      <w:r>
        <w:rPr>
          <w:rFonts w:ascii="仿宋_GB2312" w:eastAsia="仿宋_GB2312" w:hAnsi="黑体" w:hint="eastAsia"/>
          <w:sz w:val="32"/>
          <w:szCs w:val="32"/>
          <w:lang w:val="en-US"/>
        </w:rPr>
        <w:t>公司安委会</w:t>
      </w:r>
      <w:r w:rsidRPr="0046557E">
        <w:rPr>
          <w:rFonts w:ascii="仿宋_GB2312" w:eastAsia="仿宋_GB2312" w:hAnsi="黑体" w:hint="eastAsia"/>
          <w:sz w:val="32"/>
          <w:szCs w:val="32"/>
          <w:lang w:val="en-US"/>
        </w:rPr>
        <w:t>将重大事故隐患判定标准贯彻落实情况纳入年度安全生产监督检查计划，开展日常检查时，对一线</w:t>
      </w:r>
      <w:r>
        <w:rPr>
          <w:rFonts w:ascii="仿宋_GB2312" w:eastAsia="仿宋_GB2312" w:hAnsi="黑体" w:hint="eastAsia"/>
          <w:sz w:val="32"/>
          <w:szCs w:val="32"/>
          <w:lang w:val="en-US"/>
        </w:rPr>
        <w:t>员工</w:t>
      </w:r>
      <w:r w:rsidRPr="0046557E">
        <w:rPr>
          <w:rFonts w:ascii="仿宋_GB2312" w:eastAsia="仿宋_GB2312" w:hAnsi="黑体" w:hint="eastAsia"/>
          <w:sz w:val="32"/>
          <w:szCs w:val="32"/>
          <w:lang w:val="en-US"/>
        </w:rPr>
        <w:t>进行现场询问、现场测试，抽查学习掌握情况，检查标准贯彻落实成效。要聚焦重要时期、关键时段和重点企业，采取“四不两直”的方式开展暗访检查，并跟进抓好问题整改，形成闭环管理。</w:t>
      </w:r>
    </w:p>
    <w:p w14:paraId="4E27D957" w14:textId="2A1C37EC" w:rsidR="0046557E" w:rsidRDefault="0046557E" w:rsidP="00BC3B9D">
      <w:pPr>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（六）发挥典型示范引领作用。</w:t>
      </w:r>
      <w:r w:rsidRPr="0046557E">
        <w:rPr>
          <w:rFonts w:ascii="仿宋_GB2312" w:eastAsia="仿宋_GB2312" w:hAnsi="黑体" w:hint="eastAsia"/>
          <w:sz w:val="32"/>
          <w:szCs w:val="32"/>
          <w:lang w:val="en-US"/>
        </w:rPr>
        <w:t>充分利用电视、广播、报刊、网络以及微博、微信、抖音等媒体平台，采取多种形式对重大事故隐患判定标准进行广泛宣传报道，深入发现、挖掘典型案例，及时总结、推广好经验好做法</w:t>
      </w:r>
      <w:r>
        <w:rPr>
          <w:rFonts w:ascii="仿宋_GB2312" w:eastAsia="仿宋_GB2312" w:hAnsi="黑体" w:hint="eastAsia"/>
          <w:sz w:val="32"/>
          <w:szCs w:val="32"/>
          <w:lang w:val="en-US"/>
        </w:rPr>
        <w:t>。</w:t>
      </w:r>
    </w:p>
    <w:p w14:paraId="0D03F795" w14:textId="6FAA7DC5" w:rsidR="0046557E" w:rsidRDefault="0046557E" w:rsidP="00BC3B9D">
      <w:pPr>
        <w:spacing w:line="520" w:lineRule="exact"/>
        <w:ind w:firstLineChars="200" w:firstLine="640"/>
        <w:jc w:val="both"/>
        <w:rPr>
          <w:rFonts w:ascii="黑体" w:eastAsia="黑体" w:hAnsi="黑体"/>
          <w:sz w:val="32"/>
          <w:szCs w:val="32"/>
          <w:lang w:val="en-US"/>
        </w:rPr>
      </w:pPr>
      <w:r w:rsidRPr="0046557E">
        <w:rPr>
          <w:rFonts w:ascii="黑体" w:eastAsia="黑体" w:hAnsi="黑体" w:hint="eastAsia"/>
          <w:sz w:val="32"/>
          <w:szCs w:val="32"/>
          <w:lang w:val="en-US"/>
        </w:rPr>
        <w:t>四、抓好重大事故隐患判定标准宣贯的组织实施工作</w:t>
      </w:r>
    </w:p>
    <w:p w14:paraId="5D9FE35E" w14:textId="35A39666" w:rsidR="0046557E" w:rsidRPr="0046557E" w:rsidRDefault="0046557E" w:rsidP="00BC3B9D">
      <w:pPr>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（一）加强组织领导</w:t>
      </w:r>
      <w:r w:rsidRPr="0046557E">
        <w:rPr>
          <w:rFonts w:ascii="仿宋_GB2312" w:eastAsia="仿宋_GB2312" w:hAnsi="黑体" w:hint="eastAsia"/>
          <w:sz w:val="32"/>
          <w:szCs w:val="32"/>
          <w:lang w:val="en-US"/>
        </w:rPr>
        <w:t>。各部门</w:t>
      </w:r>
      <w:r>
        <w:rPr>
          <w:rFonts w:ascii="仿宋_GB2312" w:eastAsia="仿宋_GB2312" w:hAnsi="黑体" w:hint="eastAsia"/>
          <w:sz w:val="32"/>
          <w:szCs w:val="32"/>
          <w:lang w:val="en-US"/>
        </w:rPr>
        <w:t>、各</w:t>
      </w:r>
      <w:r w:rsidR="002F65B4">
        <w:rPr>
          <w:rFonts w:ascii="仿宋_GB2312" w:eastAsia="仿宋_GB2312" w:hAnsi="黑体" w:hint="eastAsia"/>
          <w:sz w:val="32"/>
          <w:szCs w:val="32"/>
          <w:lang w:val="en-US"/>
        </w:rPr>
        <w:t>店铺</w:t>
      </w:r>
      <w:r w:rsidRPr="0046557E">
        <w:rPr>
          <w:rFonts w:ascii="仿宋_GB2312" w:eastAsia="仿宋_GB2312" w:hAnsi="黑体" w:hint="eastAsia"/>
          <w:sz w:val="32"/>
          <w:szCs w:val="32"/>
          <w:lang w:val="en-US"/>
        </w:rPr>
        <w:t>要高度重视重大事故隐患判定标准宣贯工作，精心组织，周密部署，把标准宣贯活动谋划好、组织好、落实好。要深入学习省政府安委会办公室编印的《重大事故隐患判定标准汇编》，对本行业领域的判定标准要按照“谁检查谁普法”责任制要求，坚持“凡检查必宣讲”，将重大事故隐患判定标准与安全检查责任制深度结合，把安全检查变成普法过程，引导对标贯彻实施，自觉落实安全生产措施、完善安全生产条件、消除事故隐患。</w:t>
      </w:r>
    </w:p>
    <w:p w14:paraId="4D3E1D03" w14:textId="69ECB928" w:rsidR="0046557E" w:rsidRPr="0046557E" w:rsidRDefault="0046557E" w:rsidP="00BC3B9D">
      <w:pPr>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（二）完善责任措施。</w:t>
      </w:r>
      <w:r w:rsidRPr="0046557E">
        <w:rPr>
          <w:rFonts w:ascii="仿宋_GB2312" w:eastAsia="仿宋_GB2312" w:hAnsi="黑体" w:hint="eastAsia"/>
          <w:sz w:val="32"/>
          <w:szCs w:val="32"/>
          <w:lang w:val="en-US"/>
        </w:rPr>
        <w:t>各部门要结合各自实际研究制定具体宣贯工作方案，明确责任、细化措施，推动重大事故隐患判定标准宣贯工作深入开展。要广泛采取线上线下相结合、引进来与走</w:t>
      </w:r>
      <w:r w:rsidRPr="0046557E">
        <w:rPr>
          <w:rFonts w:ascii="仿宋_GB2312" w:eastAsia="仿宋_GB2312" w:hAnsi="黑体" w:hint="eastAsia"/>
          <w:sz w:val="32"/>
          <w:szCs w:val="32"/>
          <w:lang w:val="en-US"/>
        </w:rPr>
        <w:lastRenderedPageBreak/>
        <w:t>出去相结合等多种形式，在强化学习宣贯的基础上，注重学习效果检验测试，持续巩固学习成效。要主动创新工作思路、丰富宣贯形式，引导督促广大企业加强对重大事故隐患判定标准的学习和运用，树牢“视隐患为事故”的理念，有效提升事故隐患排查治理能力。</w:t>
      </w:r>
    </w:p>
    <w:p w14:paraId="150A4990" w14:textId="3377FF3F" w:rsidR="0046557E" w:rsidRPr="0046557E" w:rsidRDefault="0046557E" w:rsidP="00BC3B9D">
      <w:pPr>
        <w:spacing w:line="520" w:lineRule="exact"/>
        <w:ind w:firstLineChars="200" w:firstLine="640"/>
        <w:jc w:val="both"/>
        <w:rPr>
          <w:rFonts w:ascii="仿宋_GB2312" w:eastAsia="仿宋_GB2312" w:hAnsi="黑体"/>
          <w:sz w:val="32"/>
          <w:szCs w:val="32"/>
          <w:lang w:val="en-US"/>
        </w:rPr>
      </w:pPr>
      <w:r w:rsidRPr="00234632">
        <w:rPr>
          <w:rFonts w:ascii="楷体_GB2312" w:eastAsia="楷体_GB2312" w:hAnsi="黑体" w:hint="eastAsia"/>
          <w:sz w:val="32"/>
          <w:szCs w:val="32"/>
          <w:lang w:val="en-US"/>
        </w:rPr>
        <w:t>（三）强化督促指导。</w:t>
      </w:r>
      <w:r w:rsidRPr="0046557E">
        <w:rPr>
          <w:rFonts w:ascii="仿宋_GB2312" w:eastAsia="仿宋_GB2312" w:hAnsi="黑体" w:hint="eastAsia"/>
          <w:sz w:val="32"/>
          <w:szCs w:val="32"/>
          <w:lang w:val="en-US"/>
        </w:rPr>
        <w:t>各部门要聚焦企业安全生产主体责任落实，扎实推进重大事故隐患判定标准贯彻实施，切实提升发现问题解决问题的强烈意愿和能力水平。要通过开展常态化监督检查，认真总结重大事故隐患判定标准宣贯的经验做法，及时发现问题短板，抓好改进提升，确保重大事故隐患判定标准落实落地。</w:t>
      </w:r>
      <w:r w:rsidR="00234632">
        <w:rPr>
          <w:rFonts w:ascii="仿宋_GB2312" w:eastAsia="仿宋_GB2312" w:hAnsi="黑体" w:hint="eastAsia"/>
          <w:sz w:val="32"/>
          <w:szCs w:val="32"/>
          <w:lang w:val="en-US"/>
        </w:rPr>
        <w:t>公司各</w:t>
      </w:r>
      <w:r w:rsidRPr="0046557E">
        <w:rPr>
          <w:rFonts w:ascii="仿宋_GB2312" w:eastAsia="仿宋_GB2312" w:hAnsi="黑体" w:hint="eastAsia"/>
          <w:sz w:val="32"/>
          <w:szCs w:val="32"/>
          <w:lang w:val="en-US"/>
        </w:rPr>
        <w:t>部门、</w:t>
      </w:r>
      <w:r w:rsidR="00234632">
        <w:rPr>
          <w:rFonts w:ascii="仿宋_GB2312" w:eastAsia="仿宋_GB2312" w:hAnsi="黑体" w:hint="eastAsia"/>
          <w:sz w:val="32"/>
          <w:szCs w:val="32"/>
          <w:lang w:val="en-US"/>
        </w:rPr>
        <w:t>各网格、各</w:t>
      </w:r>
      <w:r w:rsidR="002F65B4">
        <w:rPr>
          <w:rFonts w:ascii="仿宋_GB2312" w:eastAsia="仿宋_GB2312" w:hAnsi="黑体" w:hint="eastAsia"/>
          <w:sz w:val="32"/>
          <w:szCs w:val="32"/>
          <w:lang w:val="en-US"/>
        </w:rPr>
        <w:t>店铺</w:t>
      </w:r>
      <w:r w:rsidRPr="0046557E">
        <w:rPr>
          <w:rFonts w:ascii="仿宋_GB2312" w:eastAsia="仿宋_GB2312" w:hAnsi="黑体" w:hint="eastAsia"/>
          <w:sz w:val="32"/>
          <w:szCs w:val="32"/>
          <w:lang w:val="en-US"/>
        </w:rPr>
        <w:t>开展重大事故隐患判定标准学习宣传和贯彻实施情况请于</w:t>
      </w:r>
      <w:r w:rsidR="00234632">
        <w:rPr>
          <w:rFonts w:ascii="仿宋_GB2312" w:eastAsia="仿宋_GB2312" w:hAnsi="黑体" w:hint="eastAsia"/>
          <w:sz w:val="32"/>
          <w:szCs w:val="32"/>
          <w:lang w:val="en-US"/>
        </w:rPr>
        <w:t>2024</w:t>
      </w:r>
      <w:r w:rsidRPr="0046557E">
        <w:rPr>
          <w:rFonts w:ascii="仿宋_GB2312" w:eastAsia="仿宋_GB2312" w:hAnsi="黑体" w:hint="eastAsia"/>
          <w:sz w:val="32"/>
          <w:szCs w:val="32"/>
          <w:lang w:val="en-US"/>
        </w:rPr>
        <w:t>年1</w:t>
      </w:r>
      <w:r w:rsidR="00234632">
        <w:rPr>
          <w:rFonts w:ascii="仿宋_GB2312" w:eastAsia="仿宋_GB2312" w:hAnsi="黑体" w:hint="eastAsia"/>
          <w:sz w:val="32"/>
          <w:szCs w:val="32"/>
          <w:lang w:val="en-US"/>
        </w:rPr>
        <w:t>0</w:t>
      </w:r>
      <w:r w:rsidRPr="0046557E">
        <w:rPr>
          <w:rFonts w:ascii="仿宋_GB2312" w:eastAsia="仿宋_GB2312" w:hAnsi="黑体" w:hint="eastAsia"/>
          <w:sz w:val="32"/>
          <w:szCs w:val="32"/>
          <w:lang w:val="en-US"/>
        </w:rPr>
        <w:t>月底前报送至</w:t>
      </w:r>
      <w:r w:rsidR="00234632">
        <w:rPr>
          <w:rFonts w:ascii="仿宋_GB2312" w:eastAsia="仿宋_GB2312" w:hAnsi="黑体" w:hint="eastAsia"/>
          <w:sz w:val="32"/>
          <w:szCs w:val="32"/>
          <w:lang w:val="en-US"/>
        </w:rPr>
        <w:t>爱琴海公司安全生产管理</w:t>
      </w:r>
      <w:r w:rsidRPr="0046557E">
        <w:rPr>
          <w:rFonts w:ascii="仿宋_GB2312" w:eastAsia="仿宋_GB2312" w:hAnsi="黑体" w:hint="eastAsia"/>
          <w:sz w:val="32"/>
          <w:szCs w:val="32"/>
          <w:lang w:val="en-US"/>
        </w:rPr>
        <w:t>委</w:t>
      </w:r>
      <w:r w:rsidR="00234632">
        <w:rPr>
          <w:rFonts w:ascii="仿宋_GB2312" w:eastAsia="仿宋_GB2312" w:hAnsi="黑体" w:hint="eastAsia"/>
          <w:sz w:val="32"/>
          <w:szCs w:val="32"/>
          <w:lang w:val="en-US"/>
        </w:rPr>
        <w:t>员</w:t>
      </w:r>
      <w:r w:rsidRPr="0046557E">
        <w:rPr>
          <w:rFonts w:ascii="仿宋_GB2312" w:eastAsia="仿宋_GB2312" w:hAnsi="黑体" w:hint="eastAsia"/>
          <w:sz w:val="32"/>
          <w:szCs w:val="32"/>
          <w:lang w:val="en-US"/>
        </w:rPr>
        <w:t>会办公室。</w:t>
      </w:r>
    </w:p>
    <w:p w14:paraId="40901466" w14:textId="77777777" w:rsidR="00234632" w:rsidRDefault="00234632" w:rsidP="00234632">
      <w:pPr>
        <w:spacing w:line="520" w:lineRule="exact"/>
        <w:rPr>
          <w:rFonts w:ascii="仿宋_GB2312" w:eastAsia="仿宋_GB2312"/>
          <w:sz w:val="32"/>
          <w:szCs w:val="32"/>
        </w:rPr>
      </w:pPr>
    </w:p>
    <w:p w14:paraId="75BE6A2E" w14:textId="77777777" w:rsidR="00234632" w:rsidRDefault="00234632" w:rsidP="00234632">
      <w:pPr>
        <w:spacing w:line="520" w:lineRule="exact"/>
        <w:rPr>
          <w:rFonts w:ascii="仿宋_GB2312" w:eastAsia="仿宋_GB2312"/>
          <w:sz w:val="32"/>
          <w:szCs w:val="32"/>
        </w:rPr>
      </w:pPr>
    </w:p>
    <w:p w14:paraId="6EE8F105" w14:textId="77777777" w:rsidR="00234632" w:rsidRDefault="00234632" w:rsidP="00234632">
      <w:pPr>
        <w:spacing w:line="520" w:lineRule="exact"/>
        <w:rPr>
          <w:rFonts w:ascii="仿宋_GB2312" w:eastAsia="仿宋_GB2312"/>
          <w:sz w:val="32"/>
          <w:szCs w:val="32"/>
        </w:rPr>
      </w:pPr>
    </w:p>
    <w:p w14:paraId="56E8AFF0" w14:textId="77777777" w:rsidR="00234632" w:rsidRDefault="00234632" w:rsidP="00234632">
      <w:pPr>
        <w:spacing w:line="520" w:lineRule="exact"/>
        <w:rPr>
          <w:rFonts w:ascii="仿宋_GB2312" w:eastAsia="仿宋_GB2312"/>
          <w:sz w:val="32"/>
          <w:szCs w:val="32"/>
        </w:rPr>
      </w:pPr>
    </w:p>
    <w:p w14:paraId="70C707F1" w14:textId="77777777" w:rsidR="00234632" w:rsidRDefault="00234632" w:rsidP="00234632">
      <w:pPr>
        <w:spacing w:line="520" w:lineRule="exact"/>
        <w:rPr>
          <w:rFonts w:ascii="仿宋_GB2312" w:eastAsia="仿宋_GB2312"/>
          <w:sz w:val="32"/>
          <w:szCs w:val="32"/>
        </w:rPr>
      </w:pPr>
    </w:p>
    <w:p w14:paraId="2B4D9A07" w14:textId="31D7D841" w:rsidR="00F33F25" w:rsidRPr="0046557E" w:rsidRDefault="00000000" w:rsidP="00234632">
      <w:pPr>
        <w:spacing w:line="520" w:lineRule="exact"/>
        <w:ind w:firstLineChars="1329" w:firstLine="4253"/>
        <w:rPr>
          <w:rFonts w:ascii="仿宋_GB2312" w:eastAsia="仿宋_GB2312" w:hAnsi="黑体"/>
          <w:sz w:val="32"/>
          <w:szCs w:val="32"/>
          <w:lang w:val="en-US"/>
        </w:rPr>
      </w:pPr>
      <w:r>
        <w:rPr>
          <w:rFonts w:ascii="仿宋_GB2312" w:eastAsia="仿宋_GB2312" w:hint="eastAsia"/>
          <w:sz w:val="32"/>
          <w:szCs w:val="32"/>
        </w:rPr>
        <w:t>爱琴海公司安全管理委员会</w:t>
      </w:r>
      <w:r>
        <w:rPr>
          <w:rFonts w:ascii="仿宋_GB2312" w:eastAsia="仿宋_GB2312" w:hint="eastAsia"/>
          <w:sz w:val="32"/>
          <w:szCs w:val="32"/>
          <w:lang w:val="en-US"/>
        </w:rPr>
        <w:t>办公室</w:t>
      </w:r>
    </w:p>
    <w:p w14:paraId="0DEEA13D" w14:textId="103D366A" w:rsidR="008211FC" w:rsidRDefault="00000000" w:rsidP="00234632">
      <w:pPr>
        <w:spacing w:line="520" w:lineRule="exact"/>
        <w:ind w:firstLineChars="1750" w:firstLine="560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02</w:t>
      </w:r>
      <w:r>
        <w:rPr>
          <w:rFonts w:ascii="仿宋_GB2312" w:eastAsia="仿宋_GB2312" w:hint="eastAsia"/>
          <w:sz w:val="32"/>
          <w:szCs w:val="32"/>
          <w:lang w:val="en-US"/>
        </w:rPr>
        <w:t>4</w:t>
      </w:r>
      <w:r>
        <w:rPr>
          <w:rFonts w:ascii="仿宋_GB2312" w:eastAsia="仿宋_GB2312" w:hint="eastAsia"/>
          <w:sz w:val="32"/>
          <w:szCs w:val="32"/>
        </w:rPr>
        <w:t>年</w:t>
      </w:r>
      <w:r>
        <w:rPr>
          <w:rFonts w:ascii="仿宋_GB2312" w:eastAsia="仿宋_GB2312" w:hint="eastAsia"/>
          <w:sz w:val="32"/>
          <w:szCs w:val="32"/>
          <w:lang w:val="en-US"/>
        </w:rPr>
        <w:t>3</w:t>
      </w:r>
      <w:r>
        <w:rPr>
          <w:rFonts w:ascii="仿宋_GB2312" w:eastAsia="仿宋_GB2312" w:hint="eastAsia"/>
          <w:sz w:val="32"/>
          <w:szCs w:val="32"/>
        </w:rPr>
        <w:t>月</w:t>
      </w:r>
      <w:r>
        <w:rPr>
          <w:rFonts w:ascii="仿宋_GB2312" w:eastAsia="仿宋_GB2312" w:hint="eastAsia"/>
          <w:sz w:val="32"/>
          <w:szCs w:val="32"/>
          <w:lang w:val="en-US"/>
        </w:rPr>
        <w:t>1</w:t>
      </w:r>
      <w:r w:rsidR="00234632">
        <w:rPr>
          <w:rFonts w:ascii="仿宋_GB2312" w:eastAsia="仿宋_GB2312" w:hint="eastAsia"/>
          <w:sz w:val="32"/>
          <w:szCs w:val="32"/>
          <w:lang w:val="en-US"/>
        </w:rPr>
        <w:t>6</w:t>
      </w:r>
      <w:r>
        <w:rPr>
          <w:rFonts w:ascii="仿宋_GB2312" w:eastAsia="仿宋_GB2312" w:hint="eastAsia"/>
          <w:sz w:val="32"/>
          <w:szCs w:val="32"/>
        </w:rPr>
        <w:t>日</w:t>
      </w:r>
    </w:p>
    <w:p w14:paraId="5EB2A138" w14:textId="77777777" w:rsidR="00234632" w:rsidRDefault="00234632" w:rsidP="00234632">
      <w:pPr>
        <w:spacing w:line="520" w:lineRule="exact"/>
        <w:ind w:firstLineChars="1750" w:firstLine="5600"/>
        <w:rPr>
          <w:rFonts w:ascii="仿宋_GB2312" w:eastAsia="仿宋_GB2312"/>
          <w:sz w:val="32"/>
          <w:szCs w:val="32"/>
        </w:rPr>
      </w:pPr>
    </w:p>
    <w:p w14:paraId="40BE73FB" w14:textId="77777777" w:rsidR="00234632" w:rsidRDefault="00234632" w:rsidP="00234632">
      <w:pPr>
        <w:spacing w:line="520" w:lineRule="exact"/>
        <w:ind w:firstLineChars="1750" w:firstLine="5600"/>
        <w:rPr>
          <w:rFonts w:ascii="仿宋_GB2312" w:eastAsia="仿宋_GB2312"/>
          <w:sz w:val="32"/>
          <w:szCs w:val="32"/>
        </w:rPr>
      </w:pPr>
    </w:p>
    <w:p w14:paraId="7A127934" w14:textId="77777777" w:rsidR="00234632" w:rsidRDefault="00234632" w:rsidP="00234632">
      <w:pPr>
        <w:spacing w:line="520" w:lineRule="exact"/>
        <w:ind w:firstLineChars="1750" w:firstLine="5600"/>
        <w:rPr>
          <w:rFonts w:ascii="仿宋_GB2312" w:eastAsia="仿宋_GB2312"/>
          <w:sz w:val="32"/>
          <w:szCs w:val="32"/>
        </w:rPr>
      </w:pPr>
    </w:p>
    <w:p w14:paraId="78457D23" w14:textId="77777777" w:rsidR="00234632" w:rsidRPr="00234632" w:rsidRDefault="00234632" w:rsidP="00234632">
      <w:pPr>
        <w:spacing w:line="520" w:lineRule="exact"/>
        <w:ind w:firstLineChars="1750" w:firstLine="5600"/>
        <w:rPr>
          <w:rFonts w:ascii="仿宋_GB2312" w:eastAsia="仿宋_GB2312"/>
          <w:sz w:val="32"/>
          <w:szCs w:val="32"/>
        </w:rPr>
      </w:pPr>
    </w:p>
    <w:p w14:paraId="1B690654" w14:textId="77777777" w:rsidR="00F33F25" w:rsidRDefault="00000000" w:rsidP="00234632">
      <w:pPr>
        <w:tabs>
          <w:tab w:val="left" w:pos="670"/>
        </w:tabs>
        <w:snapToGrid w:val="0"/>
        <w:spacing w:line="520" w:lineRule="exact"/>
        <w:rPr>
          <w:rFonts w:ascii="仿宋_GB2312" w:eastAsia="仿宋_GB2312" w:hAnsi="仿宋_GB2312" w:cs="仿宋_GB2312"/>
          <w:sz w:val="32"/>
          <w:szCs w:val="32"/>
        </w:rPr>
      </w:pPr>
      <w:r>
        <w:rPr>
          <w:rFonts w:ascii="仿宋_GB2312" w:eastAsia="仿宋_GB2312" w:hAnsi="仿宋_GB2312" w:cs="仿宋_GB2312" w:hint="eastAsia"/>
          <w:color w:val="000007"/>
          <w:sz w:val="32"/>
          <w:szCs w:val="32"/>
        </w:rPr>
        <w:t>抄</w:t>
      </w:r>
      <w:r>
        <w:rPr>
          <w:rFonts w:ascii="仿宋_GB2312" w:eastAsia="仿宋_GB2312" w:hAnsi="仿宋_GB2312" w:cs="仿宋_GB2312" w:hint="eastAsia"/>
          <w:color w:val="000007"/>
          <w:sz w:val="32"/>
          <w:szCs w:val="32"/>
        </w:rPr>
        <w:tab/>
        <w:t>送</w:t>
      </w:r>
      <w:r>
        <w:rPr>
          <w:rFonts w:ascii="仿宋_GB2312" w:eastAsia="仿宋_GB2312" w:hAnsi="仿宋_GB2312" w:cs="仿宋_GB2312" w:hint="eastAsia"/>
          <w:color w:val="000007"/>
          <w:spacing w:val="-3"/>
          <w:sz w:val="32"/>
          <w:szCs w:val="32"/>
        </w:rPr>
        <w:t>：</w:t>
      </w:r>
      <w:r>
        <w:rPr>
          <w:rFonts w:ascii="仿宋_GB2312" w:eastAsia="仿宋_GB2312" w:hAnsi="仿宋_GB2312" w:cs="仿宋_GB2312" w:hint="eastAsia"/>
          <w:color w:val="000007"/>
          <w:sz w:val="32"/>
          <w:szCs w:val="32"/>
        </w:rPr>
        <w:t>总</w:t>
      </w:r>
      <w:r>
        <w:rPr>
          <w:rFonts w:ascii="仿宋_GB2312" w:eastAsia="仿宋_GB2312" w:hAnsi="仿宋_GB2312" w:cs="仿宋_GB2312" w:hint="eastAsia"/>
          <w:color w:val="000007"/>
          <w:sz w:val="32"/>
          <w:szCs w:val="32"/>
          <w:lang w:val="en-US"/>
        </w:rPr>
        <w:t>经</w:t>
      </w:r>
      <w:r>
        <w:rPr>
          <w:rFonts w:ascii="仿宋_GB2312" w:eastAsia="仿宋_GB2312" w:hAnsi="仿宋_GB2312" w:cs="仿宋_GB2312" w:hint="eastAsia"/>
          <w:color w:val="000007"/>
          <w:sz w:val="32"/>
          <w:szCs w:val="32"/>
        </w:rPr>
        <w:t>办</w:t>
      </w:r>
      <w:r>
        <w:rPr>
          <w:rFonts w:ascii="仿宋_GB2312" w:eastAsia="仿宋_GB2312" w:hAnsi="仿宋_GB2312" w:cs="仿宋_GB2312" w:hint="eastAsia"/>
          <w:color w:val="000007"/>
          <w:spacing w:val="-3"/>
          <w:sz w:val="32"/>
          <w:szCs w:val="32"/>
        </w:rPr>
        <w:t>、</w:t>
      </w:r>
      <w:r>
        <w:rPr>
          <w:rFonts w:ascii="仿宋_GB2312" w:eastAsia="仿宋_GB2312" w:hAnsi="仿宋_GB2312" w:cs="仿宋_GB2312" w:hint="eastAsia"/>
          <w:color w:val="000007"/>
          <w:sz w:val="32"/>
          <w:szCs w:val="32"/>
        </w:rPr>
        <w:t>各部门</w:t>
      </w:r>
    </w:p>
    <w:p w14:paraId="272489FA" w14:textId="6DB71B2F" w:rsidR="00F33F25" w:rsidRDefault="00000000">
      <w:pPr>
        <w:tabs>
          <w:tab w:val="left" w:pos="5710"/>
        </w:tabs>
        <w:snapToGrid w:val="0"/>
        <w:spacing w:after="36" w:line="20" w:lineRule="atLeast"/>
        <w:rPr>
          <w:rFonts w:ascii="仿宋_GB2312" w:eastAsia="仿宋_GB2312" w:hAnsi="仿宋_GB2312" w:cs="仿宋_GB2312"/>
          <w:color w:val="000007"/>
          <w:spacing w:val="-68"/>
          <w:sz w:val="30"/>
          <w:szCs w:val="30"/>
        </w:rPr>
      </w:pPr>
      <w:r>
        <w:rPr>
          <w:rFonts w:ascii="仿宋_GB2312" w:eastAsia="仿宋_GB2312" w:hAnsi="仿宋_GB2312" w:cs="仿宋_GB2312" w:hint="eastAsia"/>
          <w:color w:val="000007"/>
          <w:spacing w:val="-57"/>
          <w:sz w:val="30"/>
          <w:szCs w:val="30"/>
          <w:lang w:val="en-US"/>
        </w:rPr>
        <w:t>泰安市文化旅游发展集团商业运营管理有限公司爱琴海公司</w:t>
      </w:r>
      <w:r>
        <w:rPr>
          <w:rFonts w:ascii="仿宋_GB2312" w:eastAsia="仿宋_GB2312" w:hAnsi="仿宋_GB2312" w:cs="仿宋_GB2312" w:hint="eastAsia"/>
          <w:noProof/>
          <w:spacing w:val="-57"/>
          <w:sz w:val="30"/>
          <w:szCs w:val="30"/>
        </w:rPr>
        <mc:AlternateContent>
          <mc:Choice Requires="wps">
            <w:drawing>
              <wp:anchor distT="0" distB="0" distL="114300" distR="114300" simplePos="0" relativeHeight="251661312" behindDoc="1" locked="0" layoutInCell="1" allowOverlap="1" wp14:anchorId="4EC04CC6" wp14:editId="424E24FE">
                <wp:simplePos x="0" y="0"/>
                <wp:positionH relativeFrom="page">
                  <wp:posOffset>907415</wp:posOffset>
                </wp:positionH>
                <wp:positionV relativeFrom="paragraph">
                  <wp:posOffset>425450</wp:posOffset>
                </wp:positionV>
                <wp:extent cx="5870575" cy="635"/>
                <wp:effectExtent l="0" t="12700" r="12065" b="17145"/>
                <wp:wrapTopAndBottom/>
                <wp:docPr id="3" name="直线 29"/>
                <wp:cNvGraphicFramePr/>
                <a:graphic xmlns:a="http://schemas.openxmlformats.org/drawingml/2006/main">
                  <a:graphicData uri="http://schemas.microsoft.com/office/word/2010/wordprocessingShape">
                    <wps:wsp>
                      <wps:cNvCnPr/>
                      <wps:spPr>
                        <a:xfrm>
                          <a:off x="0" y="0"/>
                          <a:ext cx="5870575" cy="635"/>
                        </a:xfrm>
                        <a:prstGeom prst="line">
                          <a:avLst/>
                        </a:prstGeom>
                        <a:ln w="26035" cap="flat" cmpd="sng">
                          <a:solidFill>
                            <a:srgbClr val="FF0000"/>
                          </a:solidFill>
                          <a:prstDash val="solid"/>
                          <a:headEnd type="none" w="med" len="med"/>
                          <a:tailEnd type="none" w="med" len="med"/>
                        </a:ln>
                      </wps:spPr>
                      <wps:bodyPr/>
                    </wps:wsp>
                  </a:graphicData>
                </a:graphic>
              </wp:anchor>
            </w:drawing>
          </mc:Choice>
          <mc:Fallback>
            <w:pict>
              <v:line w14:anchorId="19D10D5B" id="直线 29" o:spid="_x0000_s1026" style="position:absolute;left:0;text-align:left;z-index:-251655168;visibility:visible;mso-wrap-style:square;mso-wrap-distance-left:9pt;mso-wrap-distance-top:0;mso-wrap-distance-right:9pt;mso-wrap-distance-bottom:0;mso-position-horizontal:absolute;mso-position-horizontal-relative:page;mso-position-vertical:absolute;mso-position-vertical-relative:text" from="71.45pt,33.5pt" to="533.7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" strokecolor="red" strokeweight="2.05pt">
                <w10:wrap type="topAndBottom" anchorx="page"/>
              </v:line>
            </w:pict>
          </mc:Fallback>
        </mc:AlternateContent>
      </w:r>
      <w:r>
        <w:rPr>
          <w:rFonts w:ascii="仿宋_GB2312" w:eastAsia="仿宋_GB2312" w:hAnsi="仿宋_GB2312" w:cs="仿宋_GB2312" w:hint="eastAsia"/>
          <w:noProof/>
          <w:spacing w:val="-57"/>
          <w:sz w:val="30"/>
          <w:szCs w:val="30"/>
        </w:rPr>
        <mc:AlternateContent>
          <mc:Choice Requires="wps">
            <w:drawing>
              <wp:anchor distT="0" distB="0" distL="114300" distR="114300" simplePos="0" relativeHeight="251660288" behindDoc="1" locked="0" layoutInCell="1" allowOverlap="1" wp14:anchorId="4AEDEEAD" wp14:editId="24EA4ADA">
                <wp:simplePos x="0" y="0"/>
                <wp:positionH relativeFrom="page">
                  <wp:posOffset>913130</wp:posOffset>
                </wp:positionH>
                <wp:positionV relativeFrom="paragraph">
                  <wp:posOffset>99695</wp:posOffset>
                </wp:positionV>
                <wp:extent cx="5838825" cy="635"/>
                <wp:effectExtent l="0" t="12700" r="13335" b="17145"/>
                <wp:wrapTopAndBottom/>
                <wp:docPr id="2" name="直线 14"/>
                <wp:cNvGraphicFramePr/>
                <a:graphic xmlns:a="http://schemas.openxmlformats.org/drawingml/2006/main">
                  <a:graphicData uri="http://schemas.microsoft.com/office/word/2010/wordprocessingShape">
                    <wps:wsp>
                      <wps:cNvCnPr/>
                      <wps:spPr>
                        <a:xfrm>
                          <a:off x="0" y="0"/>
                          <a:ext cx="5838825" cy="635"/>
                        </a:xfrm>
                        <a:prstGeom prst="line">
                          <a:avLst/>
                        </a:prstGeom>
                        <a:ln w="26035" cap="flat" cmpd="sng">
                          <a:solidFill>
                            <a:srgbClr val="FF0000"/>
                          </a:solidFill>
                          <a:prstDash val="solid"/>
                          <a:headEnd type="none" w="med" len="med"/>
                          <a:tailEnd type="none" w="med" len="med"/>
                        </a:ln>
                      </wps:spPr>
                      <wps:bodyPr/>
                    </wps:wsp>
                  </a:graphicData>
                </a:graphic>
              </wp:anchor>
            </w:drawing>
          </mc:Choice>
          <mc:Fallback>
            <w:pict>
              <v:line w14:anchorId="3874F0BD" id="直线 14" o:spid="_x0000_s1026" style="position:absolute;left:0;text-align:left;z-index:-251656192;visibility:visible;mso-wrap-style:square;mso-wrap-distance-left:9pt;mso-wrap-distance-top:0;mso-wrap-distance-right:9pt;mso-wrap-distance-bottom:0;mso-position-horizontal:absolute;mso-position-horizontal-relative:page;mso-position-vertical:absolute;mso-position-vertical-relative:text" from="71.9pt,7.85pt" to="531.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" strokecolor="red" strokeweight="2.05pt">
                <w10:wrap type="topAndBottom" anchorx="page"/>
              </v:line>
            </w:pict>
          </mc:Fallback>
        </mc:AlternateContent>
      </w:r>
      <w:r>
        <w:rPr>
          <w:rFonts w:ascii="仿宋_GB2312" w:eastAsia="仿宋_GB2312" w:hAnsi="仿宋_GB2312" w:cs="仿宋_GB2312" w:hint="eastAsia"/>
          <w:color w:val="000007"/>
          <w:spacing w:val="-57"/>
          <w:sz w:val="30"/>
          <w:szCs w:val="30"/>
          <w:lang w:val="en-US"/>
        </w:rPr>
        <w:t>工程物业</w:t>
      </w:r>
      <w:r>
        <w:rPr>
          <w:rFonts w:ascii="仿宋_GB2312" w:eastAsia="仿宋_GB2312" w:hAnsi="仿宋_GB2312" w:cs="仿宋_GB2312" w:hint="eastAsia"/>
          <w:color w:val="000007"/>
          <w:spacing w:val="-57"/>
          <w:sz w:val="30"/>
          <w:szCs w:val="30"/>
        </w:rPr>
        <w:t>部20</w:t>
      </w:r>
      <w:r>
        <w:rPr>
          <w:rFonts w:ascii="仿宋_GB2312" w:eastAsia="仿宋_GB2312" w:hAnsi="仿宋_GB2312" w:cs="仿宋_GB2312" w:hint="eastAsia"/>
          <w:color w:val="000007"/>
          <w:spacing w:val="-57"/>
          <w:sz w:val="30"/>
          <w:szCs w:val="30"/>
          <w:lang w:val="en-US"/>
        </w:rPr>
        <w:t>24</w:t>
      </w:r>
      <w:r>
        <w:rPr>
          <w:rFonts w:ascii="仿宋_GB2312" w:eastAsia="仿宋_GB2312" w:hAnsi="仿宋_GB2312" w:cs="仿宋_GB2312" w:hint="eastAsia"/>
          <w:color w:val="000007"/>
          <w:spacing w:val="-57"/>
          <w:sz w:val="30"/>
          <w:szCs w:val="30"/>
        </w:rPr>
        <w:t>年</w:t>
      </w:r>
      <w:r>
        <w:rPr>
          <w:rFonts w:ascii="仿宋_GB2312" w:eastAsia="仿宋_GB2312" w:hAnsi="仿宋_GB2312" w:cs="仿宋_GB2312" w:hint="eastAsia"/>
          <w:color w:val="000007"/>
          <w:spacing w:val="-57"/>
          <w:sz w:val="30"/>
          <w:szCs w:val="30"/>
          <w:lang w:val="en-US"/>
        </w:rPr>
        <w:t>3月1</w:t>
      </w:r>
      <w:r w:rsidR="00234632">
        <w:rPr>
          <w:rFonts w:ascii="仿宋_GB2312" w:eastAsia="仿宋_GB2312" w:hAnsi="仿宋_GB2312" w:cs="仿宋_GB2312" w:hint="eastAsia"/>
          <w:color w:val="000007"/>
          <w:spacing w:val="-57"/>
          <w:sz w:val="30"/>
          <w:szCs w:val="30"/>
          <w:lang w:val="en-US"/>
        </w:rPr>
        <w:t>6</w:t>
      </w:r>
      <w:r>
        <w:rPr>
          <w:rFonts w:ascii="仿宋_GB2312" w:eastAsia="仿宋_GB2312" w:hAnsi="仿宋_GB2312" w:cs="仿宋_GB2312" w:hint="eastAsia"/>
          <w:color w:val="000007"/>
          <w:spacing w:val="-57"/>
          <w:sz w:val="30"/>
          <w:szCs w:val="30"/>
          <w:lang w:val="en-US"/>
        </w:rPr>
        <w:t>日</w:t>
      </w:r>
    </w:p>
    <w:sectPr w:rsidR="00F33F25">
      <w:footerReference w:type="default" r:id="rId8"/>
      <w:pgSz w:w="11910" w:h="16840"/>
      <w:pgMar w:top="1100" w:right="1260" w:bottom="655" w:left="1420" w:header="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D83D3" w14:textId="77777777" w:rsidR="00071F25" w:rsidRDefault="00071F25">
      <w:r>
        <w:separator/>
      </w:r>
    </w:p>
  </w:endnote>
  <w:endnote w:type="continuationSeparator" w:id="0">
    <w:p w14:paraId="4065E63E" w14:textId="77777777" w:rsidR="00071F25" w:rsidRDefault="0007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0000600000000000000"/>
    <w:charset w:val="86"/>
    <w:family w:val="auto"/>
    <w:pitch w:val="variable"/>
    <w:sig w:usb0="800002BF" w:usb1="184F6CF8" w:usb2="00000012" w:usb3="00000000" w:csb0="0016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9598" w14:textId="77777777" w:rsidR="00F33F25" w:rsidRDefault="00F33F25">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FA11" w14:textId="77777777" w:rsidR="00071F25" w:rsidRDefault="00071F25">
      <w:r>
        <w:separator/>
      </w:r>
    </w:p>
  </w:footnote>
  <w:footnote w:type="continuationSeparator" w:id="0">
    <w:p w14:paraId="6D640A83" w14:textId="77777777" w:rsidR="00071F25" w:rsidRDefault="00071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73CEE8"/>
    <w:multiLevelType w:val="singleLevel"/>
    <w:tmpl w:val="AA73CEE8"/>
    <w:lvl w:ilvl="0">
      <w:start w:val="1"/>
      <w:numFmt w:val="chineseCounting"/>
      <w:suff w:val="nothing"/>
      <w:lvlText w:val="（%1）"/>
      <w:lvlJc w:val="left"/>
      <w:rPr>
        <w:rFonts w:hint="eastAsia"/>
      </w:rPr>
    </w:lvl>
  </w:abstractNum>
  <w:num w:numId="1" w16cid:durableId="25050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EyZWFlOTUzNTI2NmEyNzBlYmI2ZTVlMmE3Nzc1YzQifQ=="/>
  </w:docVars>
  <w:rsids>
    <w:rsidRoot w:val="00F33F25"/>
    <w:rsid w:val="00013498"/>
    <w:rsid w:val="00071F25"/>
    <w:rsid w:val="000A46D7"/>
    <w:rsid w:val="00234632"/>
    <w:rsid w:val="002F65B4"/>
    <w:rsid w:val="003150A1"/>
    <w:rsid w:val="0046557E"/>
    <w:rsid w:val="004B371B"/>
    <w:rsid w:val="005F395A"/>
    <w:rsid w:val="00812100"/>
    <w:rsid w:val="008211FC"/>
    <w:rsid w:val="00AB67A9"/>
    <w:rsid w:val="00BC3B9D"/>
    <w:rsid w:val="00EB5F0F"/>
    <w:rsid w:val="00F24B27"/>
    <w:rsid w:val="00F33F25"/>
    <w:rsid w:val="00F367AF"/>
    <w:rsid w:val="00F80E87"/>
    <w:rsid w:val="011B3290"/>
    <w:rsid w:val="01C85BD4"/>
    <w:rsid w:val="023027D8"/>
    <w:rsid w:val="02354933"/>
    <w:rsid w:val="023943B6"/>
    <w:rsid w:val="028767BD"/>
    <w:rsid w:val="03467897"/>
    <w:rsid w:val="035C3C70"/>
    <w:rsid w:val="03757373"/>
    <w:rsid w:val="03892F81"/>
    <w:rsid w:val="03CF58CA"/>
    <w:rsid w:val="04CD5055"/>
    <w:rsid w:val="04D400C1"/>
    <w:rsid w:val="04E52A60"/>
    <w:rsid w:val="05203872"/>
    <w:rsid w:val="052B751C"/>
    <w:rsid w:val="05E1462D"/>
    <w:rsid w:val="060B4B2A"/>
    <w:rsid w:val="06550AEF"/>
    <w:rsid w:val="06790E14"/>
    <w:rsid w:val="06906B8D"/>
    <w:rsid w:val="07050EAA"/>
    <w:rsid w:val="081465C7"/>
    <w:rsid w:val="089A00B1"/>
    <w:rsid w:val="089B7149"/>
    <w:rsid w:val="09EF3642"/>
    <w:rsid w:val="0A000652"/>
    <w:rsid w:val="0A3730BD"/>
    <w:rsid w:val="0A4747E3"/>
    <w:rsid w:val="0B2A7F59"/>
    <w:rsid w:val="0BFD5B28"/>
    <w:rsid w:val="0C0E1512"/>
    <w:rsid w:val="0CDB1467"/>
    <w:rsid w:val="0D1904D8"/>
    <w:rsid w:val="0D5F1E64"/>
    <w:rsid w:val="0D6F7730"/>
    <w:rsid w:val="0EDE1004"/>
    <w:rsid w:val="0EEC324E"/>
    <w:rsid w:val="112C6057"/>
    <w:rsid w:val="1207244E"/>
    <w:rsid w:val="124402A5"/>
    <w:rsid w:val="125E66E4"/>
    <w:rsid w:val="127E2853"/>
    <w:rsid w:val="13203E5A"/>
    <w:rsid w:val="1325739E"/>
    <w:rsid w:val="1348781B"/>
    <w:rsid w:val="149A432E"/>
    <w:rsid w:val="14AB6124"/>
    <w:rsid w:val="166A6324"/>
    <w:rsid w:val="16E102DA"/>
    <w:rsid w:val="16E155D9"/>
    <w:rsid w:val="172F4DAC"/>
    <w:rsid w:val="1736699E"/>
    <w:rsid w:val="179B3F36"/>
    <w:rsid w:val="185619D0"/>
    <w:rsid w:val="1983621C"/>
    <w:rsid w:val="19F94F44"/>
    <w:rsid w:val="1A0B7593"/>
    <w:rsid w:val="1AB772D9"/>
    <w:rsid w:val="1AC42DA0"/>
    <w:rsid w:val="1AD4708A"/>
    <w:rsid w:val="1B2C7ABC"/>
    <w:rsid w:val="1BBB1E72"/>
    <w:rsid w:val="1BBE757B"/>
    <w:rsid w:val="1BEE6044"/>
    <w:rsid w:val="1C202C5C"/>
    <w:rsid w:val="1C296AE9"/>
    <w:rsid w:val="1E4F7175"/>
    <w:rsid w:val="1F6D61B8"/>
    <w:rsid w:val="20435783"/>
    <w:rsid w:val="21051000"/>
    <w:rsid w:val="21B63AEB"/>
    <w:rsid w:val="221D64B3"/>
    <w:rsid w:val="23D86009"/>
    <w:rsid w:val="24697FC2"/>
    <w:rsid w:val="24D04C15"/>
    <w:rsid w:val="258779C6"/>
    <w:rsid w:val="263406F7"/>
    <w:rsid w:val="267A11BB"/>
    <w:rsid w:val="26DF7235"/>
    <w:rsid w:val="27056CA7"/>
    <w:rsid w:val="27CB5475"/>
    <w:rsid w:val="28B20DDF"/>
    <w:rsid w:val="291211DE"/>
    <w:rsid w:val="292911DD"/>
    <w:rsid w:val="2965070D"/>
    <w:rsid w:val="29F15C38"/>
    <w:rsid w:val="2A0E23A2"/>
    <w:rsid w:val="2AB758C9"/>
    <w:rsid w:val="2B446ADE"/>
    <w:rsid w:val="2BD6133D"/>
    <w:rsid w:val="2C1414BB"/>
    <w:rsid w:val="2C1C5A17"/>
    <w:rsid w:val="2C38358F"/>
    <w:rsid w:val="2D5A468F"/>
    <w:rsid w:val="2DA6683C"/>
    <w:rsid w:val="2E577574"/>
    <w:rsid w:val="2E861CBA"/>
    <w:rsid w:val="2EEB5D92"/>
    <w:rsid w:val="2FB76E96"/>
    <w:rsid w:val="30153893"/>
    <w:rsid w:val="305B7A94"/>
    <w:rsid w:val="30D14C1A"/>
    <w:rsid w:val="317132F2"/>
    <w:rsid w:val="31940FA8"/>
    <w:rsid w:val="31A0050D"/>
    <w:rsid w:val="31FC559A"/>
    <w:rsid w:val="321A249C"/>
    <w:rsid w:val="322D735A"/>
    <w:rsid w:val="324F37F6"/>
    <w:rsid w:val="327318E0"/>
    <w:rsid w:val="32AF2197"/>
    <w:rsid w:val="32EB564E"/>
    <w:rsid w:val="32F130F5"/>
    <w:rsid w:val="33724D1B"/>
    <w:rsid w:val="33C06762"/>
    <w:rsid w:val="3482140E"/>
    <w:rsid w:val="34CC0624"/>
    <w:rsid w:val="358B0606"/>
    <w:rsid w:val="35BA7826"/>
    <w:rsid w:val="35F36CC8"/>
    <w:rsid w:val="36771F83"/>
    <w:rsid w:val="36EF3725"/>
    <w:rsid w:val="376745F2"/>
    <w:rsid w:val="376F2FFF"/>
    <w:rsid w:val="37D8588D"/>
    <w:rsid w:val="37ED1B24"/>
    <w:rsid w:val="38205838"/>
    <w:rsid w:val="38642C82"/>
    <w:rsid w:val="388A6A1C"/>
    <w:rsid w:val="39DC5FBD"/>
    <w:rsid w:val="3A0D6176"/>
    <w:rsid w:val="3A190846"/>
    <w:rsid w:val="3A5B5BDE"/>
    <w:rsid w:val="3A7C32FC"/>
    <w:rsid w:val="3A81571B"/>
    <w:rsid w:val="3B9E1819"/>
    <w:rsid w:val="3C214215"/>
    <w:rsid w:val="3C475574"/>
    <w:rsid w:val="3CBC54B4"/>
    <w:rsid w:val="3CBF27AD"/>
    <w:rsid w:val="3D0B5979"/>
    <w:rsid w:val="3EC659FA"/>
    <w:rsid w:val="3FA85719"/>
    <w:rsid w:val="410E6364"/>
    <w:rsid w:val="41514B93"/>
    <w:rsid w:val="41FF6AF3"/>
    <w:rsid w:val="42670A86"/>
    <w:rsid w:val="429D02B3"/>
    <w:rsid w:val="42C31CE3"/>
    <w:rsid w:val="43541BF4"/>
    <w:rsid w:val="43D47B46"/>
    <w:rsid w:val="44527527"/>
    <w:rsid w:val="447C7596"/>
    <w:rsid w:val="45DB0E8D"/>
    <w:rsid w:val="47657076"/>
    <w:rsid w:val="47C244E3"/>
    <w:rsid w:val="482A0149"/>
    <w:rsid w:val="4A325AB6"/>
    <w:rsid w:val="4A4A2ACF"/>
    <w:rsid w:val="4A565917"/>
    <w:rsid w:val="4A7242F5"/>
    <w:rsid w:val="4A7C4F0F"/>
    <w:rsid w:val="4ADD1B95"/>
    <w:rsid w:val="4B704B56"/>
    <w:rsid w:val="4B923D95"/>
    <w:rsid w:val="4BE81662"/>
    <w:rsid w:val="4BEF07BA"/>
    <w:rsid w:val="4BF5690F"/>
    <w:rsid w:val="4CFB7BD7"/>
    <w:rsid w:val="4DC06A6A"/>
    <w:rsid w:val="4DC4353E"/>
    <w:rsid w:val="4E6440AF"/>
    <w:rsid w:val="4F8913D4"/>
    <w:rsid w:val="4FA876DB"/>
    <w:rsid w:val="50820DF9"/>
    <w:rsid w:val="512A30EF"/>
    <w:rsid w:val="51520F4F"/>
    <w:rsid w:val="520F7AD9"/>
    <w:rsid w:val="52362D25"/>
    <w:rsid w:val="523F18E8"/>
    <w:rsid w:val="52907378"/>
    <w:rsid w:val="52EB0BC7"/>
    <w:rsid w:val="53357A87"/>
    <w:rsid w:val="534316CA"/>
    <w:rsid w:val="545F423B"/>
    <w:rsid w:val="54B55F5A"/>
    <w:rsid w:val="54BC6584"/>
    <w:rsid w:val="54BE2F46"/>
    <w:rsid w:val="54F061B5"/>
    <w:rsid w:val="550901DF"/>
    <w:rsid w:val="552C5A09"/>
    <w:rsid w:val="559E1C82"/>
    <w:rsid w:val="56D74831"/>
    <w:rsid w:val="570D4DDD"/>
    <w:rsid w:val="57815014"/>
    <w:rsid w:val="57973840"/>
    <w:rsid w:val="57F45240"/>
    <w:rsid w:val="58945384"/>
    <w:rsid w:val="58C60EB9"/>
    <w:rsid w:val="58C66285"/>
    <w:rsid w:val="5927463D"/>
    <w:rsid w:val="593323D3"/>
    <w:rsid w:val="593918A6"/>
    <w:rsid w:val="59B56E78"/>
    <w:rsid w:val="5A3D59C3"/>
    <w:rsid w:val="5A6F20DD"/>
    <w:rsid w:val="5A9C1D40"/>
    <w:rsid w:val="5AE10BD4"/>
    <w:rsid w:val="5AF67C81"/>
    <w:rsid w:val="5AF85806"/>
    <w:rsid w:val="5BD06385"/>
    <w:rsid w:val="5BD40F23"/>
    <w:rsid w:val="5C4E1CEB"/>
    <w:rsid w:val="5C587A42"/>
    <w:rsid w:val="5D4F61EB"/>
    <w:rsid w:val="5D6C1827"/>
    <w:rsid w:val="5DB108CD"/>
    <w:rsid w:val="5DD72473"/>
    <w:rsid w:val="601608F3"/>
    <w:rsid w:val="61C03ECB"/>
    <w:rsid w:val="61D64163"/>
    <w:rsid w:val="61DD6FB6"/>
    <w:rsid w:val="61F05BC0"/>
    <w:rsid w:val="628B4531"/>
    <w:rsid w:val="62D43425"/>
    <w:rsid w:val="63072182"/>
    <w:rsid w:val="63232CC9"/>
    <w:rsid w:val="63883A9D"/>
    <w:rsid w:val="63965D09"/>
    <w:rsid w:val="640F0CB3"/>
    <w:rsid w:val="646C7108"/>
    <w:rsid w:val="64FD405C"/>
    <w:rsid w:val="6520217C"/>
    <w:rsid w:val="65EF6D4D"/>
    <w:rsid w:val="65F62D83"/>
    <w:rsid w:val="6600411A"/>
    <w:rsid w:val="67C9588E"/>
    <w:rsid w:val="681906A9"/>
    <w:rsid w:val="682E35D8"/>
    <w:rsid w:val="683D3BA2"/>
    <w:rsid w:val="684869E5"/>
    <w:rsid w:val="684A764D"/>
    <w:rsid w:val="68586BB5"/>
    <w:rsid w:val="68E5638C"/>
    <w:rsid w:val="691B7D56"/>
    <w:rsid w:val="698F3F38"/>
    <w:rsid w:val="69D21E09"/>
    <w:rsid w:val="6A2C4BFF"/>
    <w:rsid w:val="6A8D496B"/>
    <w:rsid w:val="6AB15DEF"/>
    <w:rsid w:val="6AB204F0"/>
    <w:rsid w:val="6B39228C"/>
    <w:rsid w:val="6BE40285"/>
    <w:rsid w:val="6C0F65E8"/>
    <w:rsid w:val="6C310728"/>
    <w:rsid w:val="6CB10CA0"/>
    <w:rsid w:val="6D970ACF"/>
    <w:rsid w:val="6E742E7A"/>
    <w:rsid w:val="6EE1541A"/>
    <w:rsid w:val="6F3132A3"/>
    <w:rsid w:val="6FAF6482"/>
    <w:rsid w:val="709A5CAE"/>
    <w:rsid w:val="71A2203E"/>
    <w:rsid w:val="71C52AD8"/>
    <w:rsid w:val="71E94244"/>
    <w:rsid w:val="71ED127F"/>
    <w:rsid w:val="72353580"/>
    <w:rsid w:val="723E594C"/>
    <w:rsid w:val="724D4594"/>
    <w:rsid w:val="72A153D5"/>
    <w:rsid w:val="73AA1A25"/>
    <w:rsid w:val="73D2575F"/>
    <w:rsid w:val="747F5062"/>
    <w:rsid w:val="74D6754A"/>
    <w:rsid w:val="74EC71F7"/>
    <w:rsid w:val="764D262F"/>
    <w:rsid w:val="76B575AF"/>
    <w:rsid w:val="76B84C98"/>
    <w:rsid w:val="77037B42"/>
    <w:rsid w:val="77380CAD"/>
    <w:rsid w:val="77A6606B"/>
    <w:rsid w:val="79082012"/>
    <w:rsid w:val="790C676C"/>
    <w:rsid w:val="79A3594E"/>
    <w:rsid w:val="7A0B3779"/>
    <w:rsid w:val="7A672C85"/>
    <w:rsid w:val="7AE52476"/>
    <w:rsid w:val="7B23042A"/>
    <w:rsid w:val="7BD77DB7"/>
    <w:rsid w:val="7C8A21F9"/>
    <w:rsid w:val="7CE01DCE"/>
    <w:rsid w:val="7CE87DA1"/>
    <w:rsid w:val="7DA31FEC"/>
    <w:rsid w:val="7DD454CB"/>
    <w:rsid w:val="7E1352F2"/>
    <w:rsid w:val="7E56282A"/>
    <w:rsid w:val="7ED34956"/>
    <w:rsid w:val="7F3C5C29"/>
    <w:rsid w:val="7F8C4D34"/>
    <w:rsid w:val="7FF5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E27A0D"/>
  <w15:docId w15:val="{19C9B5B8-736B-4484-8AA4-CB93A409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仿宋" w:eastAsia="仿宋" w:hAnsi="仿宋" w:cs="仿宋"/>
      <w:sz w:val="22"/>
      <w:szCs w:val="22"/>
      <w:lang w:val="zh-CN" w:bidi="zh-CN"/>
    </w:rPr>
  </w:style>
  <w:style w:type="paragraph" w:styleId="1">
    <w:name w:val="heading 1"/>
    <w:basedOn w:val="a"/>
    <w:next w:val="a"/>
    <w:autoRedefine/>
    <w:qFormat/>
    <w:pPr>
      <w:spacing w:before="100" w:beforeAutospacing="1" w:after="100" w:afterAutospacing="1"/>
      <w:outlineLvl w:val="0"/>
    </w:pPr>
    <w:rPr>
      <w:rFonts w:ascii="宋体" w:eastAsia="宋体" w:hAnsi="宋体" w:cs="Times New Roman" w:hint="eastAsia"/>
      <w:b/>
      <w:bCs/>
      <w:kern w:val="44"/>
      <w:sz w:val="48"/>
      <w:szCs w:val="48"/>
    </w:rPr>
  </w:style>
  <w:style w:type="paragraph" w:styleId="2">
    <w:name w:val="heading 2"/>
    <w:basedOn w:val="a"/>
    <w:next w:val="a"/>
    <w:autoRedefine/>
    <w:semiHidden/>
    <w:unhideWhenUsed/>
    <w:qFormat/>
    <w:pPr>
      <w:spacing w:beforeAutospacing="1" w:afterAutospacing="1"/>
      <w:outlineLvl w:val="1"/>
    </w:pPr>
    <w:rPr>
      <w:rFonts w:ascii="宋体" w:eastAsia="宋体" w:hAnsi="宋体" w:cs="Times New Roman" w:hint="eastAsia"/>
      <w:b/>
      <w:sz w:val="36"/>
      <w:szCs w:val="36"/>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autoRedefine/>
    <w:uiPriority w:val="1"/>
    <w:qFormat/>
    <w:rPr>
      <w:sz w:val="30"/>
      <w:szCs w:val="30"/>
    </w:rPr>
  </w:style>
  <w:style w:type="paragraph" w:styleId="a4">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customStyle="1" w:styleId="TableNormal">
    <w:name w:val="Table Normal"/>
    <w:autoRedefine/>
    <w:uiPriority w:val="2"/>
    <w:semiHidden/>
    <w:unhideWhenUsed/>
    <w:qFormat/>
    <w:tblPr>
      <w:tblCellMar>
        <w:top w:w="0" w:type="dxa"/>
        <w:left w:w="0" w:type="dxa"/>
        <w:bottom w:w="0" w:type="dxa"/>
        <w:right w:w="0" w:type="dxa"/>
      </w:tblCellMar>
    </w:tblPr>
  </w:style>
  <w:style w:type="paragraph" w:styleId="a5">
    <w:name w:val="List Paragraph"/>
    <w:basedOn w:val="a"/>
    <w:autoRedefine/>
    <w:uiPriority w:val="1"/>
    <w:qFormat/>
  </w:style>
  <w:style w:type="paragraph" w:customStyle="1" w:styleId="TableParagraph">
    <w:name w:val="Table Paragraph"/>
    <w:basedOn w:val="a"/>
    <w:uiPriority w:val="1"/>
    <w:qFormat/>
  </w:style>
  <w:style w:type="paragraph" w:styleId="a6">
    <w:name w:val="footer"/>
    <w:basedOn w:val="a"/>
    <w:link w:val="a7"/>
    <w:rsid w:val="00AB67A9"/>
    <w:pPr>
      <w:tabs>
        <w:tab w:val="center" w:pos="4153"/>
        <w:tab w:val="right" w:pos="8306"/>
      </w:tabs>
      <w:snapToGrid w:val="0"/>
    </w:pPr>
    <w:rPr>
      <w:sz w:val="18"/>
      <w:szCs w:val="18"/>
    </w:rPr>
  </w:style>
  <w:style w:type="character" w:customStyle="1" w:styleId="a7">
    <w:name w:val="页脚 字符"/>
    <w:basedOn w:val="a0"/>
    <w:link w:val="a6"/>
    <w:rsid w:val="00AB67A9"/>
    <w:rPr>
      <w:rFonts w:ascii="仿宋" w:eastAsia="仿宋" w:hAnsi="仿宋" w:cs="仿宋"/>
      <w:sz w:val="18"/>
      <w:szCs w:val="18"/>
      <w:lang w:val="zh-CN" w:bidi="zh-CN"/>
    </w:rPr>
  </w:style>
  <w:style w:type="paragraph" w:styleId="a8">
    <w:name w:val="Date"/>
    <w:basedOn w:val="a"/>
    <w:next w:val="a"/>
    <w:link w:val="a9"/>
    <w:rsid w:val="00234632"/>
    <w:pPr>
      <w:ind w:leftChars="2500" w:left="100"/>
    </w:pPr>
  </w:style>
  <w:style w:type="character" w:customStyle="1" w:styleId="a9">
    <w:name w:val="日期 字符"/>
    <w:basedOn w:val="a0"/>
    <w:link w:val="a8"/>
    <w:rsid w:val="00234632"/>
    <w:rPr>
      <w:rFonts w:ascii="仿宋" w:eastAsia="仿宋" w:hAnsi="仿宋" w:cs="仿宋"/>
      <w:sz w:val="22"/>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云南湄公河集团有限公司文件</dc:title>
  <dc:creator>Admin</dc:creator>
  <cp:lastModifiedBy>相晨 张</cp:lastModifiedBy>
  <cp:revision>5</cp:revision>
  <cp:lastPrinted>2021-02-08T09:45:00Z</cp:lastPrinted>
  <dcterms:created xsi:type="dcterms:W3CDTF">2024-03-16T02:45:00Z</dcterms:created>
  <dcterms:modified xsi:type="dcterms:W3CDTF">2024-03-16T02:48:00Z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WPS Office</vt:lpwstr>
  </property>
  <property fmtid="{D5CDD505-2E9C-101B-9397-08002B2CF9AE}" pid="4" name="LastSaved">
    <vt:filetime>2020-05-17T00:00:00Z</vt:filetime>
  </property>
  <property fmtid="{D5CDD505-2E9C-101B-9397-08002B2CF9AE}" pid="5" name="KSOProductBuildVer">
    <vt:lpwstr>2052-12.1.0.16250</vt:lpwstr>
  </property>
  <property fmtid="{D5CDD505-2E9C-101B-9397-08002B2CF9AE}" pid="6" name="ICV">
    <vt:lpwstr>4D41A5BE44DD4D88998A4E94963BC927</vt:lpwstr>
  </property>
</Properties>
</file>