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Demo Perfumería Aroma</w:t>
      </w:r>
    </w:p>
    <w:p>
      <w:pPr>
        <w:pStyle w:val="Normal"/>
      </w:pPr>
      <w:r>
        <w:t xml:space="preserve">Guía para mostrar la cartera de clientes de Emprenddi: venta a crédito, abonos, anticipos y estado de cuenta.</w:t>
      </w:r>
    </w:p>
    <w:p>
      <w:pPr>
        <w:pStyle w:val="Normal"/>
      </w:pPr>
      <w:r>
        <w:t xml:space="preserve">Documento generado el 07/09/2026.</w:t>
      </w:r>
    </w:p>
    <w:p>
      <w:pPr>
        <w:pStyle w:val="Heading1"/>
      </w:pPr>
      <w:r>
        <w:t xml:space="preserve">1. Qué es este demo y para qué sirve</w:t>
      </w:r>
    </w:p>
    <w:p>
      <w:pPr>
        <w:pStyle w:val="Normal"/>
      </w:pPr>
      <w:r>
        <w:t xml:space="preserve">Es una empresa de prueba con seis clientes, cada uno en una situación distinta de cartera. No son datos de relleno: cada cliente existe para mostrar una cosa concreta en pantalla, sin tener que explicarla.</w:t>
      </w:r>
    </w:p>
    <w:p>
      <w:pPr>
        <w:pStyle w:val="Normal"/>
      </w:pPr>
      <w:r>
        <w:t xml:space="preserve">Sirve para enseñarle a un prospecto cómo Emprenddi maneja las ventas a crédito y, sobre todo, cómo evita el descuadre clásico de un cliente con saldo a favor y deuda al mismo tiempo.</w:t>
      </w:r>
    </w:p>
    <w:p>
      <w:pPr>
        <w:pStyle w:val="Heading2"/>
      </w:pPr>
      <w:r>
        <w:t xml:space="preserve">Lo que se puede mostrar</w:t>
      </w:r>
    </w:p>
    <w:p>
      <w:pPr>
        <w:pStyle w:val="ListParagraph"/>
        <w:numPr>
          <w:ilvl w:val="0"/>
          <w:numId w:val="1"/>
        </w:numPr>
      </w:pPr>
      <w:r>
        <w:t xml:space="preserve">La hoja de cuenta de un cliente con su saldo corrido, movimiento por movimiento.</w:t>
      </w:r>
    </w:p>
    <w:p>
      <w:pPr>
        <w:pStyle w:val="ListParagraph"/>
        <w:numPr>
          <w:ilvl w:val="0"/>
          <w:numId w:val="1"/>
        </w:numPr>
      </w:pPr>
      <w:r>
        <w:t xml:space="preserve">Un cliente que abonó de más y quedó con saldo a favor.</w:t>
      </w:r>
    </w:p>
    <w:p>
      <w:pPr>
        <w:pStyle w:val="ListParagraph"/>
        <w:numPr>
          <w:ilvl w:val="0"/>
          <w:numId w:val="1"/>
        </w:numPr>
      </w:pPr>
      <w:r>
        <w:t xml:space="preserve">Un cliente que migró debiendo de otro sistema.</w:t>
      </w:r>
    </w:p>
    <w:p>
      <w:pPr>
        <w:pStyle w:val="ListParagraph"/>
        <w:numPr>
          <w:ilvl w:val="0"/>
          <w:numId w:val="1"/>
        </w:numPr>
      </w:pPr>
      <w:r>
        <w:t xml:space="preserve">Un cliente con el cupo de crédito casi copado, y el bloqueo al intentar venderle más.</w:t>
      </w:r>
    </w:p>
    <w:p>
      <w:pPr>
        <w:pStyle w:val="ListParagraph"/>
        <w:numPr>
          <w:ilvl w:val="0"/>
          <w:numId w:val="1"/>
        </w:numPr>
      </w:pPr>
      <w:r>
        <w:t xml:space="preserve">El PDF del estado de cuenta y su envío por correo.</w:t>
      </w:r>
    </w:p>
    <w:p>
      <w:pPr>
        <w:pStyle w:val="ListParagraph"/>
        <w:numPr>
          <w:ilvl w:val="0"/>
          <w:numId w:val="1"/>
        </w:numPr>
      </w:pPr>
      <w:r>
        <w:t xml:space="preserve">El registro de un anticipo en vivo, con su aplicación automática.</w:t>
      </w:r>
    </w:p>
    <w:p>
      <w:pPr>
        <w:pStyle w:val="Heading1"/>
      </w:pPr>
      <w:r>
        <w:t xml:space="preserve">2. Instalación</w:t>
      </w:r>
    </w:p>
    <w:p>
      <w:pPr>
        <w:pStyle w:val="Normal"/>
      </w:pPr>
      <w:r>
        <w:t xml:space="preserve">En el servidor, dentro de la carpeta del proyecto: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cd /opt/emprenddi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git pull origin main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docker exec emprenddi_app php artisan migrate --force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docker exec emprenddi_app php artisan db:seed --class=PerfumeryDemoSeeder --force</w:t>
      </w:r>
    </w:p>
    <w:p>
      <w:pPr>
        <w:pStyle w:val="Normal"/>
      </w:pPr>
      <w:r>
        <w:t xml:space="preserve">Al terminar debe aparecer: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✅ Demo de perfumería lista.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   Empresa:  Perfumería Aroma S.A.S.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   Admin:    demo@perfumeriaaroma.co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   Password: Demo2026!</w:t>
      </w:r>
    </w:p>
    <w:p>
      <w:pPr>
        <w:pStyle w:val="Normal"/>
      </w:pPr>
      <w:r>
        <w:rPr>
          <w:b/>
        </w:rPr>
        <w:t xml:space="preserve">Se puede repetir sin miedo.</w:t>
      </w:r>
      <w:r>
        <w:t xml:space="preserve"> El seeder detecta lo que ya existe y solo crea lo que falta, así que volver a lanzarlo no duplica facturas ni altera los saldos.</w:t>
      </w:r>
    </w:p>
    <w:p>
      <w:pPr>
        <w:pStyle w:val="Heading2"/>
      </w:pPr>
      <w:r>
        <w:t xml:space="preserve">Si algo sale mal a mitad de camino</w:t>
      </w:r>
    </w:p>
    <w:p>
      <w:pPr>
        <w:pStyle w:val="Normal"/>
      </w:pPr>
      <w:r>
        <w:t xml:space="preserve">Vuelve a lanzar el mismo comando. Retoma donde quedó.</w:t>
      </w:r>
    </w:p>
    <w:p>
      <w:pPr>
        <w:pStyle w:val="Heading1"/>
      </w:pPr>
      <w:r>
        <w:t xml:space="preserve">3. Cómo entrar</w:t>
      </w:r>
    </w:p>
    <w:tbl>
      <w:tblPr>
        <w:tblStyle w:val="TableGrid"/>
        <w:tblW w:w="900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r>
        <w:trPr>
          <w:tblHeader/>
        </w:trPr>
        <w:tc>
          <w:tcPr>
            <w:tcW w:w="450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Dato</w:t>
            </w:r>
          </w:p>
        </w:tc>
        <w:tc>
          <w:tcPr>
            <w:tcW w:w="450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45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Dirección</w:t>
            </w:r>
          </w:p>
        </w:tc>
        <w:tc>
          <w:tcPr>
            <w:tcW w:w="45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pos.emprenddi.com/app</w:t>
            </w:r>
          </w:p>
        </w:tc>
      </w:tr>
      <w:tr>
        <w:tc>
          <w:tcPr>
            <w:tcW w:w="45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45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demo@perfumeriaaroma.co</w:t>
            </w:r>
          </w:p>
        </w:tc>
      </w:tr>
      <w:tr>
        <w:tc>
          <w:tcPr>
            <w:tcW w:w="45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Contraseña</w:t>
            </w:r>
          </w:p>
        </w:tc>
        <w:tc>
          <w:tcPr>
            <w:tcW w:w="45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Demo2026!</w:t>
            </w:r>
          </w:p>
        </w:tc>
      </w:tr>
      <w:tr>
        <w:tc>
          <w:tcPr>
            <w:tcW w:w="45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Empresa</w:t>
            </w:r>
          </w:p>
        </w:tc>
        <w:tc>
          <w:tcPr>
            <w:tcW w:w="45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Perfumería Aroma S.A.S. — NIT 901777333</w:t>
            </w:r>
          </w:p>
        </w:tc>
      </w:tr>
    </w:tbl>
    <w:p/>
    <w:p>
      <w:pPr>
        <w:pStyle w:val="Normal"/>
      </w:pPr>
      <w:r>
        <w:t xml:space="preserve">La pantalla de la demostración es </w:t>
      </w:r>
      <w:r>
        <w:rPr>
          <w:b/>
        </w:rPr>
        <w:t xml:space="preserve">Reportes operativos → Estado de cuenta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4. Los seis clientes</w:t>
      </w:r>
    </w:p>
    <w:p>
      <w:pPr>
        <w:pStyle w:val="Normal"/>
      </w:pPr>
      <w:r>
        <w:t xml:space="preserve">Busca cada uno por su nombre en el selector de la hoja de cuenta. Los valores son los que deja el seeder recién instalado.</w:t>
      </w:r>
    </w:p>
    <w:tbl>
      <w:tblPr>
        <w:tblStyle w:val="TableGrid"/>
        <w:tblW w:w="900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r>
        <w:trPr>
          <w:tblHeader/>
        </w:trPr>
        <w:tc>
          <w:tcPr>
            <w:tcW w:w="225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Cliente</w:t>
            </w:r>
          </w:p>
        </w:tc>
        <w:tc>
          <w:tcPr>
            <w:tcW w:w="225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Documento</w:t>
            </w:r>
          </w:p>
        </w:tc>
        <w:tc>
          <w:tcPr>
            <w:tcW w:w="225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Saldo</w:t>
            </w:r>
          </w:p>
        </w:tc>
        <w:tc>
          <w:tcPr>
            <w:tcW w:w="225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Qué muestra</w:t>
            </w:r>
          </w:p>
        </w:tc>
      </w:tr>
      <w:tr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Laura Mejía Castro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1018445720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$0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Al día: compró y pagó completo</w:t>
            </w:r>
          </w:p>
        </w:tc>
      </w:tr>
      <w:tr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Carolina Ramírez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52984110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$148.800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Dos facturas, una abonada al 40%</w:t>
            </w:r>
          </w:p>
        </w:tc>
      </w:tr>
      <w:tr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Jorge Andrés Soto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79554321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$425.000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Migró debiendo del sistema anterior</w:t>
            </w:r>
          </w:p>
        </w:tc>
      </w:tr>
      <w:tr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Diana Patiño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1032889014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−$150.000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Saldo a favor: abonó más de lo que debía</w:t>
            </w:r>
          </w:p>
        </w:tc>
      </w:tr>
      <w:tr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Martha Lucía Gómez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43118902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$240.000</w:t>
            </w:r>
          </w:p>
        </w:tc>
        <w:tc>
          <w:tcPr>
            <w:tcW w:w="225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Cupo casi copado: solo $10.000 disponibles</w:t>
            </w:r>
          </w:p>
        </w:tc>
      </w:tr>
      <w:tr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Wilson Villegas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1015998877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−$20.000</w:t>
            </w:r>
          </w:p>
        </w:tc>
        <w:tc>
          <w:tcPr>
            <w:tcW w:w="225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El caso Broadway, resuelto</w:t>
            </w:r>
          </w:p>
        </w:tc>
      </w:tr>
    </w:tbl>
    <w:p/>
    <w:p>
      <w:pPr>
        <w:pStyle w:val="Normal"/>
      </w:pPr>
      <w:r>
        <w:t xml:space="preserve">Un saldo en negativo significa que la empresa le debe al cliente, no al revés.</w:t>
      </w:r>
    </w:p>
    <w:p>
      <w:pPr>
        <w:pStyle w:val="Heading1"/>
      </w:pPr>
      <w:r>
        <w:t xml:space="preserve">5. Guion de la demostración</w:t>
      </w:r>
    </w:p>
    <w:p>
      <w:pPr>
        <w:pStyle w:val="Normal"/>
      </w:pPr>
      <w:r>
        <w:t xml:space="preserve">Este recorrido dura unos diez minutos y va de lo simple a lo que de verdad diferencia.</w:t>
      </w:r>
    </w:p>
    <w:p>
      <w:pPr>
        <w:pStyle w:val="Heading2"/>
      </w:pPr>
      <w:r>
        <w:t xml:space="preserve">Paso 1 — La hoja de cuenta (Carolina Ramírez)</w:t>
      </w:r>
    </w:p>
    <w:p>
      <w:pPr>
        <w:pStyle w:val="ListParagraph"/>
        <w:numPr>
          <w:ilvl w:val="0"/>
          <w:numId w:val="1"/>
        </w:numPr>
      </w:pPr>
      <w:r>
        <w:t xml:space="preserve">Entra a </w:t>
      </w:r>
      <w:r>
        <w:rPr>
          <w:b/>
        </w:rPr>
        <w:t xml:space="preserve">Reportes operativos → Estado de cuenta</w:t>
      </w:r>
      <w:r>
        <w:t xml:space="preserve"> y busca a Carolina.</w:t>
      </w:r>
    </w:p>
    <w:p>
      <w:pPr>
        <w:pStyle w:val="ListParagraph"/>
        <w:numPr>
          <w:ilvl w:val="0"/>
          <w:numId w:val="1"/>
        </w:numPr>
      </w:pPr>
      <w:r>
        <w:t xml:space="preserve">Arriba salen cuatro cifras: total facturado, total abonado, saldo a favor y saldo adeudado.</w:t>
      </w:r>
    </w:p>
    <w:p>
      <w:pPr>
        <w:pStyle w:val="ListParagraph"/>
        <w:numPr>
          <w:ilvl w:val="0"/>
          <w:numId w:val="1"/>
        </w:numPr>
      </w:pPr>
      <w:r>
        <w:t xml:space="preserve">Abajo, cada movimiento con el saldo acumulado hasta ese punto.</w:t>
      </w:r>
    </w:p>
    <w:p>
      <w:pPr>
        <w:pStyle w:val="ListParagraph"/>
        <w:numPr>
          <w:ilvl w:val="0"/>
          <w:numId w:val="1"/>
        </w:numPr>
      </w:pPr>
      <w:r>
        <w:t xml:space="preserve">Punto a resaltar: el saldo de cada línea sale de las facturas y los pagos reales, no de una tabla aparte que pueda desincronizarse.</w:t>
      </w:r>
    </w:p>
    <w:p>
      <w:pPr>
        <w:pStyle w:val="Heading2"/>
      </w:pPr>
      <w:r>
        <w:t xml:space="preserve">Paso 2 — El que migró debiendo (Jorge Andrés Soto)</w:t>
      </w:r>
    </w:p>
    <w:p>
      <w:pPr>
        <w:pStyle w:val="ListParagraph"/>
        <w:numPr>
          <w:ilvl w:val="0"/>
          <w:numId w:val="1"/>
        </w:numPr>
      </w:pPr>
      <w:r>
        <w:t xml:space="preserve">Su hoja abre con una línea </w:t>
      </w:r>
      <w:r>
        <w:rPr>
          <w:b/>
        </w:rPr>
        <w:t xml:space="preserve">Saldo de apertura</w:t>
      </w:r>
      <w:r>
        <w:t xml:space="preserve">: lo que ya debía cuando la empresa empezó a usar Emprenddi.</w:t>
      </w:r>
    </w:p>
    <w:p>
      <w:pPr>
        <w:pStyle w:val="ListParagraph"/>
        <w:numPr>
          <w:ilvl w:val="0"/>
          <w:numId w:val="1"/>
        </w:numPr>
      </w:pPr>
      <w:r>
        <w:t xml:space="preserve">Sirve para responder la pregunta que siempre sale en una demostración: “¿y los saldos que ya tengo en mi sistema actual?”.</w:t>
      </w:r>
    </w:p>
    <w:p>
      <w:pPr>
        <w:pStyle w:val="ListParagraph"/>
        <w:numPr>
          <w:ilvl w:val="0"/>
          <w:numId w:val="1"/>
        </w:numPr>
      </w:pPr>
      <w:r>
        <w:t xml:space="preserve">La respuesta: se importan con el archivo de terceros, en las columnas </w:t>
      </w:r>
      <w:r>
        <w:rPr>
          <w:rFonts w:ascii="Consolas" w:hAnsi="Consolas"/>
          <w:color w:val="B91C1C"/>
        </w:rPr>
        <w:t xml:space="preserve">opening_balance</w:t>
      </w:r>
      <w:r>
        <w:t xml:space="preserve"> y </w:t>
      </w:r>
      <w:r>
        <w:rPr>
          <w:rFonts w:ascii="Consolas" w:hAnsi="Consolas"/>
          <w:color w:val="B91C1C"/>
        </w:rPr>
        <w:t xml:space="preserve">opening_balance_date</w:t>
      </w:r>
      <w:r>
        <w:t xml:space="preserve">.</w:t>
      </w:r>
    </w:p>
    <w:p>
      <w:pPr>
        <w:pStyle w:val="Heading2"/>
      </w:pPr>
      <w:r>
        <w:t xml:space="preserve">Paso 3 — El caso Broadway (Wilson Villegas)</w:t>
      </w:r>
    </w:p>
    <w:p>
      <w:pPr>
        <w:pStyle w:val="Normal"/>
      </w:pPr>
      <w:r>
        <w:rPr>
          <w:b/>
        </w:rPr>
        <w:t xml:space="preserve">Este es el que vale.</w:t>
      </w:r>
      <w:r>
        <w:t xml:space="preserve"> Wilson reproduce un caso real de otro sistema: un cliente que abona cuando ya tiene una factura pendiente.</w:t>
      </w:r>
    </w:p>
    <w:p>
      <w:pPr>
        <w:pStyle w:val="ListParagraph"/>
        <w:numPr>
          <w:ilvl w:val="0"/>
          <w:numId w:val="1"/>
        </w:numPr>
      </w:pPr>
      <w:r>
        <w:t xml:space="preserve">En el otro sistema quedaba con </w:t>
      </w:r>
      <w:r>
        <w:rPr>
          <w:b/>
        </w:rPr>
        <w:t xml:space="preserve">$20.000 a favor Y $20.000 en deuda al mismo tiempo</w:t>
      </w:r>
      <w:r>
        <w:t xml:space="preserve">, y nadie sabía si el cliente debía o le debían.</w:t>
      </w:r>
    </w:p>
    <w:p>
      <w:pPr>
        <w:pStyle w:val="ListParagraph"/>
        <w:numPr>
          <w:ilvl w:val="0"/>
          <w:numId w:val="1"/>
        </w:numPr>
      </w:pPr>
      <w:r>
        <w:t xml:space="preserve">Aquí el anticipo se aplicó solo contra la factura pendiente: queda </w:t>
      </w:r>
      <w:r>
        <w:rPr>
          <w:b/>
        </w:rPr>
        <w:t xml:space="preserve">$20.000 a favor y deuda en cero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Esa es la diferencia, y se ve en una pantalla sin explicar nada.</w:t>
      </w:r>
    </w:p>
    <w:p>
      <w:pPr>
        <w:pStyle w:val="Heading2"/>
      </w:pPr>
      <w:r>
        <w:t xml:space="preserve">Paso 4 — El cupo de crédito (Martha Lucía Gómez)</w:t>
      </w:r>
    </w:p>
    <w:p>
      <w:pPr>
        <w:pStyle w:val="ListParagraph"/>
        <w:numPr>
          <w:ilvl w:val="0"/>
          <w:numId w:val="1"/>
        </w:numPr>
      </w:pPr>
      <w:r>
        <w:t xml:space="preserve">Su cupo es de $250.000 y debe $240.000: le quedan $10.000.</w:t>
      </w:r>
    </w:p>
    <w:p>
      <w:pPr>
        <w:pStyle w:val="ListParagraph"/>
        <w:numPr>
          <w:ilvl w:val="0"/>
          <w:numId w:val="1"/>
        </w:numPr>
      </w:pPr>
      <w:r>
        <w:t xml:space="preserve">En </w:t>
      </w:r>
      <w:r>
        <w:rPr>
          <w:b/>
        </w:rPr>
        <w:t xml:space="preserve">Contactos → Terceros</w:t>
      </w:r>
      <w:r>
        <w:t xml:space="preserve">, la columna Cupo muestra debajo cuánto le queda disponible.</w:t>
      </w:r>
    </w:p>
    <w:p>
      <w:pPr>
        <w:pStyle w:val="ListParagraph"/>
        <w:numPr>
          <w:ilvl w:val="0"/>
          <w:numId w:val="1"/>
        </w:numPr>
      </w:pPr>
      <w:r>
        <w:t xml:space="preserve">Intenta venderle a crédito algo de más de $10.000 y contabilizar la factura: el sistema lo bloquea diciendo el número exacto.</w:t>
      </w:r>
    </w:p>
    <w:p>
      <w:pPr>
        <w:pStyle w:val="Heading2"/>
      </w:pPr>
      <w:r>
        <w:t xml:space="preserve">Paso 5 — Registrar un anticipo en vivo</w:t>
      </w:r>
    </w:p>
    <w:p>
      <w:pPr>
        <w:pStyle w:val="ListParagraph"/>
        <w:numPr>
          <w:ilvl w:val="0"/>
          <w:numId w:val="1"/>
        </w:numPr>
      </w:pPr>
      <w:r>
        <w:t xml:space="preserve">En la hoja de cuenta de </w:t>
      </w:r>
      <w:r>
        <w:rPr>
          <w:b/>
        </w:rPr>
        <w:t xml:space="preserve">Carolina</w:t>
      </w:r>
      <w:r>
        <w:t xml:space="preserve">, dale a </w:t>
      </w:r>
      <w:r>
        <w:rPr>
          <w:b/>
        </w:rPr>
        <w:t xml:space="preserve">Registrar anticipo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Pon un valor mayor a su deuda, por ejemplo $200.000.</w:t>
      </w:r>
    </w:p>
    <w:p>
      <w:pPr>
        <w:pStyle w:val="ListParagraph"/>
        <w:numPr>
          <w:ilvl w:val="0"/>
          <w:numId w:val="1"/>
        </w:numPr>
      </w:pPr>
      <w:r>
        <w:t xml:space="preserve">Se aplica solo contra su factura pendiente y el sobrante queda como saldo a favor.</w:t>
      </w:r>
    </w:p>
    <w:p>
      <w:pPr>
        <w:pStyle w:val="ListParagraph"/>
        <w:numPr>
          <w:ilvl w:val="0"/>
          <w:numId w:val="1"/>
        </w:numPr>
      </w:pPr>
      <w:r>
        <w:t xml:space="preserve">Es la demostración de que el descuadre no se puede formar ni queriendo.</w:t>
      </w:r>
    </w:p>
    <w:p>
      <w:pPr>
        <w:pStyle w:val="Heading2"/>
      </w:pPr>
      <w:r>
        <w:t xml:space="preserve">Paso 6 — PDF y correo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Descargar PDF</w:t>
      </w:r>
      <w:r>
        <w:t xml:space="preserve"> genera el estado de cuenta con el membrete de la empresa.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Enviar por correo</w:t>
      </w:r>
      <w:r>
        <w:t xml:space="preserve"> abre un mensaje con el saldo ya redactado y el PDF adjunto.</w:t>
      </w:r>
    </w:p>
    <w:p>
      <w:pPr>
        <w:pStyle w:val="ListParagraph"/>
        <w:numPr>
          <w:ilvl w:val="0"/>
          <w:numId w:val="1"/>
        </w:numPr>
      </w:pPr>
      <w:r>
        <w:t xml:space="preserve">Los clientes del demo tienen correos de ejemplo (</w:t>
      </w:r>
      <w:r>
        <w:rPr>
          <w:rFonts w:ascii="Consolas" w:hAnsi="Consolas"/>
          <w:color w:val="B91C1C"/>
        </w:rPr>
        <w:t xml:space="preserve">@example.co</w:t>
      </w:r>
      <w:r>
        <w:t xml:space="preserve">), así que cambia el destinatario por uno tuyo si vas a enviarlo de verdad.</w:t>
      </w:r>
    </w:p>
    <w:p>
      <w:r>
        <w:br w:type="page"/>
      </w:r>
    </w:p>
    <w:p>
      <w:pPr>
        <w:pStyle w:val="Heading1"/>
      </w:pPr>
      <w:r>
        <w:t xml:space="preserve">6. Qué más trae el demo</w:t>
      </w:r>
    </w:p>
    <w:p>
      <w:pPr>
        <w:pStyle w:val="Heading2"/>
      </w:pPr>
      <w:r>
        <w:t xml:space="preserve">Productos</w:t>
      </w:r>
    </w:p>
    <w:tbl>
      <w:tblPr>
        <w:tblStyle w:val="TableGrid"/>
        <w:tblW w:w="900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r>
        <w:trPr>
          <w:tblHeader/>
        </w:trPr>
        <w:tc>
          <w:tcPr>
            <w:tcW w:w="300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tcW w:w="300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Producto</w:t>
            </w:r>
          </w:p>
        </w:tc>
        <w:tc>
          <w:tcPr>
            <w:tcW w:w="3000" w:type="dxa"/>
            <w:shd w:val="clear" w:fill="1F2937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Precio de venta</w:t>
            </w:r>
          </w:p>
        </w:tc>
      </w:tr>
      <w:tr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PERF-001</w:t>
            </w:r>
          </w:p>
        </w:tc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Eau de Parfum Nocturne 100 ml</w:t>
            </w:r>
          </w:p>
        </w:tc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$185.000</w:t>
            </w:r>
          </w:p>
        </w:tc>
      </w:tr>
      <w:tr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PERF-002</w:t>
            </w:r>
          </w:p>
        </w:tc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Eau de Toilette Brisa 75 ml</w:t>
            </w:r>
          </w:p>
        </w:tc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$128.000</w:t>
            </w:r>
          </w:p>
        </w:tc>
      </w:tr>
      <w:tr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PERF-003</w:t>
            </w:r>
          </w:p>
        </w:tc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Perfume Ámbar Oud 50 ml</w:t>
            </w:r>
          </w:p>
        </w:tc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$240.000</w:t>
            </w:r>
          </w:p>
        </w:tc>
      </w:tr>
      <w:tr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PERF-004</w:t>
            </w:r>
          </w:p>
        </w:tc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Body Splash Cítrico 250 ml</w:t>
            </w:r>
          </w:p>
        </w:tc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$45.000</w:t>
            </w:r>
          </w:p>
        </w:tc>
      </w:tr>
      <w:tr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PERF-005</w:t>
            </w:r>
          </w:p>
        </w:tc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Set Regalo Elegance</w:t>
            </w:r>
          </w:p>
        </w:tc>
        <w:tc>
          <w:tcPr>
            <w:tcW w:w="3000" w:type="dxa"/>
            <w:shd w:val="clear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$210.000</w:t>
            </w:r>
          </w:p>
        </w:tc>
      </w:tr>
      <w:tr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PERF-006</w:t>
            </w:r>
          </w:p>
        </w:tc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Crema Corporal Vainilla 200 ml</w:t>
            </w:r>
          </w:p>
        </w:tc>
        <w:tc>
          <w:tcPr>
            <w:tcW w:w="3000" w:type="dxa"/>
            <w:shd w:val="clear" w:fill="F8F9FA"/>
          </w:tcPr>
          <w:p>
            <w:pPr>
              <w:spacing w:before="40" w:after="40"/>
            </w:pPr>
            <w:r>
              <w:rPr>
                <w:sz w:val="18"/>
              </w:rPr>
              <w:t xml:space="preserve">$38.000</w:t>
            </w:r>
          </w:p>
        </w:tc>
      </w:tr>
    </w:tbl>
    <w:p/>
    <w:p>
      <w:pPr>
        <w:pStyle w:val="Normal"/>
      </w:pPr>
      <w:r>
        <w:t xml:space="preserve">Los precios ya incluyen IVA del 19 %.</w:t>
      </w:r>
    </w:p>
    <w:p>
      <w:pPr>
        <w:pStyle w:val="Heading2"/>
      </w:pPr>
      <w:r>
        <w:t xml:space="preserve">Facturas</w:t>
      </w:r>
    </w:p>
    <w:p>
      <w:pPr>
        <w:pStyle w:val="Normal"/>
      </w:pPr>
      <w:r>
        <w:t xml:space="preserve">Siete facturas a crédito, con prefijo </w:t>
      </w:r>
      <w:r>
        <w:rPr>
          <w:rFonts w:ascii="Consolas" w:hAnsi="Consolas"/>
          <w:color w:val="B91C1C"/>
        </w:rPr>
        <w:t xml:space="preserve">DEMO</w:t>
      </w:r>
      <w:r>
        <w:t xml:space="preserve"> y números del 1001 al 1007, todas contabilizadas. Cada una tiene 30 días de plazo desde su fecha.</w:t>
      </w:r>
    </w:p>
    <w:p>
      <w:pPr>
        <w:pStyle w:val="Heading1"/>
      </w:pPr>
      <w:r>
        <w:t xml:space="preserve">7. Lo que el demo no hace</w:t>
      </w:r>
    </w:p>
    <w:p>
      <w:pPr>
        <w:pStyle w:val="Normal"/>
      </w:pPr>
      <w:r>
        <w:t xml:space="preserve">Conviene saberlo antes de que lo pregunten en la reunión.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Los productos no controlan existencias.</w:t>
      </w:r>
      <w:r>
        <w:t xml:space="preserve"> El demo es de cartera; exigir una apertura de inventario para poder facturar solo agregaría ruido. Si necesitas mostrar inventario, es otro demo.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Las facturas no se envían a la DIAN.</w:t>
      </w:r>
      <w:r>
        <w:t xml:space="preserve"> Son facturas POS. La facturación electrónica se muestra en otra cuenta con su habilitación hecha.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Los correos de los clientes son de ejemplo.</w:t>
      </w:r>
      <w:r>
        <w:t xml:space="preserve"> No le envíes el estado de cuenta a </w:t>
      </w:r>
      <w:r>
        <w:rPr>
          <w:rFonts w:ascii="Consolas" w:hAnsi="Consolas"/>
          <w:color w:val="B91C1C"/>
        </w:rPr>
        <w:t xml:space="preserve">@example.co</w:t>
      </w:r>
      <w:r>
        <w:t xml:space="preserve"> esperando que llegue a alguna parte.</w:t>
      </w:r>
    </w:p>
    <w:p>
      <w:pPr>
        <w:pStyle w:val="Heading1"/>
      </w:pPr>
      <w:r>
        <w:t xml:space="preserve">8. Dejarlo como estaba</w:t>
      </w:r>
    </w:p>
    <w:p>
      <w:pPr>
        <w:pStyle w:val="Normal"/>
      </w:pPr>
      <w:r>
        <w:t xml:space="preserve">Si durante una demostración quedaron datos que no querías —un anticipo de prueba, una factura nueva—, lo más rápido es borrar los movimientos del demo y volver a sembrarlo: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docker exec emprenddi_app php artisan tinker --execute='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$c = \App\Models\Company::where("nit","901777333")-&gt;firstOrFail();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$inv = \App\Models\SaleInvoice::withoutGlobalScopes()-&gt;where("company_id",$c-&gt;id)-&gt;pluck("id");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\App\Models\Payment::withoutGlobalScopes()-&gt;whereIn("paymentable_id",$inv)-&gt;delete();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\DB::table("sale_invoice_lines")-&gt;whereIn("sale_invoice_id",$inv)-&gt;delete();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\App\Models\SaleInvoice::withoutGlobalScopes()-&gt;whereIn("id",$inv)-&gt;forceDelete();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\App\Models\CustomerAdvance::withoutGlobalScopes()-&gt;where("company_id",$c-&gt;id)-&gt;delete();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echo "demo limpiado\n";'</w:t>
      </w:r>
    </w:p>
    <w:p>
      <w:pPr>
        <w:pStyle w:val="Normal"/>
      </w:pPr>
      <w:r>
        <w:t xml:space="preserve">Y después:</w:t>
      </w:r>
    </w:p>
    <w:p>
      <w:pPr>
        <w:pStyle w:val="Codigo"/>
        <w:shd w:val="clear" w:fill="F1F3F5"/>
      </w:pPr>
      <w:r>
        <w:rPr>
          <w:rFonts w:ascii="Consolas" w:hAnsi="Consolas"/>
          <w:sz w:val="18"/>
        </w:rPr>
        <w:t xml:space="preserve">docker exec emprenddi_app php artisan db:seed --class=PerfumeryDemoSeeder --force</w:t>
      </w:r>
    </w:p>
    <w:p>
      <w:pPr>
        <w:pStyle w:val="Normal"/>
      </w:pPr>
      <w:r>
        <w:rPr>
          <w:b/>
        </w:rPr>
        <w:t xml:space="preserve">Ojo:</w:t>
      </w:r>
      <w:r>
        <w:t xml:space="preserve"> eso borra las facturas de esa empresa. Úsalo solo en la cuenta del demo, nunca en una cuenta de cliente real.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2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Title">
    <w:name w:val="Title"/>
    <w:pPr>
      <w:spacing w:after="80"/>
    </w:pPr>
    <w:rPr>
      <w:b/>
      <w:sz w:val="52"/>
      <w:color w:val="111827"/>
    </w:rPr>
  </w:style>
  <w:style w:type="paragraph" w:styleId="Heading1">
    <w:name w:val="heading 1"/>
    <w:pPr>
      <w:spacing w:before="360" w:after="120"/>
      <w:pBdr>
        <w:bottom w:val="single" w:sz="8" w:color="7C3AED"/>
      </w:pBdr>
    </w:pPr>
    <w:rPr>
      <w:b/>
      <w:sz w:val="30"/>
      <w:color w:val="5B21B6"/>
    </w:rPr>
  </w:style>
  <w:style w:type="paragraph" w:styleId="Heading2">
    <w:name w:val="heading 2"/>
    <w:pPr>
      <w:spacing w:before="240" w:after="100"/>
    </w:pPr>
    <w:rPr>
      <w:b/>
      <w:sz w:val="24"/>
      <w:color w:val="111827"/>
    </w:rPr>
  </w:style>
  <w:style w:type="paragraph" w:styleId="ListParagraph">
    <w:name w:val="List Paragraph"/>
    <w:pPr>
      <w:spacing w:after="60"/>
      <w:ind w:left="360"/>
    </w:pPr>
  </w:style>
  <w:style w:type="paragraph" w:styleId="Codigo">
    <w:name w:val="Codigo"/>
    <w:pPr>
      <w:spacing w:after="0" w:line="240" w:lineRule="auto"/>
      <w:ind w:left="120"/>
    </w:p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