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Se bem percebi, vocês conseguem usar e ver as mensagens SOAP com o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LoggingHandler 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nos servidores que respondem aos web services (servidores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transporter-ws 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em execução), mas não conseguem ver nem a mensagem SOAP inicial antes dos stubs do cliente (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broker-ws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 neste caso é o cliente dos web services dos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transporter-ws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) invocarem o web service nem a mensagem SOAP que o cliente recebe como resposta à invocação inicial do web service?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Noto aqui que configurar os handlers para um endpoint do servidor é diferente de configurar os handlers para os stubs num cliente que invoca os web services.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Peço para estudarem o exemplo do laboratório de handlers de estafetas para verem as diferenças: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hyperlink r:id="rId4" w:tgtFrame="_blank" w:history="1">
        <w:r w:rsidRPr="0054593D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pt-PT"/>
          </w:rPr>
          <w:t>http://disciplinas.tecnico.ulisboa.pt/leic-sod/2015-2016/labs/10-soap-handlers/index.html</w:t>
        </w:r>
      </w:hyperlink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No final dessa página, têm links para o cliente e servidor de estafetas.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Nota: para compilar o cliente, lembrem-se que este exemplo é </w:t>
      </w:r>
      <w:r w:rsidRPr="0054593D">
        <w:rPr>
          <w:rFonts w:ascii="Georgia" w:eastAsia="Times New Roman" w:hAnsi="Georgia" w:cs="Times New Roman"/>
          <w:b/>
          <w:bCs/>
          <w:sz w:val="24"/>
          <w:szCs w:val="24"/>
          <w:lang w:eastAsia="pt-PT"/>
        </w:rPr>
        <w:t>implementation-first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, pelo que o servidor tem de estar em execução para conseguir compilar o cliente.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b/>
          <w:bCs/>
          <w:sz w:val="24"/>
          <w:szCs w:val="24"/>
          <w:lang w:eastAsia="pt-PT"/>
        </w:rPr>
        <w:t>Servidor: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hyperlink r:id="rId5" w:tgtFrame="_blank" w:history="1">
        <w:r w:rsidRPr="0054593D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pt-PT"/>
          </w:rPr>
          <w:t>http://disciplinas.tecnico.ulisboa.pt/leic-sod/2015-2016/labs/10-soap-handlers/hello-ws_handlers_relay.zip</w:t>
        </w:r>
      </w:hyperlink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Tem o ficheiro de configuração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src/main/resources:</w:t>
      </w: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2408555" cy="675640"/>
            <wp:effectExtent l="19050" t="0" r="0" b="0"/>
            <wp:docPr id="2" name="Picture 2" descr="D:\Dropbox\Private\private-SD-2016\client-handler-tutorial\relay_serv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Private\private-SD-2016\client-handler-tutorial\relay_server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Este ficheiro tem "chain" no nome sem ser por acaso. Como o nome indicia, contém uma lista de handlers a usar no servidor e a ordem pela qual são usados: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5397500" cy="1876425"/>
            <wp:effectExtent l="19050" t="0" r="0" b="0"/>
            <wp:docPr id="3" name="Picture 3" descr="D:\Dropbox\Private\private-SD-2016\client-handler-tutorial\relay_serv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Private\private-SD-2016\client-handler-tutorial\relay_server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Na implementação da interface dos web services do servidor, coloca-se manualmente uma anotação a indicar que é para usar um ficheiro de handler.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Neste exemplo, a implementação é o ficheiro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HelloImpl.java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:</w:t>
      </w: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2313305" cy="1364615"/>
            <wp:effectExtent l="19050" t="0" r="0" b="0"/>
            <wp:docPr id="4" name="Picture 4" descr="D:\Dropbox\Private\private-SD-2016\client-handler-tutorial\relay_serv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Private\private-SD-2016\client-handler-tutorial\relay_server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Se abrirem o ficheiro e virem a definição da classe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HelloImpl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, encontrarão a tal anotação: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4504055" cy="791845"/>
            <wp:effectExtent l="19050" t="0" r="0" b="0"/>
            <wp:docPr id="5" name="Picture 5" descr="D:\Dropbox\Private\private-SD-2016\client-handler-tutorial\relay_serv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Private\private-SD-2016\client-handler-tutorial\relay_server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É com estas configurações que os handler desejados são configurados para funcionar no servidor.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b/>
          <w:bCs/>
          <w:sz w:val="24"/>
          <w:szCs w:val="24"/>
          <w:lang w:eastAsia="pt-PT"/>
        </w:rPr>
        <w:t>Cliente: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hyperlink r:id="rId10" w:tgtFrame="_blank" w:history="1">
        <w:r w:rsidRPr="0054593D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eastAsia="pt-PT"/>
          </w:rPr>
          <w:t>http://disciplinas.tecnico.ulisboa.pt/leic-sod/2015-2016/labs/10-soap-handlers/hello-ws-cli_handlers_relay.zip</w:t>
        </w:r>
      </w:hyperlink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Neste caso a configuração é ligeiramente diferente.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Em vez de anotar uma classe que implemente uma interface remota, é necessário anotar o stub que é usado para invocar o web service.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Mas... O stub é gerado automaticamente! Se anotarem o ficheiro gerado automaticamente, a anotação irá desaparecer se fizerem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mvn clean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 e compilarem novamente.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Para resolver isto, tem de existir o diretório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src/jaxws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 no projeto cliente. Esta pasta tem dois ficheiros XML: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2675255" cy="3446145"/>
            <wp:effectExtent l="19050" t="0" r="0" b="0"/>
            <wp:docPr id="6" name="Picture 6" descr="D:\Dropbox\Private\private-SD-2016\client-handler-tutorial\relay_cli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Private\private-SD-2016\client-handler-tutorial\relay_client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O primeiro ficheiro,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hello_handler-chain-binding.xml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 tem dentro de si uma especificação do nome do ficheiro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HelloImplService_handler.xml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, que é justamente o segundo ficheiro.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Este segundo ficheiro é o que especifica a configuração de handlers para </w:t>
      </w:r>
      <w:r w:rsidRPr="0054593D">
        <w:rPr>
          <w:rFonts w:ascii="Georgia" w:eastAsia="Times New Roman" w:hAnsi="Georgia" w:cs="Times New Roman"/>
          <w:b/>
          <w:bCs/>
          <w:sz w:val="24"/>
          <w:szCs w:val="24"/>
          <w:lang w:eastAsia="pt-PT"/>
        </w:rPr>
        <w:t>para o stub do cliente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. É assim que se configuram handlers para intercetar as mensagens SOAP a partir e a vir do cliente.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 xml:space="preserve">Com estes ficheiros presentes, quando se compila o projeto cliente, o stub é gerado automaticamente com a anotação que indica o ficheiro </w:t>
      </w:r>
      <w:r w:rsidRPr="0054593D">
        <w:rPr>
          <w:rFonts w:ascii="Courier New" w:eastAsia="Times New Roman" w:hAnsi="Courier New" w:cs="Courier New"/>
          <w:sz w:val="24"/>
          <w:szCs w:val="24"/>
          <w:lang w:eastAsia="pt-PT"/>
        </w:rPr>
        <w:t>HelloImplService_handler.xml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: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2620645" cy="2402205"/>
            <wp:effectExtent l="19050" t="0" r="8255" b="0"/>
            <wp:docPr id="7" name="Picture 7" descr="D:\Dropbox\Private\private-SD-2016\client-handler-tutorial\relay_clie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Private\private-SD-2016\client-handler-tutorial\relay_client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lastRenderedPageBreak/>
        <w:t>Se for aberto esse ficheiro, encontrarão a tal anotação:</w:t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br/>
      </w:r>
      <w:r>
        <w:rPr>
          <w:rFonts w:ascii="Georgia" w:eastAsia="Times New Roman" w:hAnsi="Georgia" w:cs="Times New Roman"/>
          <w:noProof/>
          <w:sz w:val="24"/>
          <w:szCs w:val="24"/>
          <w:lang w:eastAsia="pt-PT"/>
        </w:rPr>
        <w:drawing>
          <wp:inline distT="0" distB="0" distL="0" distR="0">
            <wp:extent cx="4025900" cy="1706245"/>
            <wp:effectExtent l="19050" t="0" r="0" b="0"/>
            <wp:docPr id="9" name="Picture 8" descr="D:\Dropbox\Private\private-SD-2016\client-handler-tutorial\relay_clien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Private\private-SD-2016\client-handler-tutorial\relay_client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É assim que conseguem associar handlers ao lado cliente de web services.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Se removerem a pasta jaxws desse projeto cliente e recompilarem, a anotação deverá desaparecer do HelloImplService (gerado automaticamente) e os handlers deixarão de funcionar no cliente.</w:t>
      </w: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Espero que este exemplo vos ajude. Obviamente, no vosso projeto, terão provavelmente de mudar o nome dos ficheiros, uma vez que não têm nenhuma interface remota ou stub chamado "Hello".</w:t>
      </w:r>
    </w:p>
    <w:p w:rsidR="0054593D" w:rsidRPr="0054593D" w:rsidRDefault="0054593D" w:rsidP="0054593D">
      <w:pPr>
        <w:spacing w:after="24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</w:p>
    <w:p w:rsidR="0054593D" w:rsidRPr="0054593D" w:rsidRDefault="0054593D" w:rsidP="0054593D">
      <w:pPr>
        <w:spacing w:after="0" w:line="240" w:lineRule="auto"/>
        <w:rPr>
          <w:rFonts w:ascii="Georgia" w:eastAsia="Times New Roman" w:hAnsi="Georgia" w:cs="Times New Roman"/>
          <w:sz w:val="24"/>
          <w:szCs w:val="24"/>
          <w:lang w:eastAsia="pt-PT"/>
        </w:rPr>
      </w:pPr>
      <w:r w:rsidRPr="0054593D">
        <w:rPr>
          <w:rFonts w:ascii="Georgia" w:eastAsia="Times New Roman" w:hAnsi="Georgia" w:cs="Times New Roman"/>
          <w:sz w:val="24"/>
          <w:szCs w:val="24"/>
          <w:lang w:eastAsia="pt-PT"/>
        </w:rPr>
        <w:t>Bom trabalho,</w:t>
      </w:r>
    </w:p>
    <w:p w:rsidR="00695F8D" w:rsidRDefault="00695F8D"/>
    <w:sectPr w:rsidR="00695F8D" w:rsidSect="0069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4593D"/>
    <w:rsid w:val="000B7707"/>
    <w:rsid w:val="00155417"/>
    <w:rsid w:val="0038517D"/>
    <w:rsid w:val="0054593D"/>
    <w:rsid w:val="00695F8D"/>
    <w:rsid w:val="00714966"/>
    <w:rsid w:val="00D03138"/>
    <w:rsid w:val="00E30A99"/>
    <w:rsid w:val="00EE1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9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disciplinas.tecnico.ulisboa.pt/leic-sod/2015-2016/labs/10-soap-handlers/hello-ws_handlers_relay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isciplinas.tecnico.ulisboa.pt/leic-sod/2015-2016/labs/10-soap-handlers/hello-ws-cli_handlers_relay.zip" TargetMode="External"/><Relationship Id="rId4" Type="http://schemas.openxmlformats.org/officeDocument/2006/relationships/hyperlink" Target="http://disciplinas.tecnico.ulisboa.pt/leic-sod/2015-2016/labs/10-soap-handlers/index.htm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2016-05-08T20:54:00Z</dcterms:created>
  <dcterms:modified xsi:type="dcterms:W3CDTF">2016-05-08T20:56:00Z</dcterms:modified>
</cp:coreProperties>
</file>