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8"/>
        <w:gridCol w:w="2200"/>
      </w:tblGrid>
      <w:tr>
        <w:tc>
          <w:tcPr>
            <w:tcW w:type="dxa" w:w="743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2761" w:color="auto" w:val="clear"/>
            <w:tcMar>
              <w:top w:type="dxa" w:w="260"/>
              <w:left w:type="dxa" w:w="300"/>
              <w:bottom w:type="dxa" w:w="260"/>
              <w:right w:type="dxa" w:w="120"/>
            </w:tcMar>
            <w:vAlign w:val="top"/>
          </w:tcPr>
          <w:p>
            <w:pPr>
              <w:spacing w:after="160" w:before="0"/>
            </w:pPr>
            <w:r>
              <w:drawing>
                <wp:inline distT="0" distB="0" distL="0" distR="0">
                  <wp:extent cx="160020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Especificação de Requisitos</w:t>
            </w:r>
          </w:p>
          <w:p>
            <w:pPr>
              <w:spacing w:after="15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ADCFC"/>
                <w:sz w:val="23"/>
                <w:szCs w:val="23"/>
              </w:rPr>
              <w:t xml:space="preserve">Portal web Flux — hub de ferramentas de IA da Tecnofink e empresas do grupo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A623"/>
                <w:sz w:val="18"/>
                <w:szCs w:val="18"/>
              </w:rPr>
              <w:t xml:space="preserve">Documento interno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ADCFC"/>
                <w:sz w:val="18"/>
                <w:szCs w:val="18"/>
              </w:rPr>
              <w:t xml:space="preserve">   ·   Versão 1.1   ·   Emissão: 03/07/2026   ·   Requisitos validados   ·   Classificação: uso interno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2761" w:color="auto" w:val="clear"/>
            <w:tcMar>
              <w:top w:type="dxa" w:w="260"/>
              <w:left w:type="dxa" w:w="120"/>
              <w:bottom w:type="dxa" w:w="260"/>
              <w:right w:type="dxa" w:w="300"/>
            </w:tcMar>
            <w:vAlign w:val="top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10477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line="240"/>
      </w:pP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1. Visão geral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Portal web de uso exclusivo dos colaboradores da Tecnofink e empresas do grupo, funcionando como hub de ferramentas de inteligência artificial. A primeira e principal ferramenta é o Flux — programa de inovação com IA baseado em ciclos: inscrição de projetos (pitch), execução com prazo definido pelo próprio colaborador, avaliação por comitê e ranking por pontuação ponderada. Novas ferramentas, frutos dos próprios projetos do Flux, serão adicionadas ao hub futuramente.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Toda a aplicação segue a identidade visual do design system Tecnofink, mantido no Claude Design.</w:t>
      </w: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2. Escopo da versão 1</w:t>
      </w:r>
    </w:p>
    <w:p>
      <w:pPr>
        <w:spacing w:after="8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Estão incluídos nesta versão: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Cadastro autônomo com confirmação de e-mail, restrito a domínios do grupo (sem aprovação humana);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Perfil do colaborador;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Hub com acesso à ferramenta Flux e estrutura para ferramentas futuras;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Módulo Flux completo: ciclos, pitch, registro de resultado, avaliação do comitê, cálculo e rankings, controle de tier do Claude;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Administração de usuários, papéis, domínios liberados e ciclos;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Notificações por e-mail (Google Workspace).</w:t>
      </w:r>
    </w:p>
    <w:p>
      <w:pPr>
        <w:spacing w:after="120" w:before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que fica fora desta versão está descrito na seção 8.</w:t>
      </w: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3. Atores e perfis de acesso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50"/>
        <w:gridCol w:w="5488"/>
      </w:tblGrid>
      <w:tr>
        <w:trPr>
          <w:tblHeader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Perfil</w:t>
            </w:r>
          </w:p>
        </w:tc>
        <w:tc>
          <w:tcPr>
            <w:tcW w:type="dxa" w:w="24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Quem (inicial)</w:t>
            </w:r>
          </w:p>
        </w:tc>
        <w:tc>
          <w:tcPr>
            <w:tcW w:type="dxa" w:w="54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Permissões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Usuário</w:t>
            </w:r>
          </w:p>
        </w:tc>
        <w:tc>
          <w:tcPr>
            <w:tcW w:type="dxa" w:w="24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Todos os colaboradores</w:t>
            </w:r>
          </w:p>
        </w:tc>
        <w:tc>
          <w:tcPr>
            <w:tcW w:type="dxa" w:w="54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Acessar o hub e as ferramentas liberadas; inscrever pitch; registrar resultado; consultar rankings e histórico; gerenciar o próprio perfil.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Avaliador (Comitê)</w:t>
            </w:r>
          </w:p>
        </w:tc>
        <w:tc>
          <w:tcPr>
            <w:tcW w:type="dxa" w:w="24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Marcos, Emilio e Thomas</w:t>
            </w:r>
          </w:p>
        </w:tc>
        <w:tc>
          <w:tcPr>
            <w:tcW w:type="dxa" w:w="54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Tudo de Usuário + aprovar o retorno tangível real; atribuir notas de Intangível, Impacto e Alcance; definir o tier de Claude de cada colaborador ao fim do ciclo.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24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Daniel (analista de sistemas) e Marcos</w:t>
            </w:r>
          </w:p>
        </w:tc>
        <w:tc>
          <w:tcPr>
            <w:tcW w:type="dxa" w:w="54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Tudo de Usuário + gestão do portal: usuários e papéis, ativação/desativação de contas, domínios liberados, ciclos, ferramentas do hub, definição do limite de Claude por projeto inscrito e registro da aplicação manual dos acessos.</w:t>
            </w:r>
          </w:p>
        </w:tc>
      </w:tr>
    </w:tbl>
    <w:p>
      <w:pPr>
        <w:spacing w:after="80" w:line="240"/>
      </w:pPr>
    </w:p>
    <w:p>
      <w:pPr>
        <w:pStyle w:val="ListParagraph"/>
        <w:numPr>
          <w:ilvl w:val="0"/>
          <w:numId w:val="3"/>
        </w:numPr>
        <w:spacing w:after="5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Os papéis são cumulativos e atribuídos por administradores.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Marcos acumula Administrador + Avaliador; Emilio e Thomas são apenas Avaliadores, sem acesso à administração do portal.</w:t>
      </w:r>
    </w:p>
    <w:p>
      <w:pPr>
        <w:pStyle w:val="ListParagraph"/>
        <w:numPr>
          <w:ilvl w:val="0"/>
          <w:numId w:val="3"/>
        </w:numPr>
        <w:spacing w:after="5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O comitê é fixo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(não muda por ciclo).</w:t>
      </w:r>
    </w:p>
    <w:p>
      <w:pPr>
        <w:pStyle w:val="ListParagraph"/>
        <w:numPr>
          <w:ilvl w:val="0"/>
          <w:numId w:val="3"/>
        </w:numPr>
        <w:spacing w:after="5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Gestor do projeto: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campo informativo preenchido no pitch; qualquer usuário do portal pode ser indicado (decisão P2).</w:t>
      </w: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4. Requisitos funcionais</w:t>
      </w:r>
    </w:p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4.1  Cadastro e autenticação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RF-01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Auto-cadastro no primeiro acesso com: nome, e-mail corporativo, empresa do grupo e cargo.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RF-02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Apenas e-mails com domínio presente na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lista de domínios liberados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, mantida no banco de dados e editável por administradores. Domínios fora da lista têm o cadastro bloqueado.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RF-03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Confirmação de e-mail obrigatória: o solicitante recebe link de verificação e criação de senha com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expiração em 30 minutos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. Não há aprovação humana no cadastro.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RF-04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“Esqueci minha senha” com link de redefinição, também expirando em 30 minutos.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RF-05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Login com e-mail e senha; sessão autenticada segura.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RF-06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Administradores podem desativar e reativar contas (ex.: desligamento de colaborador). Conta desativada perde o acesso imediatamente.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4.2  Perfil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RF-07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Após a criação da conta, a tela de perfil permite complementar: foto de perfil, departamento, apresentação e aniversário (todos opcionais).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RF-08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Dados do cadastro podem ser editados pelo próprio usuário,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exceto o e-mail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(chave de identidade da conta).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4.3  Hub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RF-09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 página inicial (hub) exibe as ferramentas disponíveis conforme o perfil do usuário. Na v1, a única ferramenta é o Flux.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RF-10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Estrutura administrável de ferramentas: cadastro de nome, descrição, ícone, rota/URL e perfis com acesso — permitindo adicionar ferramentas futuras com nível de acesso definido caso a caso, sem alterar o código do hub.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4.4  Flux — Ciclos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RF-11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Somente administradores criam e configuram ciclos: nome, data de abertura das inscrições, data-limite de inscrição e data de encerramento do ciclo.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RF-12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Existe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um ciclo ativo por vez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(decisão P1).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RF-13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histórico de ciclos encerrados fica consultável por todos: projetos, pontuações e rankings congelados no encerramento.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RF-14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 pontuação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não acumula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entre ciclos; cada ciclo recomeça do zero.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4.5  Flux — Inscrição (Pitch)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RF-15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Formulário de pitch com: nome e setor (preenchidos do perfil), nome do projeto, categoria, gestor do projeto (seleção entre usuários do portal), ganhos tangíveis estimados (R$ por ciclo), ganhos intangíveis (seleção múltipla da taxonomia da apresentação), deadline de entrega — obrigatoriamente dentro das datas do ciclo vigente (decisão P3) — e justificativa (por que a IA foi essencial).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RF-16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Categorias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fixas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(5): Produtividade e Eficiência · Qualidade e Tomada de Decisão · Experiência do Cliente · Inovação e Competitividade · Redução de Custos.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RF-17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Todos os valores tangíveis são padronizados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por ciclo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. O formulário torna isso explícito e converte valores mensais automaticamente (valor mensal × meses do ciclo — decisão P6).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RF-18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Tela de confirmação antes do envio, avisando que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o pitch não poderá ser editado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após enviado — sem impedir que o produto final seja um pouco diferente do descrito.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RF-19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Pitch enviado não é editável.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RF-20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titular pode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excluir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o próprio pitch até a data-limite de inscrição. Se o pitch excluído já tiver passado pela avaliação de acesso (RF-21), todos os administradores são notificados para rever os acessos ao Claude.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RF-21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Todo pitch inscrito passa pela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avaliação do administrador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, que define o limite/tier de Claude que o projeto receberá. A concessão do acesso é feita manualmente no console do Claude (fora do portal) e o registro é mantido no portal.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RF-22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Projetos são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individuais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: um único titular, sem colaboradores registrados.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4.6  Flux — Execução e registro de resultado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RF-23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Ao concluir o projeto, o titular registra o resultado real: valor tangível realizado (R$ por ciclo), ganhos intangíveis observados, descrição do resultado 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anexos de evidência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(planilhas, imagens, documentos).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RF-24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valor tangível declarado só entra no cálculo da pontuação após aprovação do comitê (RF-26).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RF-25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Projetos com deadline vencido sem resultado registrado são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sinalizados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como pendentes/atrasados.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Não há desclassificação automática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— a decisão (desclassificar ou aceitar registro tardio com Pontualidade 0) é humana, do comitê/administração (decisão P9).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4.7  Flux — Avaliação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RF-26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comitê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aprova o valor tangível real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informado pelo titular; enquanto não aprovado, o valor não entra no cálculo nem na normalização do ciclo.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RF-27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Cada membro do comitê atribui notas de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0 a 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para Intangível, Impacto e Alcance de cada projeto concluído.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RF-28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 nota de cada critério é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média das notas dos membros, arredondada para o número inteiro mais próximo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— frações de 0,5 arredondam para cima (ex.: média 4,5 → nota 5; média 4,33 → nota 4). A nota de cada critério é sempre um inteiro de 0 a 5.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RF-29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Pontualidade é calculada automaticamente e é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binária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: 100% se o resultado foi registrado até o deadline do pitch; 0% caso contrário.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RF-30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titular vê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apenas a pontuação final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; notas individuais e identidade dos avaliadores não são exibidas.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4.8  Flux — Cálculo e ranking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RF-31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 pontuação final segue as regras de negócio da seção 5.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RF-32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Rankings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global e por categoria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, atualizados em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tempo real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durante o ciclo. Como o Tangível usa normalização relativa, um novo resultado aprovado que supere o maior retorno do ciclo recalcula retroativamente a nota de todos os projetos — comportamento aceito por definição.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RF-33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Os rankings são visíveis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todos os usuários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do portal, inclusive quem não inscreveu projeto.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RF-34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No encerramento do ciclo, o ranking é congelado e arquivado no histórico (RF-13).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4.9  Flux — Controle de acesso ao Claude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RF-35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portal mantém, por colaborador: tier atual (Basic / Enterprise / sem acesso), decisão de tier para o próximo ciclo (definida pelo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comitê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ao fim de cada ciclo) e status de aplicação (pendente/aplicado). A aplicação é sempre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manual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, feita pelo administrador no console do Claude e registrada no portal.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RF-36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Relatório/alerta de colaboradores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sem projeto inscrito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no ciclo vigente (regra do programa: perdem o acesso no ciclo seguinte). A revogação também é manual, com registro no portal.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4.10  Notificações por e-mail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RF-37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sistema envia, via Google Workspace: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Verificação de e-mail no cadastro (link de 30 min);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Criação/redefinição de senha (link de 30 min);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Confirmação de inscrição de pitch;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Lembretes de deadline do projeto, enviados 7 dias e 1 dia antes da data (decisão P4);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Solicitação de avaliação pendente ao comitê (quando um resultado é registrado);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Publicação/encerramento do ranking do ciclo;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Alerta aos administradores quando um pitch já avaliado é excluído (RF-20).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4.11  Administração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RF-38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Painel administrativo para: usuários e papéis, ativação/desativação de contas, domínios liberados, ciclos, ferramentas do hub e registro de tiers do Claude.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RF-39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Registro de auditoria (log) das ações administrativas e de avaliação: quem fez o quê e quando (decisão P7).</w:t>
            </w:r>
          </w:p>
        </w:tc>
      </w:tr>
    </w:tbl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5. Regras de negócio — pontuação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950"/>
        <w:gridCol w:w="2750"/>
        <w:gridCol w:w="3888"/>
      </w:tblGrid>
      <w:tr>
        <w:trPr>
          <w:tblHeader/>
        </w:trPr>
        <w:tc>
          <w:tcPr>
            <w:tcW w:type="dxa" w:w="20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Critério</w:t>
            </w:r>
          </w:p>
        </w:tc>
        <w:tc>
          <w:tcPr>
            <w:tcW w:type="dxa" w:w="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Peso</w:t>
            </w:r>
          </w:p>
        </w:tc>
        <w:tc>
          <w:tcPr>
            <w:tcW w:type="dxa" w:w="2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Origem</w:t>
            </w:r>
          </w:p>
        </w:tc>
        <w:tc>
          <w:tcPr>
            <w:tcW w:type="dxa" w:w="38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Cálculo (0–100 pts)</w:t>
            </w:r>
          </w:p>
        </w:tc>
      </w:tr>
      <w:tr>
        <w:tc>
          <w:tcPr>
            <w:tcW w:type="dxa" w:w="20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Retorno Tangível</w:t>
            </w:r>
          </w:p>
        </w:tc>
        <w:tc>
          <w:tcPr>
            <w:tcW w:type="dxa" w:w="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A623"/>
                <w:sz w:val="22"/>
                <w:szCs w:val="22"/>
              </w:rPr>
              <w:t xml:space="preserve">40%</w:t>
            </w:r>
          </w:p>
        </w:tc>
        <w:tc>
          <w:tcPr>
            <w:tcW w:type="dxa" w:w="2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Valor real aprovado pelo comitê</w:t>
            </w:r>
          </w:p>
        </w:tc>
        <w:tc>
          <w:tcPr>
            <w:tcW w:type="dxa" w:w="38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(retorno do projeto ÷ maior retorno aprovado do ciclo) × 100</w:t>
            </w:r>
          </w:p>
        </w:tc>
      </w:tr>
      <w:tr>
        <w:tc>
          <w:tcPr>
            <w:tcW w:type="dxa" w:w="20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Retorno Intangível</w:t>
            </w:r>
          </w:p>
        </w:tc>
        <w:tc>
          <w:tcPr>
            <w:tcW w:type="dxa" w:w="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A623"/>
                <w:sz w:val="22"/>
                <w:szCs w:val="22"/>
              </w:rPr>
              <w:t xml:space="preserve">20%</w:t>
            </w:r>
          </w:p>
        </w:tc>
        <w:tc>
          <w:tcPr>
            <w:tcW w:type="dxa" w:w="2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Notas 0–5 do comitê</w:t>
            </w:r>
          </w:p>
        </w:tc>
        <w:tc>
          <w:tcPr>
            <w:tcW w:type="dxa" w:w="38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média arredondada (inteiro 0–5) × 20</w:t>
            </w:r>
          </w:p>
        </w:tc>
      </w:tr>
      <w:tr>
        <w:tc>
          <w:tcPr>
            <w:tcW w:type="dxa" w:w="20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Impacto</w:t>
            </w:r>
          </w:p>
        </w:tc>
        <w:tc>
          <w:tcPr>
            <w:tcW w:type="dxa" w:w="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A623"/>
                <w:sz w:val="22"/>
                <w:szCs w:val="22"/>
              </w:rPr>
              <w:t xml:space="preserve">15%</w:t>
            </w:r>
          </w:p>
        </w:tc>
        <w:tc>
          <w:tcPr>
            <w:tcW w:type="dxa" w:w="2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Notas 0–5 do comitê</w:t>
            </w:r>
          </w:p>
        </w:tc>
        <w:tc>
          <w:tcPr>
            <w:tcW w:type="dxa" w:w="38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média arredondada (inteiro 0–5) × 20</w:t>
            </w:r>
          </w:p>
        </w:tc>
      </w:tr>
      <w:tr>
        <w:tc>
          <w:tcPr>
            <w:tcW w:type="dxa" w:w="20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Alcance</w:t>
            </w:r>
          </w:p>
        </w:tc>
        <w:tc>
          <w:tcPr>
            <w:tcW w:type="dxa" w:w="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A623"/>
                <w:sz w:val="22"/>
                <w:szCs w:val="22"/>
              </w:rPr>
              <w:t xml:space="preserve">15%</w:t>
            </w:r>
          </w:p>
        </w:tc>
        <w:tc>
          <w:tcPr>
            <w:tcW w:type="dxa" w:w="2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Notas 0–5 do comitê</w:t>
            </w:r>
          </w:p>
        </w:tc>
        <w:tc>
          <w:tcPr>
            <w:tcW w:type="dxa" w:w="38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média arredondada (inteiro 0–5) × 20</w:t>
            </w:r>
          </w:p>
        </w:tc>
      </w:tr>
      <w:tr>
        <w:tc>
          <w:tcPr>
            <w:tcW w:type="dxa" w:w="20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Pontualidade</w:t>
            </w:r>
          </w:p>
        </w:tc>
        <w:tc>
          <w:tcPr>
            <w:tcW w:type="dxa" w:w="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A623"/>
                <w:sz w:val="22"/>
                <w:szCs w:val="22"/>
              </w:rPr>
              <w:t xml:space="preserve">10%</w:t>
            </w:r>
          </w:p>
        </w:tc>
        <w:tc>
          <w:tcPr>
            <w:tcW w:type="dxa" w:w="2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Automática (deadline do pitch)</w:t>
            </w:r>
          </w:p>
        </w:tc>
        <w:tc>
          <w:tcPr>
            <w:tcW w:type="dxa" w:w="38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100 se entregue até o deadline; 0 caso contrário</w:t>
            </w:r>
          </w:p>
        </w:tc>
      </w:tr>
    </w:tbl>
    <w:p>
      <w:pPr>
        <w:spacing w:after="100" w:line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E" w:color="auto" w:val="clear"/>
            <w:tcMar>
              <w:top w:type="dxa" w:w="130"/>
              <w:left w:type="dxa" w:w="180"/>
              <w:bottom w:type="dxa" w:w="130"/>
              <w:right w:type="dxa" w:w="18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Fórmula: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nota final = Σ (pontos do critério × peso do critério). O arredondamento das médias do comitê é para o inteiro mais próximo, com 0,5 arredondando para cima. A nota final também é exibida como número inteiro, sem casas decimais, seguindo o mesmo arredondamento (decisão P5).</w:t>
            </w:r>
          </w:p>
        </w:tc>
      </w:tr>
    </w:tbl>
    <w:p>
      <w:pPr>
        <w:spacing w:after="60" w:line="240"/>
      </w:pPr>
    </w:p>
    <w:p>
      <w:pPr>
        <w:spacing w:after="8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Exemplo aplicando as regras oficiais (projeto com o maior retorno tangível do ciclo):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538"/>
        <w:gridCol w:w="1800"/>
      </w:tblGrid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761"/>
                <w:sz w:val="21"/>
                <w:szCs w:val="21"/>
              </w:rPr>
              <w:t xml:space="preserve">Tangível</w:t>
            </w:r>
          </w:p>
        </w:tc>
        <w:tc>
          <w:tcPr>
            <w:tcW w:type="dxa" w:w="55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maior retorno do ciclo → 100 pts × 40%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40,0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761"/>
                <w:sz w:val="21"/>
                <w:szCs w:val="21"/>
              </w:rPr>
              <w:t xml:space="preserve">Intangível</w:t>
            </w:r>
          </w:p>
        </w:tc>
        <w:tc>
          <w:tcPr>
            <w:tcW w:type="dxa" w:w="55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média 4,0 → nota 4 → 80 pts × 20%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16,0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761"/>
                <w:sz w:val="21"/>
                <w:szCs w:val="21"/>
              </w:rPr>
              <w:t xml:space="preserve">Impacto</w:t>
            </w:r>
          </w:p>
        </w:tc>
        <w:tc>
          <w:tcPr>
            <w:tcW w:type="dxa" w:w="55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média 4,5 → nota 5 → 100 pts × 15%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15,0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761"/>
                <w:sz w:val="21"/>
                <w:szCs w:val="21"/>
              </w:rPr>
              <w:t xml:space="preserve">Alcance</w:t>
            </w:r>
          </w:p>
        </w:tc>
        <w:tc>
          <w:tcPr>
            <w:tcW w:type="dxa" w:w="55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média 4,0 → nota 4 → 80 pts × 15%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12,0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761"/>
                <w:sz w:val="21"/>
                <w:szCs w:val="21"/>
              </w:rPr>
              <w:t xml:space="preserve">Pontualidade</w:t>
            </w:r>
          </w:p>
        </w:tc>
        <w:tc>
          <w:tcPr>
            <w:tcW w:type="dxa" w:w="55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entregue até o deadline → 100 pts × 10%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10,0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Nota final</w:t>
            </w:r>
          </w:p>
        </w:tc>
        <w:tc>
          <w:tcPr>
            <w:tcW w:type="dxa" w:w="55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A623"/>
                <w:sz w:val="24"/>
                <w:szCs w:val="24"/>
              </w:rPr>
              <w:t xml:space="preserve">93</w:t>
            </w:r>
          </w:p>
        </w:tc>
      </w:tr>
    </w:tbl>
    <w:p>
      <w:pPr>
        <w:spacing w:after="100" w:line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30"/>
              <w:left w:type="dxa" w:w="180"/>
              <w:bottom w:type="dxa" w:w="130"/>
              <w:right w:type="dxa" w:w="18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1"/>
                <w:szCs w:val="21"/>
              </w:rPr>
              <w:t xml:space="preserve">Observação: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com o arredondamento para inteiros, este exemplo confere exatamente com o projeto vencedor da apresentação do programa (93 pts) — cálculo oficial e material de divulgação alinhados.</w:t>
            </w:r>
          </w:p>
        </w:tc>
      </w:tr>
    </w:tbl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6. Requisitos não funcionais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Identidade visual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design system Tecnofink (Claude Design) aplicado a todas as telas do portal e do Flux.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Idioma e linguagem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português (BR), com textos simples e acessíveis ao público não técnico, no mesmo espírito da Política de Uso de IA.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Plataforma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interface otimizada para uso em desktop na v1; versão mobile fora de escopo (decisão P8).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Segurança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autenticação gerenciada (Firebase Authentication); links de verificação e senha com expiração de 30 minutos; controle de acesso por papéis (seção 3) validado no backend; tráfego exclusivamente HTTPS; senhas nunca armazenadas em texto claro.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LGPD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aviso de privacidade no cadastro informando a finalidade dos dados; campos pessoais do perfil (foto, aniversário, apresentação) opcionais; retificação pelo próprio usuário e exclusão de dados mediante solicitação aos administradores; minimização dos dados coletados.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Disponibilidade e backup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rotina de backup de banco e arquivos, a detalhar na fase de Modelagem e stacks.</w:t>
      </w: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7. Diretrizes de infraestrutura</w:t>
      </w:r>
    </w:p>
    <w:p>
      <w:pPr>
        <w:spacing w:after="8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Entrada para a fase de Modelagem e stacks: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Hospedagem: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Firebase com domínio próprio, em plano compatível com as necessidades — armazenamento de arquivos, backend e domínio customizado apontam para o plano Blaze (validar na próxima fase).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Serviços previstos: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Firebase Hosting, Authentication, banco de dados (Firestore), Storage (anexos de evidência) e Functions (backend: cálculo de pontuação, notificações e regras de acesso).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Repositório: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organização corporativa da Tecnofink no GitHub para manutenção do código.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E-mail transacional: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Google Workspace — na fase de stacks, avaliar envio via API/extensão dedicada para garantir confiabilidade e respeitar limites de envio.</w:t>
      </w: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8. Fora de escopo da versão 1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Ferramentas adicionais no hub — a estrutura de cadastro fica pronta, mas nenhuma ferramenta além do Flux é entregue.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Integração automática com o console do Claude — concessão e revogação de acessos permanecem manuais.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Edição de pitch após o envio e projetos com múltiplos titulares.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Versão mobile da interface — a v1 é otimizada para desktop (decisão P8).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Login social/SSO (ex.: entrar com conta Google Workspace) — candidato natural a evolução futura, dado o domínio corporativo.</w:t>
      </w: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9. Decisões de detalhe validadas</w:t>
      </w:r>
    </w:p>
    <w:p>
      <w:pPr>
        <w:spacing w:after="8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Pontos de detalhe levantados durante a especificação e validados em 03/07/2026: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P1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Existe apenas um ciclo ativo por vez.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P2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“Gestor do projeto” é campo informativo na v1: não recebe permissões nem notificações específicas.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P3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deadline definido no pitch deve estar dentro das datas do ciclo vigente.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P4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Lembretes de deadline enviados 7 dias e 1 dia antes da data.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P5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Nota final exibida sem casas decimais (número inteiro; arredondamento padrão, 0,5 para cima).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P6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Valores mensais convertidos automaticamente no formulário (valor mensal × meses do ciclo).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P7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Logs de auditoria administrativos incluídos na v1.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P8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Interface apenas para desktop na v1; versão mobile fora de escopo.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P9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Projeto sem resultado registrado ao fim do ciclo fica fora do ranking até decisão do comitê.</w:t>
            </w:r>
          </w:p>
        </w:tc>
      </w:tr>
    </w:tbl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10. Próximos passos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Modelagem e stacks: modelo de dados (Firestore), arquitetura Firebase, fluxo de e-mails e estimativa de custos do plano;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Prototipagem: protótipo interativo do portal com o design system Tecnofink (Claude Design);</w:t>
      </w:r>
    </w:p>
    <w:p>
      <w:pPr>
        <w:pStyle w:val="ListParagraph"/>
        <w:numPr>
          <w:ilvl w:val="0"/>
          <w:numId w:val="5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Validação do protótipo, seguida de construção, validação e lançamento.</w:t>
      </w: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Histórico de versões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7038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03/07/2026</w:t>
            </w:r>
          </w:p>
        </w:tc>
        <w:tc>
          <w:tcPr>
            <w:tcW w:type="dxa" w:w="7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Emissão inicial, com notas do comitê arredondadas para inteiros (0,5 para cima).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1.1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03/07/2026</w:t>
            </w:r>
          </w:p>
        </w:tc>
        <w:tc>
          <w:tcPr>
            <w:tcW w:type="dxa" w:w="7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Decisões P1–P9 validadas. Nota final passa a ser exibida sem casas decimais (P5); escopo da v1 restrito a desktop, com versão mobile fora de escopo (P8).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134" w:bottom="1300" w:left="1134" w:header="620" w:footer="4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38"/>
      <w:gridCol w:w="3200"/>
    </w:tblGrid>
    <w:tr>
      <w:tc>
        <w:tcPr>
          <w:tcW w:type="dxa" w:w="6438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52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64748B"/>
              <w:sz w:val="16"/>
              <w:szCs w:val="16"/>
            </w:rPr>
            <w:t xml:space="preserve">Flux · Especificação de Requisitos — v1.1</w:t>
          </w:r>
        </w:p>
      </w:tc>
      <w:tc>
        <w:tcPr>
          <w:tcW w:type="dxa" w:w="32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Página </w:t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38"/>
      <w:gridCol w:w="3200"/>
    </w:tblGrid>
    <w:tr>
      <w:tc>
        <w:tcPr>
          <w:tcW w:type="dxa" w:w="6438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52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64748B"/>
              <w:sz w:val="16"/>
              <w:szCs w:val="16"/>
            </w:rPr>
            <w:t xml:space="preserve">Flux · Especificação de Requisitos — v1.1</w:t>
          </w:r>
        </w:p>
      </w:tc>
      <w:tc>
        <w:tcPr>
          <w:tcW w:type="dxa" w:w="32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Página </w:t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right"/>
    </w:pPr>
    <w:r>
      <w:drawing>
        <wp:inline distT="0" distB="0" distL="0" distR="0">
          <wp:extent cx="876300" cy="1143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1E276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1E2761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b/>
        <w:bCs/>
        <w:color w:val="1E2761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1E276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bf6957366b8fd7a27353f36ff2234265add9bd3.png"/><Relationship Id="rId12" Type="http://schemas.openxmlformats.org/officeDocument/2006/relationships/image" Target="media/081393dc38291b14495071d9e7a69b08e7b35e3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d3f49eb2da2e4bdf7be6dbf4a6975c7a56eb13b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2026-07-03T19:22:44.295Z</dcterms:created>
  <dcterms:modified xsi:type="dcterms:W3CDTF">2026-07-03T19:22:44.295Z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