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Análisis de las entrevistas</w:t>
      </w:r>
    </w:p>
    <w:p>
      <w:pPr>
        <w:pStyle w:val="Subtitle"/>
      </w:pPr>
      <w:r>
        <w:t>Lectura del equipo y decisiones para BolsilloAlDía</w:t>
      </w:r>
    </w:p>
    <w:p>
      <w:pPr>
        <w:pStyle w:val="Small"/>
      </w:pPr>
      <w:r>
        <w:t>Elaborado por: Juan Andrés Taborda Rodríguez; Juan David Franco Yepes; Emmanuel Vidal; Johan Alexander Mejía Tamayo; Sara Mejía.</w:t>
      </w:r>
    </w:p>
    <w:p>
      <w:pPr>
        <w:pStyle w:val="Heading2"/>
      </w:pPr>
      <w:r>
        <w:t>Pregunta que orienta el análisis</w:t>
      </w:r>
    </w:p>
    <w:p>
      <w:r>
        <w:t>¿Cómo podemos ayudar a un estudiante a registrar lo que gasta y cuidar el dinero que quiere reservar, sin añadirle una rutina difícil de mantener? Para responder, agrupamos las doce preguntas del guion en hábitos actuales, dificultades y expectativas. Luego comparamos coincidencias y diferencias entre los tres participantes.</w:t>
      </w:r>
    </w:p>
    <w:p>
      <w:pPr>
        <w:pStyle w:val="Heading2"/>
      </w:pPr>
      <w:r>
        <w:t>Cómo leímos las respuestas</w:t>
      </w:r>
    </w:p>
    <w:p>
      <w:r>
        <w:t>Primero distinguimos lo que cada persona hace hoy de lo que le gustaría tener en una app. Después relacionamos los ejemplos con requisitos posibles. Una petición individual puede ser relevante aunque no aparezca en las tres entrevistas; lo importante es identificar su origen y comprobar más adelante si la solución propuesta resulta útil.</w:t>
      </w:r>
    </w:p>
    <w:p>
      <w:r>
        <w:t>La coincidencia de los tres en la pereza para registrar es una señal para simplificar el flujo. No significa que hayamos medido el tiempo ideal ni que todos los estudiantes se comporten igual. Del mismo modo, la configuración de avisos es una decisión de diseño basada en preferencias diferentes, no una frecuencia universal descubierta en campo.</w:t>
      </w:r>
    </w:p>
    <w:p>
      <w:pPr>
        <w:pStyle w:val="Heading2"/>
      </w:pPr>
      <w:r>
        <w:t>Criterios de lectura</w:t>
      </w:r>
    </w:p>
    <w:tbl>
      <w:tblPr>
        <w:tblW w:type="dxa" w:w="9360"/>
        <w:jc w:val="left"/>
        <w:tblLook w:firstColumn="1" w:firstRow="1" w:lastColumn="0" w:lastRow="0" w:noHBand="0" w:noVBand="1" w:val="04A0"/>
        <w:tblLayout w:type="fixed"/>
        <w:tblInd w:w="120" w:type="dxa"/>
      </w:tblPr>
      <w:tblGrid>
        <w:gridCol w:w="2600"/>
        <w:gridCol w:w="6760"/>
      </w:tblGrid>
      <w:tr>
        <w:trPr>
          <w:cantSplit/>
          <w:tblHeader w:val="true"/>
        </w:trPr>
        <w:tc>
          <w:tcPr>
            <w:tcW w:type="dxa" w:w="2600"/>
            <w:tcMar>
              <w:top w:w="80" w:type="dxa"/>
              <w:start w:w="120" w:type="dxa"/>
              <w:bottom w:w="80" w:type="dxa"/>
              <w:end w:w="120" w:type="dxa"/>
            </w:tcMar>
            <w:vAlign w:val="center"/>
            <w:shd w:fill="153344"/>
          </w:tcPr>
          <w:p>
            <w:pPr>
              <w:pStyle w:val="TableText"/>
            </w:pPr>
            <w:r>
              <w:rPr>
                <w:b/>
                <w:color w:val="FFFFFF"/>
              </w:rPr>
              <w:t>Qué revisamos</w:t>
            </w:r>
          </w:p>
        </w:tc>
        <w:tc>
          <w:tcPr>
            <w:tcW w:type="dxa" w:w="6760"/>
            <w:tcMar>
              <w:top w:w="80" w:type="dxa"/>
              <w:start w:w="120" w:type="dxa"/>
              <w:bottom w:w="80" w:type="dxa"/>
              <w:end w:w="120" w:type="dxa"/>
            </w:tcMar>
            <w:vAlign w:val="center"/>
            <w:shd w:fill="153344"/>
          </w:tcPr>
          <w:p>
            <w:pPr>
              <w:pStyle w:val="TableText"/>
            </w:pPr>
            <w:r>
              <w:rPr>
                <w:b/>
                <w:color w:val="FFFFFF"/>
              </w:rPr>
              <w:t>Cómo lo usamos</w:t>
            </w:r>
          </w:p>
        </w:tc>
      </w:tr>
      <w:tr>
        <w:trPr>
          <w:cantSplit/>
        </w:trPr>
        <w:tc>
          <w:tcPr>
            <w:tcW w:type="dxa" w:w="2600"/>
            <w:tcMar>
              <w:top w:w="80" w:type="dxa"/>
              <w:start w:w="120" w:type="dxa"/>
              <w:bottom w:w="80" w:type="dxa"/>
              <w:end w:w="120" w:type="dxa"/>
            </w:tcMar>
            <w:vAlign w:val="center"/>
            <w:shd w:fill="FFFFFF"/>
          </w:tcPr>
          <w:p>
            <w:pPr>
              <w:pStyle w:val="TableText"/>
            </w:pPr>
            <w:r>
              <w:t>Práctica actual</w:t>
            </w:r>
          </w:p>
        </w:tc>
        <w:tc>
          <w:tcPr>
            <w:tcW w:type="dxa" w:w="6760"/>
            <w:tcMar>
              <w:top w:w="80" w:type="dxa"/>
              <w:start w:w="120" w:type="dxa"/>
              <w:bottom w:w="80" w:type="dxa"/>
              <w:end w:w="120" w:type="dxa"/>
            </w:tcMar>
            <w:vAlign w:val="center"/>
            <w:shd w:fill="FFFFFF"/>
          </w:tcPr>
          <w:p>
            <w:pPr>
              <w:pStyle w:val="TableText"/>
            </w:pPr>
            <w:r>
              <w:t>Identificar si la persona registra, calcula mentalmente o separa dinero.</w:t>
            </w:r>
          </w:p>
        </w:tc>
      </w:tr>
      <w:tr>
        <w:trPr>
          <w:cantSplit/>
        </w:trPr>
        <w:tc>
          <w:tcPr>
            <w:tcW w:type="dxa" w:w="2600"/>
            <w:tcMar>
              <w:top w:w="80" w:type="dxa"/>
              <w:start w:w="120" w:type="dxa"/>
              <w:bottom w:w="80" w:type="dxa"/>
              <w:end w:w="120" w:type="dxa"/>
            </w:tcMar>
            <w:vAlign w:val="center"/>
            <w:shd w:fill="EEF5F4"/>
          </w:tcPr>
          <w:p>
            <w:pPr>
              <w:pStyle w:val="TableText"/>
            </w:pPr>
            <w:r>
              <w:t>Ejemplo concreto</w:t>
            </w:r>
          </w:p>
        </w:tc>
        <w:tc>
          <w:tcPr>
            <w:tcW w:type="dxa" w:w="6760"/>
            <w:tcMar>
              <w:top w:w="80" w:type="dxa"/>
              <w:start w:w="120" w:type="dxa"/>
              <w:bottom w:w="80" w:type="dxa"/>
              <w:end w:w="120" w:type="dxa"/>
            </w:tcMar>
            <w:vAlign w:val="center"/>
            <w:shd w:fill="EEF5F4"/>
          </w:tcPr>
          <w:p>
            <w:pPr>
              <w:pStyle w:val="TableText"/>
            </w:pPr>
            <w:r>
              <w:t>Relacionar el problema con una situación relatada, como una compra o un trámite.</w:t>
            </w:r>
          </w:p>
        </w:tc>
      </w:tr>
      <w:tr>
        <w:trPr>
          <w:cantSplit/>
        </w:trPr>
        <w:tc>
          <w:tcPr>
            <w:tcW w:type="dxa" w:w="2600"/>
            <w:tcMar>
              <w:top w:w="80" w:type="dxa"/>
              <w:start w:w="120" w:type="dxa"/>
              <w:bottom w:w="80" w:type="dxa"/>
              <w:end w:w="120" w:type="dxa"/>
            </w:tcMar>
            <w:vAlign w:val="center"/>
            <w:shd w:fill="FFFFFF"/>
          </w:tcPr>
          <w:p>
            <w:pPr>
              <w:pStyle w:val="TableText"/>
            </w:pPr>
            <w:r>
              <w:t>Petición de la persona</w:t>
            </w:r>
          </w:p>
        </w:tc>
        <w:tc>
          <w:tcPr>
            <w:tcW w:type="dxa" w:w="6760"/>
            <w:tcMar>
              <w:top w:w="80" w:type="dxa"/>
              <w:start w:w="120" w:type="dxa"/>
              <w:bottom w:w="80" w:type="dxa"/>
              <w:end w:w="120" w:type="dxa"/>
            </w:tcMar>
            <w:vAlign w:val="center"/>
            <w:shd w:fill="FFFFFF"/>
          </w:tcPr>
          <w:p>
            <w:pPr>
              <w:pStyle w:val="TableText"/>
            </w:pPr>
            <w:r>
              <w:t>Distinguir las funciones que solicitó de las ideas que propone el equipo.</w:t>
            </w:r>
          </w:p>
        </w:tc>
      </w:tr>
      <w:tr>
        <w:trPr>
          <w:cantSplit/>
        </w:trPr>
        <w:tc>
          <w:tcPr>
            <w:tcW w:type="dxa" w:w="2600"/>
            <w:tcMar>
              <w:top w:w="80" w:type="dxa"/>
              <w:start w:w="120" w:type="dxa"/>
              <w:bottom w:w="80" w:type="dxa"/>
              <w:end w:w="120" w:type="dxa"/>
            </w:tcMar>
            <w:vAlign w:val="center"/>
            <w:shd w:fill="EEF5F4"/>
          </w:tcPr>
          <w:p>
            <w:pPr>
              <w:pStyle w:val="TableText"/>
            </w:pPr>
            <w:r>
              <w:t>Diferencias entre respuestas</w:t>
            </w:r>
          </w:p>
        </w:tc>
        <w:tc>
          <w:tcPr>
            <w:tcW w:type="dxa" w:w="6760"/>
            <w:tcMar>
              <w:top w:w="80" w:type="dxa"/>
              <w:start w:w="120" w:type="dxa"/>
              <w:bottom w:w="80" w:type="dxa"/>
              <w:end w:w="120" w:type="dxa"/>
            </w:tcMar>
            <w:vAlign w:val="center"/>
            <w:shd w:fill="EEF5F4"/>
          </w:tcPr>
          <w:p>
            <w:pPr>
              <w:pStyle w:val="TableText"/>
            </w:pPr>
            <w:r>
              <w:t>Evitar una configuración única cuando las preferencias no coinciden.</w:t>
            </w:r>
          </w:p>
        </w:tc>
      </w:tr>
      <w:tr>
        <w:trPr>
          <w:cantSplit/>
        </w:trPr>
        <w:tc>
          <w:tcPr>
            <w:tcW w:type="dxa" w:w="2600"/>
            <w:tcMar>
              <w:top w:w="80" w:type="dxa"/>
              <w:start w:w="120" w:type="dxa"/>
              <w:bottom w:w="80" w:type="dxa"/>
              <w:end w:w="120" w:type="dxa"/>
            </w:tcMar>
            <w:vAlign w:val="center"/>
            <w:shd w:fill="FFFFFF"/>
          </w:tcPr>
          <w:p>
            <w:pPr>
              <w:pStyle w:val="TableText"/>
            </w:pPr>
            <w:r>
              <w:t>Requisito que se puede probar</w:t>
            </w:r>
          </w:p>
        </w:tc>
        <w:tc>
          <w:tcPr>
            <w:tcW w:type="dxa" w:w="6760"/>
            <w:tcMar>
              <w:top w:w="80" w:type="dxa"/>
              <w:start w:w="120" w:type="dxa"/>
              <w:bottom w:w="80" w:type="dxa"/>
              <w:end w:w="120" w:type="dxa"/>
            </w:tcMar>
            <w:vAlign w:val="center"/>
            <w:shd w:fill="FFFFFF"/>
          </w:tcPr>
          <w:p>
            <w:pPr>
              <w:pStyle w:val="TableText"/>
            </w:pPr>
            <w:r>
              <w:t>Definir una operación o un cálculo observable en la aplicación.</w:t>
            </w:r>
          </w:p>
        </w:tc>
      </w:tr>
    </w:tbl>
    <w:p>
      <w:r>
        <w:br w:type="page"/>
      </w:r>
    </w:p>
    <w:p>
      <w:pPr>
        <w:pStyle w:val="Heading1"/>
      </w:pPr>
      <w:r>
        <w:t>Lectura por participante</w:t>
      </w:r>
    </w:p>
    <w:p>
      <w:pPr>
        <w:pStyle w:val="Heading2"/>
      </w:pPr>
      <w:r>
        <w:t>Santiago Román</w:t>
      </w:r>
    </w:p>
    <w:p>
      <w:r>
        <w:t>Santiago ya tiene una intención de ahorro y procura separar el dinero desde que lo recibe. Su problema aparece cuando el plan no incluye costos pequeños o secundarios. El ejemplo de la licencia muestra que cubrir el valor principal de una actividad no siempre basta para calcular cuánto costará en total.</w:t>
      </w:r>
    </w:p>
    <w:p>
      <w:r>
        <w:t>La app puede ayudarle a revisar el gasto acumulado y a mantener visible el dinero reservado. Su preferencia por consejos justifica que FE-02 explique lo que ocurre con sus propios registros, en lugar de limitarse a señalar que gastó demasiado.</w:t>
      </w:r>
    </w:p>
    <w:p>
      <w:pPr>
        <w:pStyle w:val="Heading2"/>
      </w:pPr>
      <w:r>
        <w:t>Miguel</w:t>
      </w:r>
    </w:p>
    <w:p>
      <w:r>
        <w:t>Miguel organiza primero lo necesario para la semana. Esa rutina le da una referencia inicial, pero los imprevistos modifican el saldo que considera libre. Su petición de un bolsillo expresa de manera directa que quiere apartar una cantidad para no gastarla.</w:t>
      </w:r>
    </w:p>
    <w:p>
      <w:r>
        <w:t>FE-01 debe diferenciar el saldo total del dinero disponible después de las reservas. También debe ser fácil comprobar sus cálculos: Miguel considera que un balance equivocado sería motivo suficiente para abandonar la aplicación.</w:t>
      </w:r>
    </w:p>
    <w:p>
      <w:pPr>
        <w:pStyle w:val="Heading2"/>
      </w:pPr>
      <w:r>
        <w:t>Camila</w:t>
      </w:r>
    </w:p>
    <w:p>
      <w:r>
        <w:t>Camila describe ingresos variables y compras pequeñas que no suele sumar mentalmente. Su interés por ahorrar está vinculado a una compra concreta. Esto sugiere que ver una meta y su progreso puede ayudar a dar sentido al registro cotidiano.</w:t>
      </w:r>
    </w:p>
    <w:p>
      <w:r>
        <w:t>Su preferencia por pocos avisos pone un límite útil al diseño. FE-02 debe permitir desactivar o reducir los recordatorios. La aplicación tampoco debería exigir un ingreso fijo mensual para que una persona pueda comenzar a usarla.</w:t>
      </w:r>
    </w:p>
    <w:p>
      <w:r>
        <w:br w:type="page"/>
      </w:r>
    </w:p>
    <w:p>
      <w:pPr>
        <w:pStyle w:val="Heading1"/>
      </w:pPr>
      <w:r>
        <w:t>De la comparación a la propuesta</w:t>
      </w:r>
    </w:p>
    <w:p>
      <w:pPr>
        <w:pStyle w:val="Heading2"/>
      </w:pPr>
      <w:r>
        <w:t>Lo que comparten y lo que cambia</w:t>
      </w:r>
    </w:p>
    <w:p>
      <w:r>
        <w:t>Los tres participantes mencionan dificultades con gastos pequeños o inesperados, pero sus ingresos y formas de ahorro son distintos. Santiago distribuye un ingreso mensual; Miguel parte de las necesidades semanales y ocasionalmente trabaja; Camila recibe cantidades variables. La app debe admitir esas diferencias sin obligarlos a usar el mismo presupuesto.</w:t>
      </w:r>
    </w:p>
    <w:p>
      <w:r>
        <w:t>Tampoco conviene confundir acompañamiento con insistencia. Un recordatorio puede ayudar a Miguel y, si se repite demasiado, molestar a Camila. Santiago agrega otra necesidad: comprender mejor sus decisiones. Por eso proponemos mensajes útiles, explicados con datos y ajustables por el usuario.</w:t>
      </w:r>
    </w:p>
    <w:p>
      <w:pPr>
        <w:pStyle w:val="Heading2"/>
      </w:pPr>
      <w:r>
        <w:t>Por qué FE-01 va primero</w:t>
      </w:r>
    </w:p>
    <w:p>
      <w:r>
        <w:t>Los bolsillos resuelven una necesidad expresada con claridad: reservar dinero y saber qué queda libre. Además, pueden construirse sobre los movimientos y metas de la primera entrega y funcionar con datos locales. Ese alcance permite probar pronto si las reservas se calculan bien y si se entienden sus efectos.</w:t>
      </w:r>
    </w:p>
    <w:p>
      <w:pPr>
        <w:pStyle w:val="Heading2"/>
      </w:pPr>
      <w:r>
        <w:t>Por qué FE-02 va después</w:t>
      </w:r>
    </w:p>
    <w:p>
      <w:r>
        <w:t>Las recomendaciones requieren movimientos acumulados para tener algo concreto que explicar. Implementarlas después permite aprovechar los resúmenes y estadísticas del proyecto. La validación deberá comprobar si el mensaje se entiende, si aporta algo y si la frecuencia elegida se respeta.</w:t>
      </w:r>
    </w:p>
    <w:p>
      <w:pPr>
        <w:pStyle w:val="Heading2"/>
      </w:pPr>
      <w:r>
        <w:t>Lo que falta comprobar con usuarios</w:t>
      </w:r>
    </w:p>
    <w:p>
      <w:r>
        <w:t>En una siguiente sesión se puede pedir a un participante que registre un gasto, reserve dinero y explique cuánto le queda libre. Para FE-02 se le mostrará una recomendación y se le preguntará qué entiende y si le resulta útil. Estas actividades son una propuesta de validación futura; sus resultados se documentarán cuando se realicen.</w:t>
      </w:r>
    </w:p>
    <w:p>
      <w:pPr>
        <w:pStyle w:val="Heading2"/>
      </w:pPr>
      <w:r>
        <w:t>Referencia académica de consulta</w:t>
      </w:r>
    </w:p>
    <w:p>
      <w:r>
        <w:t>Como referencia de organización se consultó el artículo de Yepes Benítez y colaboradores (2019), sobre finanzas personales y ahorro en estudiantes de la Corporación Universitaria Americana. Se tomó como guía la separación entre propósito, recolección de información y análisis. Los resultados de BolsilloAlDía proceden de nuestras tres entrevistas.</w:t>
      </w:r>
    </w:p>
    <w:p>
      <w:pPr>
        <w:pStyle w:val="Small"/>
      </w:pPr>
      <w:r>
        <w:t>Yepes Benítez, M. J., et al. (2019). Análisis de las finanzas personales de los estudiantes de la Corporación Universitaria Americana (CUA) sede Montería, respecto a la cultura del ahorro. AD-GNOSIS, 8(8). https://doi.org/10.21803/adgnosis.8.8.393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las entrevistas</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