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PROYECTO DE AULA 05</w:t>
      </w:r>
    </w:p>
    <w:p>
      <w:pPr>
        <w:pStyle w:val="Title"/>
      </w:pPr>
      <w:r>
        <w:t>Informe de hallazgos</w:t>
      </w:r>
    </w:p>
    <w:p>
      <w:pPr>
        <w:pStyle w:val="Subtitle"/>
      </w:pPr>
      <w:r>
        <w:t>3 de septiembre de 2026 · 2:00 p. m. · Biblioteca del TdeA</w:t>
      </w:r>
    </w:p>
    <w:p>
      <w:pPr>
        <w:pStyle w:val="Small"/>
      </w:pPr>
      <w:r>
        <w:t>Elaborado por: Juan Andrés Taborda Rodríguez; Juan David Franco Yepes; Emmanuel Vidal; Johan Alexander Mejía Tamayo; Sara Mejía.</w:t>
      </w:r>
    </w:p>
    <w:p>
      <w:pPr>
        <w:pStyle w:val="Heading2"/>
      </w:pPr>
      <w:r>
        <w:t>Problema y trabajo de campo</w:t>
      </w:r>
    </w:p>
    <w:p>
      <w:r>
        <w:t>Buscamos entender cómo organizan su dinero los estudiantes y qué les dificulta sostener el registro de gastos. El 3 de septiembre entrevistamos en la biblioteca del TdeA a Santiago Román, de segundo semestre de Criminalística; Miguel, de cuarto de Ingeniería de Software; y Camila, de segundo de Psicología. Juan David Franco Yepes realizó las entrevistas con un guion de doce preguntas y repreguntas.</w:t>
      </w:r>
    </w:p>
    <w:p>
      <w:r>
        <w:t>Revisamos las respuestas por tema: dinero disponible, registro, compras pequeñas, ahorro y expectativas de una aplicación. El trabajo reúne tres entrevistas, cuatro fotografías y una ficha del encuentro. Es una exploración de tres experiencias concretas; sus resultados sirven para orientar el diseño, no para describir a todo el campus.</w:t>
      </w:r>
    </w:p>
    <w:p>
      <w:pPr>
        <w:pStyle w:val="Heading2"/>
      </w:pPr>
      <w:r>
        <w:t>Qué encontramos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Evidencia de las entrevistas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Cuesta mantener el registro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Los tres dicen que no registran por pereza. Santiago había llevado un registro y lo dejó.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Las compras pequeñas se acumulan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Camila menciona galletas y chicles; Santiago, gastos hormiga y transporte no previsto; Miguel, compras espontáneas.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El dinero necesita una destinación clara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Santiago divide ahorro y gastos. Miguel calcula lo necesario para la semana y pide un bolsillo para reservar dinero.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El acompañamiento debe poder ajustarse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Santiago prefiere consejos. Miguel valora recordatorios. Camila usaría uno o dos avisos diarios, pero demasiados la agobiarían.</w:t>
            </w:r>
          </w:p>
        </w:tc>
      </w:tr>
    </w:tbl>
    <w:p>
      <w:pPr>
        <w:pStyle w:val="Heading2"/>
      </w:pPr>
      <w:r>
        <w:t>Qué significa para la aplicación</w:t>
      </w:r>
    </w:p>
    <w:p>
      <w:r>
        <w:t>La dificultad no consiste solamente en sumar gastos: también hay que facilitar el hábito y mostrar qué parte del saldo ya tiene un destino. Proponemos dar prioridad a los bolsillos virtuales y después a las recomendaciones. La facilidad de registro y la exactitud de los cálculos acompañan ambas decisiones.</w:t>
      </w:r>
    </w:p>
    <w:p>
      <w:r>
        <w:br w:type="page"/>
      </w:r>
    </w:p>
    <w:p>
      <w:pPr>
        <w:pStyle w:val="Heading1"/>
      </w:pPr>
      <w:r>
        <w:t>De los hallazgos a los requisitos</w:t>
      </w:r>
    </w:p>
    <w:p>
      <w:r>
        <w:t>La siguiente matriz conserva los códigos del proyecto. H-01 y H-02 corresponden a la base del enunciado; H-03 y H-04 reúnen las decisiones del equipo a partir de las entrevistas. El anexo de trazabilidad amplía las evidencias y las pruebas.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1250"/>
        <w:gridCol w:w="3150"/>
        <w:gridCol w:w="3400"/>
        <w:gridCol w:w="1560"/>
      </w:tblGrid>
      <w:tr>
        <w:trPr>
          <w:cantSplit/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Soporte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Entrega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H-01 · Base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Los relatos muestran control mental y poco registro de gastos.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Crear y consultar movimientos por categoría.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1; resúmenes en 2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H-02 · Enunciado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El proyecto exige registro y cálculo sin conexión.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Persistencia local y sincronización sin duplicados.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2 y 3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H-03 · FE-01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Miguel pide reservar dinero; Santiago separa sus ingresos y Camila menciona un bolsillo.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Bolsillos virtuales: saldo general, reservado y libre.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H-04 · FE-02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Santiago pide consejos; Miguel, recordatorios; Camila, avisos de frecuencia limitada.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Recomendaciones con datos del usuario y frecuencia configurable.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3; validar con un participante</w:t>
            </w:r>
          </w:p>
        </w:tc>
      </w:tr>
    </w:tbl>
    <w:p>
      <w:pPr>
        <w:pStyle w:val="Heading2"/>
      </w:pPr>
      <w:r>
        <w:t>Prioridades del equipo</w:t>
      </w:r>
    </w:p>
    <w:p>
      <w:r>
        <w:t>FE-01. Bolsillos virtuales y saldo realmente disponible. Permitirá reservar una parte del dinero para alimentación, transporte, ahorro u otro propósito y distinguirla del saldo libre. Una reserva organiza el dinero dentro de la app: no representa un gasto ni una transferencia bancaria.</w:t>
      </w:r>
    </w:p>
    <w:p>
      <w:r>
        <w:t>FE-02. Asistente de hábitos con recomendaciones contextuales. Usará los movimientos y metas registrados para explicar patrones, como la suma de compras pequeñas. Cada mensaje mostrará su motivo y podrá descartarse. La persona elegirá la frecuencia de los avisos; esto recoge las diferencias entre Miguel y Camila.</w:t>
      </w:r>
    </w:p>
    <w:p>
      <w:pPr>
        <w:pStyle w:val="Heading2"/>
      </w:pPr>
      <w:r>
        <w:t>Conclusión</w:t>
      </w:r>
    </w:p>
    <w:p>
      <w:r>
        <w:t>Las entrevistas nos ayudaron a pasar de una idea general de control de gastos a dos necesidades concretas: separar dinero antes de gastarlo y recibir orientación que ayude a mantener el hábito. La primera entrega deja estas funciones definidas y construye la base de cuentas, categorías, metas y movimientos. En las siguientes entregas comprobaremos su funcionamiento y recogeremos la opinión de un participante sobre FE-02.</w:t>
      </w:r>
    </w:p>
    <w:p>
      <w:pPr>
        <w:pStyle w:val="Small"/>
      </w:pPr>
      <w:r>
        <w:t>Método: los hábitos financieros proceden de las respuestas de los participantes. Las fotografías registran el encuentro en la biblioteca. Las versiones depuradas conservan los pasajes dudosos señalados y los TXT originales se incluyen como respaldo.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TdeA · Investigación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BOLSILLOALDÍA  /  DESARROLLO MÓVIL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264" w:lineRule="auto"/>
      <w:ind w:left="0" w:right="0" w:firstLine="0"/>
    </w:pPr>
    <w:rPr>
      <w:rFonts w:ascii="Nimbus Sans" w:hAnsi="Nimbus Sans"/>
      <w:b w:val="0"/>
      <w:i w:val="0"/>
      <w:color w:val="25353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ind w:left="0" w:right="0" w:firstLine="0"/>
      <w:outlineLvl w:val="0"/>
    </w:pPr>
    <w:rPr>
      <w:rFonts w:asciiTheme="majorHAnsi" w:eastAsiaTheme="majorEastAsia" w:hAnsiTheme="majorHAnsi" w:cstheme="majorBidi" w:ascii="Nimbus Sans" w:hAnsi="Nimbus Sans"/>
      <w:b/>
      <w:bCs/>
      <w:i w:val="0"/>
      <w:color w:val="16736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ind w:left="0" w:right="0" w:firstLine="0"/>
      <w:outlineLvl w:val="1"/>
    </w:pPr>
    <w:rPr>
      <w:rFonts w:asciiTheme="majorHAnsi" w:eastAsiaTheme="majorEastAsia" w:hAnsiTheme="majorHAnsi" w:cstheme="majorBidi" w:ascii="Nimbus Sans" w:hAnsi="Nimbus Sans"/>
      <w:b/>
      <w:bCs/>
      <w:i w:val="0"/>
      <w:color w:val="1673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ind w:left="0" w:right="0" w:firstLine="0"/>
      <w:outlineLvl w:val="2"/>
    </w:pPr>
    <w:rPr>
      <w:rFonts w:asciiTheme="majorHAnsi" w:eastAsiaTheme="majorEastAsia" w:hAnsiTheme="majorHAnsi" w:cstheme="majorBidi" w:ascii="Nimbus Sans" w:hAnsi="Nimbus Sans"/>
      <w:b/>
      <w:bCs/>
      <w:i w:val="0"/>
      <w:color w:val="1533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160" w:line="252" w:lineRule="auto" w:before="0"/>
      <w:ind w:left="0" w:right="0" w:firstLine="0"/>
      <w:contextualSpacing/>
    </w:pPr>
    <w:rPr>
      <w:rFonts w:asciiTheme="majorHAnsi" w:eastAsiaTheme="majorEastAsia" w:hAnsiTheme="majorHAnsi" w:cstheme="majorBidi" w:ascii="Nimbus Sans" w:hAnsi="Nimbus Sans"/>
      <w:b w:val="0"/>
      <w:i w:val="0"/>
      <w:color w:val="153344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widowControl/>
      <w:numPr>
        <w:ilvl w:val="1"/>
      </w:numPr>
      <w:spacing w:before="0" w:after="240" w:line="264" w:lineRule="auto"/>
      <w:ind w:left="0" w:right="0" w:firstLine="0"/>
    </w:pPr>
    <w:rPr>
      <w:rFonts w:asciiTheme="majorHAnsi" w:eastAsiaTheme="majorEastAsia" w:hAnsiTheme="majorHAnsi" w:cstheme="majorBidi" w:ascii="Nimbus Sans" w:hAnsi="Nimbus Sans"/>
      <w:b w:val="0"/>
      <w:i w:val="0"/>
      <w:iCs/>
      <w:color w:val="53636B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widowControl/>
      <w:spacing w:line="259" w:lineRule="auto" w:before="80" w:after="160"/>
    </w:pPr>
    <w:rPr>
      <w:rFonts w:ascii="Nimbus Sans" w:hAnsi="Nimbus Sans"/>
      <w:b w:val="0"/>
      <w:bCs/>
      <w:i w:val="0"/>
      <w:color w:val="53636B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pPr>
      <w:keepNext w:val="0"/>
      <w:widowControl/>
      <w:spacing w:line="259" w:lineRule="auto" w:before="0" w:after="80"/>
    </w:pPr>
    <w:rPr>
      <w:rFonts w:ascii="Nimbus Sans" w:hAnsi="Nimbus Sans"/>
      <w:b w:val="0"/>
      <w:i w:val="0"/>
      <w:color w:val="53636B"/>
      <w:sz w:val="18"/>
    </w:rPr>
  </w:style>
  <w:style w:type="paragraph" w:customStyle="1" w:styleId="TableText">
    <w:name w:val="TableText"/>
    <w:basedOn w:val="Normal"/>
    <w:pPr>
      <w:keepNext w:val="0"/>
      <w:widowControl/>
      <w:spacing w:line="259" w:lineRule="auto" w:before="0" w:after="80"/>
    </w:pPr>
    <w:rPr>
      <w:rFonts w:ascii="Nimbus Sans" w:hAnsi="Nimbus Sans"/>
      <w:b w:val="0"/>
      <w:i w:val="0"/>
      <w:color w:val="25353E"/>
      <w:sz w:val="18"/>
    </w:rPr>
  </w:style>
  <w:style w:type="paragraph" w:customStyle="1" w:styleId="Question">
    <w:name w:val="Question"/>
    <w:basedOn w:val="Normal"/>
    <w:pPr>
      <w:keepNext/>
      <w:widowControl/>
      <w:spacing w:line="259" w:lineRule="auto" w:before="0" w:after="80"/>
    </w:pPr>
    <w:rPr>
      <w:rFonts w:ascii="Nimbus Sans" w:hAnsi="Nimbus Sans"/>
      <w:b/>
      <w:i w:val="0"/>
      <w:color w:val="153344"/>
      <w:sz w:val="20"/>
    </w:rPr>
  </w:style>
  <w:style w:type="paragraph" w:customStyle="1" w:styleId="Answer">
    <w:name w:val="Answer"/>
    <w:basedOn w:val="Normal"/>
    <w:pPr>
      <w:keepNext w:val="0"/>
      <w:widowControl/>
      <w:spacing w:line="259" w:lineRule="auto" w:before="0" w:after="80"/>
    </w:pPr>
    <w:rPr>
      <w:rFonts w:ascii="Nimbus Sans" w:hAnsi="Nimbus Sans"/>
      <w:b w:val="0"/>
      <w:i w:val="0"/>
      <w:color w:val="25353E"/>
      <w:sz w:val="20"/>
    </w:rPr>
  </w:style>
  <w:style w:type="paragraph" w:customStyle="1" w:styleId="Kicker">
    <w:name w:val="Kicker"/>
    <w:basedOn w:val="Normal"/>
    <w:pPr>
      <w:keepNext/>
      <w:widowControl/>
      <w:spacing w:line="259" w:lineRule="auto" w:before="0" w:after="80"/>
    </w:pPr>
    <w:rPr>
      <w:rFonts w:ascii="Nimbus Sans" w:hAnsi="Nimbus Sans"/>
      <w:b w:val="0"/>
      <w:i w:val="0"/>
      <w:color w:val="16736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hallazgos</dc:title>
  <dc:subject>BolsilloAlDía · Investigación de campo y requisitos</dc:subject>
  <dc:creator>Juan Andrés Taborda Rodríguez; Juan David Franco Yepes; Emmanuel Vidal; Johan Alexander Mejía Tamayo; Sara Mejía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