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PROYECTO DE AULA 05</w:t>
      </w:r>
    </w:p>
    <w:p>
      <w:pPr>
        <w:pStyle w:val="Title"/>
      </w:pPr>
      <w:r>
        <w:t>Parámetros de la app y backlog</w:t>
      </w:r>
    </w:p>
    <w:p>
      <w:pPr>
        <w:pStyle w:val="Subtitle"/>
      </w:pPr>
      <w:r>
        <w:t>Requisitos, reglas y pruebas propuestas</w:t>
      </w:r>
    </w:p>
    <w:p>
      <w:pPr>
        <w:pStyle w:val="Small"/>
      </w:pPr>
      <w:r>
        <w:t>Elaborado por: Juan Andrés Taborda Rodríguez; Juan David Franco Yepes; Emmanuel Vidal; Johan Alexander Mejía Tamayo; Sara Mejía.</w:t>
      </w:r>
    </w:p>
    <w:p>
      <w:r>
        <w:t>Este documento traduce la investigación a decisiones que el equipo puede implementar. Los requisitos base provienen del enunciado de Desarrollo Móvil. Los bolsillos y las recomendaciones se apoyan en las entrevistas. Los valores de configuración y los ejemplos numéricos son propuestas de diseño o datos de prueba, no cifras declaradas por los participantes.</w:t>
      </w:r>
    </w:p>
    <w:p>
      <w:pPr>
        <w:pStyle w:val="Heading2"/>
      </w:pPr>
      <w:r>
        <w:t>Qué debe funcionar en la primera entrega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450"/>
        <w:gridCol w:w="2600"/>
        <w:gridCol w:w="531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Alcance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RF-AUT-01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Registro, inicio y cierre de sesión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Firebase Authentication identifica al usuario. Mostrar mensajes comprensibles cuando falle un acceso.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RF-CAT-01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Crear y listar categorías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Nombre y tipo obligatorios. Listar únicamente las categorías del usuario autenticado.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RF-MET-01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Crear y listar metas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Nombre, tipo, monto objetivo positivo y fecha límite. Guardar y consultar las metas del usuario.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RF-MOV-01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Registrar y listar movimientos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Monto positivo, categoría existente y propia, tipo, fecha y nota opcional. Persistir en Firestore.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RF-UX-01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Navegación y validaciones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Formularios cortos, confirmación de guardado y errores junto al campo. No perder datos al corregir una entrada.</w:t>
            </w:r>
          </w:p>
        </w:tc>
      </w:tr>
    </w:tbl>
    <w:p>
      <w:pPr>
        <w:pStyle w:val="Heading2"/>
      </w:pPr>
      <w:r>
        <w:t>Recorrido mínimo de uso</w:t>
      </w:r>
    </w:p>
    <w:p>
      <w:r>
        <w:t>El usuario crea una cuenta, inicia sesión, crea una categoría y registra un ingreso o gasto. También puede definir una meta y consultar sus listados. Si cierra sesión y entra con otra cuenta, la aplicación muestra exclusivamente los datos de esa segunda persona. Los mensajes deben indicar si una operación se guardó o si necesita corregirse.</w:t>
      </w:r>
    </w:p>
    <w:p>
      <w:r>
        <w:br w:type="page"/>
      </w:r>
    </w:p>
    <w:p>
      <w:pPr>
        <w:pStyle w:val="Heading1"/>
      </w:pPr>
      <w:r>
        <w:t>Datos y decisiones iniciales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750"/>
        <w:gridCol w:w="3750"/>
        <w:gridCol w:w="386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Campos propuestos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Usuario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uid, nombre opcional, correo, createdAt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El uid de Authentication determina el propietario.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Categoría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id, userId, nombre, tipo, createdAt, updatedAt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Tipo ingreso o gasto; nombre no vacío.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Meta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id, userId, nombre, tipo, montoObjetivo, fechaLimite, estado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La primera entrega crea y lista; progreso y estados se desarrollan en fases posteriores.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Movimiento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id, userId, monto, categoriaId, tipo, fecha, nota opcional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Monto positivo y categoría del mismo usuario y tipo.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Bolsillo · FE-01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id, userId, nombre, reservaActual, metaId opcional, archivado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Reservar organiza saldo; no genera un movimiento bancario.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Preferencias · FE-02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userId, avisosPorDia, horario, reglasActivas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Permitir 0, 1 o 2 avisos; el usuario puede modificarlos.</w:t>
            </w:r>
          </w:p>
        </w:tc>
      </w:tr>
    </w:tbl>
    <w:p>
      <w:pPr>
        <w:pStyle w:val="Heading2"/>
      </w:pPr>
      <w:r>
        <w:t>Moneda, fechas y precisión</w:t>
      </w:r>
    </w:p>
    <w:p>
      <w:r>
        <w:t>Proponemos COP como moneda inicial. Los montos se almacenarán como enteros en centavos y se formatearán como pesos al mostrarlos. Así, las sumas no dependen del redondeo visual. Las fechas de movimientos deben poder corregirse cuando se registra una compra anterior; las fechas límite de metas se tratarán como fechas de calendario para evitar cambios por zona horaria.</w:t>
      </w:r>
    </w:p>
    <w:p>
      <w:r>
        <w:t>La app admitirá ingresos irregulares: comenzar a usarla no exigirá declarar un salario fijo. Alimentación, bebidas y transporte pueden sugerirse como categorías, pero el usuario podrá crear las que necesita. No asignaremos presupuestos predeterminados como si procedieran de las entrevistas.</w:t>
      </w:r>
    </w:p>
    <w:p>
      <w:r>
        <w:br w:type="page"/>
      </w:r>
    </w:p>
    <w:p>
      <w:pPr>
        <w:pStyle w:val="Heading1"/>
      </w:pPr>
      <w:r>
        <w:t>FE-01 · Bolsillos y saldo libre</w:t>
      </w:r>
    </w:p>
    <w:p>
      <w:r>
        <w:t>Como estudiante, quiero reservar una parte de mi dinero para un propósito y ver cuánto queda libre, para no confundir todo mi saldo con dinero disponible para cualquier compra. Esta historia recoge la petición de Miguel y las prácticas de separación que cuentan Santiago y Camila.</w:t>
      </w:r>
    </w:p>
    <w:p>
      <w:pPr>
        <w:pStyle w:val="Heading2"/>
      </w:pPr>
      <w:r>
        <w:t>Reglas de cálculo</w:t>
      </w:r>
    </w:p>
    <w:p>
      <w:r>
        <w:t>Saldo general = suma de ingresos menos suma de gastos. Saldo reservado = suma de las reservas activas. Saldo libre = saldo general menos saldo reservado. Los cálculos incluyen los movimientos locales que todavía estén pendientes de sincronizar.</w:t>
      </w:r>
    </w:p>
    <w:p>
      <w:r>
        <w:t>Crear una reserva o transferirla a otro bolsillo no cambia el saldo general. Un gasto asociado reduce una sola vez el saldo general y la reserva correspondiente. Archivar un bolsillo libera su reserva sin crear un ingreso nuevo. No se permite reservar más que el saldo libre disponible.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4560"/>
        <w:gridCol w:w="1600"/>
        <w:gridCol w:w="1600"/>
        <w:gridCol w:w="1600"/>
      </w:tblGrid>
      <w:tr>
        <w:trPr>
          <w:cantSplit/>
          <w:tblHeader w:val="true"/>
        </w:trP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Caso de prueba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Reservado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Libre</w:t>
            </w:r>
          </w:p>
        </w:tc>
      </w:tr>
      <w:tr>
        <w:trPr>
          <w:cantSplit/>
        </w:trP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Ingreso de $500.000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$500.000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$0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$500.000</w:t>
            </w:r>
          </w:p>
        </w:tc>
      </w:tr>
      <w:tr>
        <w:trPr>
          <w:cantSplit/>
        </w:trP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Reserva de $180.000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$500.000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$180.000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$320.000</w:t>
            </w:r>
          </w:p>
        </w:tc>
      </w:tr>
      <w:tr>
        <w:trPr>
          <w:cantSplit/>
        </w:trP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Gasto de $20.000 desde la reserva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$480.000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$160.000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$320.000</w:t>
            </w:r>
          </w:p>
        </w:tc>
      </w:tr>
      <w:tr>
        <w:trPr>
          <w:cantSplit/>
        </w:trP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Gasto libre de $30.000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$450.000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$160.000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$290.000</w:t>
            </w:r>
          </w:p>
        </w:tc>
      </w:tr>
    </w:tbl>
    <w:p>
      <w:pPr>
        <w:pStyle w:val="Caption"/>
      </w:pPr>
      <w:r>
        <w:t>Los montos de la tabla son datos de prueba creados por el equipo.</w:t>
      </w:r>
    </w:p>
    <w:p>
      <w:pPr>
        <w:pStyle w:val="Heading2"/>
      </w:pPr>
      <w:r>
        <w:t>Casos que debemos resolver</w:t>
      </w:r>
    </w:p>
    <w:p>
      <w:r>
        <w:t>Si un gasto real supera la reserva seleccionada, se ofrecerá registrar el excedente contra el saldo libre o reorganizar los bolsillos. Si el saldo libre queda negativo, se mostrará el déficit; la app no ocultará el gasto ni ajustará las reservas sin avisar. El vínculo a una meta será opcional y deberá evitar que una misma cantidad se cuente dos veces como ahorro.</w:t>
      </w:r>
    </w:p>
    <w:p>
      <w:r>
        <w:br w:type="page"/>
      </w:r>
    </w:p>
    <w:p>
      <w:pPr>
        <w:pStyle w:val="Heading1"/>
      </w:pPr>
      <w:r>
        <w:t>FE-02 · Recomendaciones útiles</w:t>
      </w:r>
    </w:p>
    <w:p>
      <w:r>
        <w:t>Como estudiante, quiero recibir una explicación breve de mis hábitos de gasto y ajustar los avisos, para revisar mis decisiones sin sentir que la aplicación me persigue. La propuesta reúne los consejos pedidos por Santiago, los recordatorios de Miguel y el límite de frecuencia expresado por Camila.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2200"/>
        <w:gridCol w:w="3450"/>
        <w:gridCol w:w="371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Regla propuesta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Dato necesario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Qué mostrar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Compras pequeñas acumuladas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Movimientos de una ventana de 7 días y umbral elegido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Cantidad de compras y total acumulado, con acceso al listado.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Ritmo de gasto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Gasto por categoría y un presupuesto configurado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Avance respecto del presupuesto y días del periodo.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Seguimiento de una meta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Objetivo, fecha y progreso calculado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Cantidad pendiente y una sugerencia que explique cómo se obtuvo.</w:t>
            </w:r>
          </w:p>
        </w:tc>
      </w:tr>
    </w:tbl>
    <w:p>
      <w:r>
        <w:t>Estas reglas se implementarán con cálculos locales y mensajes preparados por el equipo; no requieren un servicio de IA. Si faltan presupuesto, historial o datos suficientes, la regla correspondiente no se activará. Ningún mensaje prometerá que el usuario ahorrará una cantidad determinada.</w:t>
      </w:r>
    </w:p>
    <w:p>
      <w:pPr>
        <w:pStyle w:val="Heading2"/>
      </w:pPr>
      <w:r>
        <w:t>Frecuencia y lenguaje</w:t>
      </w:r>
    </w:p>
    <w:p>
      <w:r>
        <w:t>Proponemos un aviso diario como ajuste inicial, con opciones de cero, uno o dos. Es una decisión configurable, no una preferencia de todos los entrevistados. Los consejos preventivos compartirán ese límite y podrán descartarse o posponerse. Los avisos operativos de errores de guardado se mostrarán aparte, cuando sea necesario informar el estado de una acción.</w:t>
      </w:r>
    </w:p>
    <w:p>
      <w:r>
        <w:t>Ejemplo con datos de prueba: “Esta semana registraste 8 compras pequeñas por $32.000 en alimentación. Puedes revisar cuáles quieres mantener”. El mensaje describe registros concretos y deja la decisión en manos del usuario. Evitaremos juicios como “gastaste mal” o afirmaciones que la información no permita sostener.</w:t>
      </w:r>
    </w:p>
    <w:p>
      <w:r>
        <w:br w:type="page"/>
      </w:r>
    </w:p>
    <w:p>
      <w:pPr>
        <w:pStyle w:val="Heading1"/>
      </w:pPr>
      <w:r>
        <w:t>Prioridades y comprobación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200"/>
        <w:gridCol w:w="3900"/>
        <w:gridCol w:w="42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Orden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Trabajo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Entrega / motivo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Obligatorio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Autenticación, categorías, metas y movimientos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1 · Base exigida para comenzar a usar la app.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FE-01: reservas y saldo libre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2 · Petición directa; se apoya en prácticas de los tres participantes.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FE-02: recomendaciones configurables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3 · Aprovecha datos acumulados; requiere validación con un entrevistado.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Transversal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Registro breve y cálculos correctos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Todas · Pereza para registrar y confianza en los balances.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Por evaluar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Plantillas de gastos frecuentes y planificación variable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Mejoras futuras; no desplazar las funciones obligatorias.</w:t>
            </w:r>
          </w:p>
        </w:tc>
      </w:tr>
    </w:tbl>
    <w:p>
      <w:pPr>
        <w:pStyle w:val="Heading2"/>
      </w:pPr>
      <w:r>
        <w:t>Pruebas que debe preparar el equipo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3150"/>
        <w:gridCol w:w="6210"/>
      </w:tblGrid>
      <w:tr>
        <w:trPr>
          <w:cantSplit/>
          <w:tblHeader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3344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Dos cuentas distintas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Ninguna puede leer ni modificar registros de la otra, también al intentar una operación directa.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Monto cero, negativo o texto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Se rechaza la entrada y se explica qué corregir.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Categoría ajena o inexistente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Se impide guardar el movimiento con esa referencia.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Modo avión desde entrega 2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Se puede registrar, consultar y calcular con datos locales.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Sincronizar varias veces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El mismo movimiento aparece una sola vez y conserva el total.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Cerrar con operaciones pendientes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Al volver a abrir, la cola y los registros siguen disponibles.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Máximo de un consejo diario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t>Aunque se activen varias reglas, no se supera la preferencia.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Validación de FE-02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4"/>
          </w:tcPr>
          <w:p>
            <w:pPr>
              <w:pStyle w:val="TableText"/>
            </w:pPr>
            <w:r>
              <w:t>Un entrevistado usa la función y se registra su opinión real.</w:t>
            </w:r>
          </w:p>
        </w:tc>
      </w:tr>
    </w:tbl>
    <w:p>
      <w:pPr>
        <w:pStyle w:val="Heading2"/>
      </w:pPr>
      <w:r>
        <w:t>Preparación para el trabajo sin conexión</w:t>
      </w:r>
    </w:p>
    <w:p>
      <w:r>
        <w:t>Desde la segunda entrega se usarán identificadores estables, persistencia local y una cola de cambios. La sincronización reutilizará el identificador de cada registro y conservará las operaciones que fallen. La resolución de conflictos se definirá y probará antes de la tercera entrega. Estas tareas son parte del plan de desarrollo; este documento no certifica que el código ya las implemente.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TdeA · Investigación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BOLSILLOALDÍA  /  DESARROLLO MÓVIL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64" w:lineRule="auto"/>
      <w:ind w:left="0" w:right="0" w:firstLine="0"/>
    </w:pPr>
    <w:rPr>
      <w:rFonts w:ascii="Nimbus Sans" w:hAnsi="Nimbus Sans"/>
      <w:b w:val="0"/>
      <w:i w:val="0"/>
      <w:color w:val="2535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ind w:left="0" w:right="0" w:firstLine="0"/>
      <w:outlineLvl w:val="0"/>
    </w:pPr>
    <w:rPr>
      <w:rFonts w:asciiTheme="majorHAnsi" w:eastAsiaTheme="majorEastAsia" w:hAnsiTheme="majorHAnsi" w:cstheme="majorBidi" w:ascii="Nimbus Sans" w:hAnsi="Nimbus Sans"/>
      <w:b/>
      <w:bCs/>
      <w:i w:val="0"/>
      <w:color w:val="1673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ind w:left="0" w:right="0" w:firstLine="0"/>
      <w:outlineLvl w:val="1"/>
    </w:pPr>
    <w:rPr>
      <w:rFonts w:asciiTheme="majorHAnsi" w:eastAsiaTheme="majorEastAsia" w:hAnsiTheme="majorHAnsi" w:cstheme="majorBidi" w:ascii="Nimbus Sans" w:hAnsi="Nimbus Sans"/>
      <w:b/>
      <w:bCs/>
      <w:i w:val="0"/>
      <w:color w:val="1673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ind w:left="0" w:right="0" w:firstLine="0"/>
      <w:outlineLvl w:val="2"/>
    </w:pPr>
    <w:rPr>
      <w:rFonts w:asciiTheme="majorHAnsi" w:eastAsiaTheme="majorEastAsia" w:hAnsiTheme="majorHAnsi" w:cstheme="majorBidi" w:ascii="Nimbus Sans" w:hAnsi="Nimbus Sans"/>
      <w:b/>
      <w:bCs/>
      <w:i w:val="0"/>
      <w:color w:val="1533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60" w:line="252" w:lineRule="auto" w:before="0"/>
      <w:ind w:left="0" w:right="0" w:firstLine="0"/>
      <w:contextualSpacing/>
    </w:pPr>
    <w:rPr>
      <w:rFonts w:asciiTheme="majorHAnsi" w:eastAsiaTheme="majorEastAsia" w:hAnsiTheme="majorHAnsi" w:cstheme="majorBidi" w:ascii="Nimbus Sans" w:hAnsi="Nimbus Sans"/>
      <w:b w:val="0"/>
      <w:i w:val="0"/>
      <w:color w:val="153344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before="0" w:after="240" w:line="264" w:lineRule="auto"/>
      <w:ind w:left="0" w:right="0" w:firstLine="0"/>
    </w:pPr>
    <w:rPr>
      <w:rFonts w:asciiTheme="majorHAnsi" w:eastAsiaTheme="majorEastAsia" w:hAnsiTheme="majorHAnsi" w:cstheme="majorBidi" w:ascii="Nimbus Sans" w:hAnsi="Nimbus Sans"/>
      <w:b w:val="0"/>
      <w:i w:val="0"/>
      <w:iCs/>
      <w:color w:val="53636B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259" w:lineRule="auto" w:before="80" w:after="160"/>
    </w:pPr>
    <w:rPr>
      <w:rFonts w:ascii="Nimbus Sans" w:hAnsi="Nimbus Sans"/>
      <w:b w:val="0"/>
      <w:bCs/>
      <w:i w:val="0"/>
      <w:color w:val="53636B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pPr>
      <w:keepNext w:val="0"/>
      <w:widowControl/>
      <w:spacing w:line="259" w:lineRule="auto" w:before="0" w:after="80"/>
    </w:pPr>
    <w:rPr>
      <w:rFonts w:ascii="Nimbus Sans" w:hAnsi="Nimbus Sans"/>
      <w:b w:val="0"/>
      <w:i w:val="0"/>
      <w:color w:val="53636B"/>
      <w:sz w:val="18"/>
    </w:rPr>
  </w:style>
  <w:style w:type="paragraph" w:customStyle="1" w:styleId="TableText">
    <w:name w:val="TableText"/>
    <w:basedOn w:val="Normal"/>
    <w:pPr>
      <w:keepNext w:val="0"/>
      <w:widowControl/>
      <w:spacing w:line="259" w:lineRule="auto" w:before="0" w:after="80"/>
    </w:pPr>
    <w:rPr>
      <w:rFonts w:ascii="Nimbus Sans" w:hAnsi="Nimbus Sans"/>
      <w:b w:val="0"/>
      <w:i w:val="0"/>
      <w:color w:val="25353E"/>
      <w:sz w:val="18"/>
    </w:rPr>
  </w:style>
  <w:style w:type="paragraph" w:customStyle="1" w:styleId="Question">
    <w:name w:val="Question"/>
    <w:basedOn w:val="Normal"/>
    <w:pPr>
      <w:keepNext/>
      <w:widowControl/>
      <w:spacing w:line="259" w:lineRule="auto" w:before="0" w:after="80"/>
    </w:pPr>
    <w:rPr>
      <w:rFonts w:ascii="Nimbus Sans" w:hAnsi="Nimbus Sans"/>
      <w:b/>
      <w:i w:val="0"/>
      <w:color w:val="153344"/>
      <w:sz w:val="20"/>
    </w:rPr>
  </w:style>
  <w:style w:type="paragraph" w:customStyle="1" w:styleId="Answer">
    <w:name w:val="Answer"/>
    <w:basedOn w:val="Normal"/>
    <w:pPr>
      <w:keepNext w:val="0"/>
      <w:widowControl/>
      <w:spacing w:line="259" w:lineRule="auto" w:before="0" w:after="80"/>
    </w:pPr>
    <w:rPr>
      <w:rFonts w:ascii="Nimbus Sans" w:hAnsi="Nimbus Sans"/>
      <w:b w:val="0"/>
      <w:i w:val="0"/>
      <w:color w:val="25353E"/>
      <w:sz w:val="20"/>
    </w:rPr>
  </w:style>
  <w:style w:type="paragraph" w:customStyle="1" w:styleId="Kicker">
    <w:name w:val="Kicker"/>
    <w:basedOn w:val="Normal"/>
    <w:pPr>
      <w:keepNext/>
      <w:widowControl/>
      <w:spacing w:line="259" w:lineRule="auto" w:before="0" w:after="80"/>
    </w:pPr>
    <w:rPr>
      <w:rFonts w:ascii="Nimbus Sans" w:hAnsi="Nimbus Sans"/>
      <w:b w:val="0"/>
      <w:i w:val="0"/>
      <w:color w:val="1673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Parámetros de la app y backlog</dc:title>
  <dc:subject>BolsilloAlDía · Investigación de campo y requisitos</dc:subject>
  <dc:creator>Juan Andrés Taborda Rodríguez; Juan David Franco Yepes; Emmanuel Vidal; Johan Alexander Mejía Tamayo; Sara Mejía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