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00"/>
      </w:pPr>
      <w:r>
        <w:t xml:space="preserve">TECSOPACK</w:t>
      </w:r>
    </w:p>
    <w:p>
      <w:pPr>
        <w:pStyle w:val="Heading1"/>
        <w:spacing w:after="100"/>
      </w:pPr>
      <w:r>
        <w:t xml:space="preserve">Información para configurar producción, inventario y costos</w:t>
      </w:r>
    </w:p>
    <w:p>
      <w:pPr>
        <w:pStyle w:val="Normal"/>
        <w:spacing w:after="100"/>
      </w:pPr>
      <w:r>
        <w:t xml:space="preserve">Solicitud de información a planta y administración · 15 de octubre de 2026</w:t>
      </w:r>
    </w:p>
    <w:p>
      <w:pPr>
        <w:pStyle w:val="Normal"/>
        <w:spacing w:after="100"/>
      </w:pPr>
      <w:r>
        <w:t xml:space="preserve">Estamos organizando el software para seguir cada orden de producción desde la entrega de materia prima hasta el producto terminado. El objetivo es conocer cuántos kilos hay, a qué orden pertenecen, dónde están y qué costo acumulan durante su recorrido.</w:t>
      </w:r>
    </w:p>
    <w:p>
      <w:pPr>
        <w:pStyle w:val="Normal"/>
        <w:spacing w:after="100"/>
      </w:pPr>
      <w:r>
        <w:t xml:space="preserve">Por favor compartir la siguiente información. Pueden enviar los formatos y archivos que ya utilizan, fotografías de registros o ejemplos diligenciados. No es necesario crear nuevos formatos. Si algún dato aún no se registra, indicar cómo lo manejan actualmente.</w:t>
      </w:r>
    </w:p>
    <w:p>
      <w:pPr>
        <w:pStyle w:val="Heading1"/>
        <w:spacing w:after="100"/>
      </w:pPr>
      <w:r>
        <w:t xml:space="preserve">1. Procesos, máquinas y recorrido del producto</w:t>
      </w:r>
    </w:p>
    <w:p>
      <w:pPr>
        <w:pStyle w:val="Normal"/>
        <w:spacing w:after="100"/>
        <w:ind w:left="280" w:hanging="200"/>
      </w:pPr>
      <w:r>
        <w:t xml:space="preserve">• Lista de procesos, máquinas y áreas donde puede quedar material o producto.</w:t>
      </w:r>
    </w:p>
    <w:p>
      <w:pPr>
        <w:pStyle w:val="Normal"/>
        <w:spacing w:after="100"/>
        <w:ind w:left="280" w:hanging="200"/>
      </w:pPr>
      <w:r>
        <w:t xml:space="preserve">• Secuencia de fabricación para cada familia de producto: desde extrusión hasta empaque y almacenamiento de producto terminado.</w:t>
      </w:r>
    </w:p>
    <w:p>
      <w:pPr>
        <w:pStyle w:val="Normal"/>
        <w:spacing w:after="100"/>
        <w:ind w:left="280" w:hanging="200"/>
      </w:pPr>
      <w:r>
        <w:t xml:space="preserve">• Indicar qué productos pasan por impresión, cuáles la omiten y qué otras rutas o reprocesos existen.</w:t>
      </w:r>
    </w:p>
    <w:p>
      <w:pPr>
        <w:pStyle w:val="Normal"/>
        <w:spacing w:after="100"/>
        <w:ind w:left="280" w:hanging="200"/>
      </w:pPr>
      <w:r>
        <w:t xml:space="preserve">• Explicar quién registra el envío de un traslado y quién confirma que lo recibió, incluidos traslados parciales.</w:t>
      </w:r>
    </w:p>
    <w:p>
      <w:pPr>
        <w:pStyle w:val="Normal"/>
        <w:spacing w:after="100"/>
        <w:ind w:left="280" w:hanging="200"/>
      </w:pPr>
      <w:r>
        <w:t xml:space="preserve">• Confirmar qué materiales recibe cada proceso. La regla definida es que extrusión recibe MP e impresión recibe tintas; aclarar el manejo de solventes y otros auxiliares.</w:t>
      </w:r>
    </w:p>
    <w:p>
      <w:pPr>
        <w:pStyle w:val="Heading1"/>
        <w:spacing w:after="100"/>
      </w:pPr>
      <w:r>
        <w:t xml:space="preserve">2. Una orden de producción real</w:t>
      </w:r>
    </w:p>
    <w:p>
      <w:pPr>
        <w:pStyle w:val="Normal"/>
        <w:spacing w:after="100"/>
      </w:pPr>
      <w:r>
        <w:t xml:space="preserve">Enviar una orden diligenciada y explicar su recorrido. Debe permitir identificar:</w:t>
      </w:r>
    </w:p>
    <w:p>
      <w:pPr>
        <w:pStyle w:val="Normal"/>
        <w:spacing w:after="100"/>
        <w:ind w:left="280" w:hanging="200"/>
      </w:pPr>
      <w:r>
        <w:t xml:space="preserve">• Número de orden, cliente o fabricación para inventario genérico, referencia y variante del producto.</w:t>
      </w:r>
    </w:p>
    <w:p>
      <w:pPr>
        <w:pStyle w:val="Normal"/>
        <w:spacing w:after="100"/>
        <w:ind w:left="280" w:hanging="200"/>
      </w:pPr>
      <w:r>
        <w:t xml:space="preserve">• Cantidad solicitada y unidad de medida; kilos previstos si se conocen y kilos reales obtenidos.</w:t>
      </w:r>
    </w:p>
    <w:p>
      <w:pPr>
        <w:pStyle w:val="Normal"/>
        <w:spacing w:after="100"/>
        <w:ind w:left="280" w:hanging="200"/>
      </w:pPr>
      <w:r>
        <w:t xml:space="preserve">• Fecha de entrega y orden de compra del cliente, cuando aplique.</w:t>
      </w:r>
    </w:p>
    <w:p>
      <w:pPr>
        <w:pStyle w:val="Normal"/>
        <w:spacing w:after="100"/>
        <w:ind w:left="280" w:hanging="200"/>
      </w:pPr>
      <w:r>
        <w:t xml:space="preserve">• Máquinas que intervienen y cómo se registran avances, entregas parciales y terminación.</w:t>
      </w:r>
    </w:p>
    <w:p>
      <w:pPr>
        <w:pStyle w:val="Normal"/>
        <w:spacing w:after="100"/>
        <w:ind w:left="280" w:hanging="200"/>
      </w:pPr>
      <w:r>
        <w:t xml:space="preserve">• Si una misma orden puede dividirse entre máquinas o fabricarse en varios lotes.</w:t>
      </w:r>
    </w:p>
    <w:p>
      <w:pPr>
        <w:pStyle w:val="Heading1"/>
        <w:spacing w:after="100"/>
      </w:pPr>
      <w:r>
        <w:t xml:space="preserve">3. Mezclas y consumos por producto</w:t>
      </w:r>
    </w:p>
    <w:p>
      <w:pPr>
        <w:pStyle w:val="Normal"/>
        <w:spacing w:after="100"/>
        <w:ind w:left="280" w:hanging="200"/>
      </w:pPr>
      <w:r>
        <w:t xml:space="preserve">• Recetas o mezclas vigentes: materiales exactos y sus porcentajes o kilos por tanda.</w:t>
      </w:r>
    </w:p>
    <w:p>
      <w:pPr>
        <w:pStyle w:val="Normal"/>
        <w:spacing w:after="100"/>
        <w:ind w:left="280" w:hanging="200"/>
      </w:pPr>
      <w:r>
        <w:t xml:space="preserve">• Tamaño de la tanda y variaciones de mezcla por referencia, color o cliente.</w:t>
      </w:r>
    </w:p>
    <w:p>
      <w:pPr>
        <w:pStyle w:val="Normal"/>
        <w:spacing w:after="100"/>
        <w:ind w:left="280" w:hanging="200"/>
      </w:pPr>
      <w:r>
        <w:t xml:space="preserve">• Consumos de tintas y auxiliares de impresión, si se tienen medidos.</w:t>
      </w:r>
    </w:p>
    <w:p>
      <w:pPr>
        <w:pStyle w:val="Normal"/>
        <w:spacing w:after="100"/>
        <w:ind w:left="280" w:hanging="200"/>
      </w:pPr>
      <w:r>
        <w:t xml:space="preserve">• Quién autoriza cambios de mezcla y cómo se identifica la fórmula utilizada en cada orden.</w:t>
      </w:r>
    </w:p>
    <w:p>
      <w:pPr>
        <w:pStyle w:val="Heading1"/>
        <w:spacing w:after="100"/>
      </w:pPr>
      <w:r>
        <w:t xml:space="preserve">4. Pesos, desperdicios, sobrantes y devoluciones</w:t>
      </w:r>
    </w:p>
    <w:p>
      <w:pPr>
        <w:pStyle w:val="Normal"/>
        <w:spacing w:after="100"/>
        <w:ind w:left="280" w:hanging="200"/>
      </w:pPr>
      <w:r>
        <w:t xml:space="preserve">• Desperdicio esperado por proceso y cómo se mide el desperdicio real.</w:t>
      </w:r>
    </w:p>
    <w:p>
      <w:pPr>
        <w:pStyle w:val="Normal"/>
        <w:spacing w:after="100"/>
        <w:ind w:left="280" w:hanging="200"/>
      </w:pPr>
      <w:r>
        <w:t xml:space="preserve">• Cómo distinguen desperdicio no aprovechable, material recuperable y sobrantes reutilizables.</w:t>
      </w:r>
    </w:p>
    <w:p>
      <w:pPr>
        <w:pStyle w:val="Normal"/>
        <w:spacing w:after="100"/>
        <w:ind w:left="280" w:hanging="200"/>
      </w:pPr>
      <w:r>
        <w:t xml:space="preserve">• Cómo registran devoluciones de MP a bodega y su relación con la orden que recibió el material.</w:t>
      </w:r>
    </w:p>
    <w:p>
      <w:pPr>
        <w:pStyle w:val="Normal"/>
        <w:spacing w:after="100"/>
        <w:ind w:left="280" w:hanging="200"/>
      </w:pPr>
      <w:r>
        <w:t xml:space="preserve">• Cómo pesan bobinas y producto; si descuentan conos, empaques u otras taras.</w:t>
      </w:r>
    </w:p>
    <w:p>
      <w:pPr>
        <w:pStyle w:val="Normal"/>
        <w:spacing w:after="100"/>
        <w:ind w:left="280" w:hanging="200"/>
      </w:pPr>
      <w:r>
        <w:t xml:space="preserve">• Cómo identifican lotes y bobinas, y si se mezclan materiales o productos de diferentes lotes u órdenes.</w:t>
      </w:r>
    </w:p>
    <w:p>
      <w:pPr>
        <w:pStyle w:val="Heading1"/>
        <w:spacing w:after="100"/>
      </w:pPr>
      <w:r>
        <w:t xml:space="preserve">5. Inventarios y catálogo de producto terminado</w:t>
      </w:r>
    </w:p>
    <w:p>
      <w:pPr>
        <w:pStyle w:val="Normal"/>
        <w:spacing w:after="100"/>
        <w:ind w:left="280" w:hanging="200"/>
      </w:pPr>
      <w:r>
        <w:t xml:space="preserve">• Existencias actuales de MP, producto en proceso y producto terminado, indicando fecha del conteo y ubicación.</w:t>
      </w:r>
    </w:p>
    <w:p>
      <w:pPr>
        <w:pStyle w:val="Normal"/>
        <w:spacing w:after="100"/>
        <w:ind w:left="280" w:hanging="200"/>
      </w:pPr>
      <w:r>
        <w:t xml:space="preserve">• Para producto en proceso: orden, referencia, lote o bobina, kilos y etapa donde está.</w:t>
      </w:r>
    </w:p>
    <w:p>
      <w:pPr>
        <w:pStyle w:val="Normal"/>
        <w:spacing w:after="100"/>
        <w:ind w:left="280" w:hanging="200"/>
      </w:pPr>
      <w:r>
        <w:t xml:space="preserve">• Para producto terminado: referencia, diseño, color, cantidad y unidad; peso real si está disponible.</w:t>
      </w:r>
    </w:p>
    <w:p>
      <w:pPr>
        <w:pStyle w:val="Normal"/>
        <w:spacing w:after="100"/>
        <w:ind w:left="280" w:hanging="200"/>
      </w:pPr>
      <w:r>
        <w:t xml:space="preserve">• Confirmar en qué unidades están las dimensiones y el calibre de la LISTA DE GENERICO.xlsx.</w:t>
      </w:r>
    </w:p>
    <w:p>
      <w:pPr>
        <w:pStyle w:val="Normal"/>
        <w:spacing w:after="100"/>
        <w:ind w:left="280" w:hanging="200"/>
      </w:pPr>
      <w:r>
        <w:t xml:space="preserve">• Confirmar dos datos del archivo: referencia L11 con dimensiones 13X13 y referencia R-19 con dimensiones 17X20.</w:t>
      </w:r>
    </w:p>
    <w:p>
      <w:pPr>
        <w:pStyle w:val="Normal"/>
        <w:spacing w:after="100"/>
      </w:pPr>
      <w:r>
        <w:t xml:space="preserve">El Excel recibido contiene 63 variantes: 41 láminas y 22 bolsillos. Las cifras de paquete y bulto son cantidades por presentación; no permiten conocer las existencias actuales ni el peso en kilos.</w:t>
      </w:r>
    </w:p>
    <w:p>
      <w:pPr>
        <w:pStyle w:val="Heading1"/>
        <w:spacing w:after="100"/>
      </w:pPr>
      <w:r>
        <w:t xml:space="preserve">6. Compras y costos de materia prima</w:t>
      </w:r>
    </w:p>
    <w:p>
      <w:pPr>
        <w:pStyle w:val="Normal"/>
        <w:spacing w:after="100"/>
      </w:pPr>
      <w:r>
        <w:t xml:space="preserve">El sistema permitirá registrar tantas compras de una misma materia prima como se necesiten durante el año. Cada ingreso conservará su fecha, cantidad y precio, para consultar su historial y calcular el promedio ponderado acumulado.</w:t>
      </w:r>
    </w:p>
    <w:p>
      <w:pPr>
        <w:pStyle w:val="Normal"/>
        <w:spacing w:after="100"/>
        <w:ind w:left="280" w:hanging="200"/>
      </w:pPr>
      <w:r>
        <w:t xml:space="preserve">• Enviar ejemplos de compras nacionales e importaciones con fecha, material, cantidad, unidad y precio por unidad o valor total claramente identificado.</w:t>
      </w:r>
    </w:p>
    <w:p>
      <w:pPr>
        <w:pStyle w:val="Normal"/>
        <w:spacing w:after="100"/>
        <w:ind w:left="280" w:hanging="200"/>
      </w:pPr>
      <w:r>
        <w:t xml:space="preserve">• Compartir los registros históricos disponibles del año y el costo conocido de las existencias iniciales.</w:t>
      </w:r>
    </w:p>
    <w:p>
      <w:pPr>
        <w:pStyle w:val="Normal"/>
        <w:spacing w:after="100"/>
        <w:ind w:left="280" w:hanging="200"/>
      </w:pPr>
      <w:r>
        <w:t xml:space="preserve">• Para importaciones: moneda, tasa de cambio utilizada, flete, seguro y demás gastos que se asignan al material; indicar cómo reparten gastos compartidos.</w:t>
      </w:r>
    </w:p>
    <w:p>
      <w:pPr>
        <w:pStyle w:val="Normal"/>
        <w:spacing w:after="100"/>
        <w:ind w:left="280" w:hanging="200"/>
      </w:pPr>
      <w:r>
        <w:t xml:space="preserve">• Indicar quién registra precios y quién puede corregirlos.</w:t>
      </w:r>
    </w:p>
    <w:p>
      <w:pPr>
        <w:pStyle w:val="Normal"/>
        <w:spacing w:after="100"/>
      </w:pPr>
      <w:r>
        <w:t xml:space="preserve">Ejemplo del promedio: 100 kg a $5.000/kg más 300 kg a $4.000/kg suman $1.700.000 por 400 kg. El promedio es $4.250/kg.</w:t>
      </w:r>
    </w:p>
    <w:p>
      <w:pPr>
        <w:pStyle w:val="Normal"/>
        <w:spacing w:after="100"/>
      </w:pPr>
      <w:r>
        <w:t xml:space="preserve">Para vincular ese costo a las órdenes, confirmar qué promedio utilizan actualmente al consumir MP y cómo manejan correcciones de costos de órdenes ya terminadas.</w:t>
      </w:r>
    </w:p>
    <w:p>
      <w:pPr>
        <w:pStyle w:val="Heading1"/>
        <w:spacing w:after="100"/>
      </w:pPr>
      <w:r>
        <w:t xml:space="preserve">7. Costos de fabricación y responsables</w:t>
      </w:r>
    </w:p>
    <w:p>
      <w:pPr>
        <w:pStyle w:val="Normal"/>
        <w:spacing w:after="100"/>
        <w:ind w:left="280" w:hanging="200"/>
      </w:pPr>
      <w:r>
        <w:t xml:space="preserve">• Si se busca calcular el costo completo del producto, compartir la información disponible de mano de obra, tiempos de fabricación, energía, empaque y otros costos de transformación.</w:t>
      </w:r>
    </w:p>
    <w:p>
      <w:pPr>
        <w:pStyle w:val="Normal"/>
        <w:spacing w:after="100"/>
        <w:ind w:left="280" w:hanging="200"/>
      </w:pPr>
      <w:r>
        <w:t xml:space="preserve">• Indicar responsables por área y máquinas que puede operar cada usuario.</w:t>
      </w:r>
    </w:p>
    <w:p>
      <w:pPr>
        <w:pStyle w:val="Normal"/>
        <w:spacing w:after="100"/>
        <w:ind w:left="280" w:hanging="200"/>
      </w:pPr>
      <w:r>
        <w:t xml:space="preserve">• Definir quién puede corregir registros, autorizar reprocesos y cerrar una orden.</w:t>
      </w:r>
    </w:p>
    <w:p>
      <w:pPr>
        <w:pStyle w:val="Heading1"/>
        <w:spacing w:after="100"/>
      </w:pPr>
      <w:r>
        <w:t xml:space="preserve">Criterios que guiarán la configuración</w:t>
      </w:r>
    </w:p>
    <w:p>
      <w:pPr>
        <w:pStyle w:val="Normal"/>
        <w:spacing w:after="100"/>
        <w:ind w:left="280" w:hanging="200"/>
      </w:pPr>
      <w:r>
        <w:t xml:space="preserve">• Toda salida de MP descontará la bodega de origen. Los siguientes traslados moverán producto en proceso, sin volver a descontar la misma MP.</w:t>
      </w:r>
    </w:p>
    <w:p>
      <w:pPr>
        <w:pStyle w:val="Normal"/>
        <w:spacing w:after="100"/>
        <w:ind w:left="280" w:hanging="200"/>
      </w:pPr>
      <w:r>
        <w:t xml:space="preserve">• Se distinguirá material entregado de material realmente consumido, para controlar saldos y devoluciones.</w:t>
      </w:r>
    </w:p>
    <w:p>
      <w:pPr>
        <w:pStyle w:val="Normal"/>
        <w:spacing w:after="100"/>
        <w:ind w:left="280" w:hanging="200"/>
      </w:pPr>
      <w:r>
        <w:t xml:space="preserve">• Cada traslado conservará orden, lote, kilos, origen, destino, fecha y responsable.</w:t>
      </w:r>
    </w:p>
    <w:p>
      <w:pPr>
        <w:pStyle w:val="Normal"/>
        <w:spacing w:after="100"/>
        <w:ind w:left="280" w:hanging="200"/>
      </w:pPr>
      <w:r>
        <w:t xml:space="preserve">• El superadministrador podrá consultar la trazabilidad y el operario registrará avances y traslados según sus permisos.</w:t>
      </w:r>
    </w:p>
    <w:p>
      <w:pPr>
        <w:pStyle w:val="Normal"/>
        <w:spacing w:after="100"/>
        <w:ind w:left="280" w:hanging="200"/>
      </w:pPr>
      <w:r>
        <w:t xml:space="preserve">• Se conservarán VERDE CLARO y VERDE OSCURO como materiales separados.</w:t>
      </w:r>
    </w:p>
    <w:p>
      <w:pPr>
        <w:pStyle w:val="Heading1"/>
        <w:spacing w:after="100"/>
      </w:pPr>
      <w:r>
        <w:t xml:space="preserve">Información prioritaria para comenzar</w:t>
      </w:r>
    </w:p>
    <w:p>
      <w:pPr>
        <w:pStyle w:val="Normal"/>
        <w:spacing w:after="100"/>
      </w:pPr>
      <w:r>
        <w:t xml:space="preserve">Primero necesitamos: el recorrido de los procesos, una orden real diligenciada, las mezclas vigentes y las existencias actuales de producto terminado. Con esa base podremos configurar el flujo y solicitar únicamente los detalles que falten.</w:t>
      </w:r>
    </w:p>
    <w:sectPr>
      <w:pgSz w:w="11906" w:h="16838"/>
      <w:pgMar w:top="1000" w:right="1100" w:bottom="1000" w:left="11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lang w:val="es-CO"/>
      </w:rPr>
    </w:rPrDefault>
  </w:docDefaults>
  <w:style w:type="paragraph" w:default="1" w:styleId="Normal">
    <w:name w:val="Normal"/>
    <w:pPr>
      <w:spacing w:line="270" w:lineRule="auto"/>
    </w:pPr>
  </w:style>
  <w:style w:type="paragraph" w:styleId="Title">
    <w:name w:val="Title"/>
    <w:rPr>
      <w:b/>
      <w:color w:val="00695C"/>
      <w:sz w:val="40"/>
    </w:rPr>
  </w:style>
  <w:style w:type="paragraph" w:styleId="Heading1">
    <w:name w:val="heading 1"/>
    <w:pPr>
      <w:keepNext/>
      <w:spacing w:before="240"/>
    </w:pPr>
    <w:rPr>
      <w:b/>
      <w:color w:val="00695C"/>
      <w:sz w:val="26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