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VisionFund International</w:t>
      </w:r>
    </w:p>
    <w:p>
      <w:pPr>
        <w:pStyle w:val="Heading1"/>
      </w:pPr>
      <w:r>
        <w:t>Insurance Impact Report — Vietnam 2026 Q2</w:t>
      </w:r>
    </w:p>
    <w:p>
      <w:r>
        <w:t>Generated: 06 July 2026</w:t>
      </w:r>
    </w:p>
    <w:p>
      <w:r>
        <w:br w:type="page"/>
      </w:r>
    </w:p>
    <w:p>
      <w:pPr>
        <w:pStyle w:val="Heading1"/>
      </w:pPr>
      <w:r>
        <w:t>Part 1: Product Understanding &amp; Awareness</w:t>
      </w:r>
    </w:p>
    <w:p>
      <w:pPr>
        <w:pStyle w:val="Heading2"/>
      </w:pPr>
      <w:r>
        <w:t>Coverage Understanding</w:t>
      </w:r>
    </w:p>
    <w:p>
      <w:r>
        <w:t>Overall, 76.6% of clients reported understanding their insurance coverage (n=2104). Female clients showed 75.5% understanding, while male clients reported 79.4%. A significant disparity emerged between claimants, with 94.8% understanding, and non-claimants, where only 61.9% understood their coverage. This suggests that the claims process itself may enhance comprehension.</w:t>
      </w:r>
    </w:p>
    <w:p>
      <w:r>
        <w:drawing>
          <wp:inline xmlns:a="http://schemas.openxmlformats.org/drawingml/2006/main" xmlns:pic="http://schemas.openxmlformats.org/drawingml/2006/picture">
            <wp:extent cx="5029200" cy="1623713"/>
            <wp:docPr id="1" name="Picture 1"/>
            <wp:cNvGraphicFramePr>
              <a:graphicFrameLocks noChangeAspect="1"/>
            </wp:cNvGraphicFramePr>
            <a:graphic>
              <a:graphicData uri="http://schemas.openxmlformats.org/drawingml/2006/picture">
                <pic:pic>
                  <pic:nvPicPr>
                    <pic:cNvPr id="0" name="part1_coverage_bar.png"/>
                    <pic:cNvPicPr/>
                  </pic:nvPicPr>
                  <pic:blipFill>
                    <a:blip r:embed="rId9"/>
                    <a:stretch>
                      <a:fillRect/>
                    </a:stretch>
                  </pic:blipFill>
                  <pic:spPr>
                    <a:xfrm>
                      <a:off x="0" y="0"/>
                      <a:ext cx="5029200" cy="1623713"/>
                    </a:xfrm>
                    <a:prstGeom prst="rect"/>
                  </pic:spPr>
                </pic:pic>
              </a:graphicData>
            </a:graphic>
          </wp:inline>
        </w:drawing>
      </w:r>
    </w:p>
    <w:p>
      <w:pPr>
        <w:pStyle w:val="Caption"/>
        <w:jc w:val="center"/>
      </w:pPr>
      <w:r>
        <w:t>Coverage Understanding by Segment</w:t>
      </w:r>
    </w:p>
    <w:p>
      <w:pPr>
        <w:pStyle w:val="Heading2"/>
      </w:pPr>
      <w:r>
        <w:t>Claim Process Understanding</w:t>
      </w:r>
    </w:p>
    <w:p>
      <w:r>
        <w:t>Client understanding of the claim process stood at 68.2% overall (n=2104). Female clients demonstrated 67.9% understanding, slightly lower than male clients at 68.9%. A substantial difference was observed between claimants, 90.2% of whom understood the process, and non-claimants, with only 49.0% reporting understanding. This highlights a critical gap in pre-claim knowledge.</w:t>
      </w:r>
    </w:p>
    <w:p>
      <w:r>
        <w:drawing>
          <wp:inline xmlns:a="http://schemas.openxmlformats.org/drawingml/2006/main" xmlns:pic="http://schemas.openxmlformats.org/drawingml/2006/picture">
            <wp:extent cx="5029200" cy="1486392"/>
            <wp:docPr id="2" name="Picture 2"/>
            <wp:cNvGraphicFramePr>
              <a:graphicFrameLocks noChangeAspect="1"/>
            </wp:cNvGraphicFramePr>
            <a:graphic>
              <a:graphicData uri="http://schemas.openxmlformats.org/drawingml/2006/picture">
                <pic:pic>
                  <pic:nvPicPr>
                    <pic:cNvPr id="0" name="part1_claims_process_bar.png"/>
                    <pic:cNvPicPr/>
                  </pic:nvPicPr>
                  <pic:blipFill>
                    <a:blip r:embed="rId10"/>
                    <a:stretch>
                      <a:fillRect/>
                    </a:stretch>
                  </pic:blipFill>
                  <pic:spPr>
                    <a:xfrm>
                      <a:off x="0" y="0"/>
                      <a:ext cx="5029200" cy="1486392"/>
                    </a:xfrm>
                    <a:prstGeom prst="rect"/>
                  </pic:spPr>
                </pic:pic>
              </a:graphicData>
            </a:graphic>
          </wp:inline>
        </w:drawing>
      </w:r>
    </w:p>
    <w:p>
      <w:pPr>
        <w:pStyle w:val="Caption"/>
        <w:jc w:val="center"/>
      </w:pPr>
      <w:r>
        <w:t>Claims Process Understanding by Segment</w:t>
      </w:r>
    </w:p>
    <w:p>
      <w:pPr>
        <w:pStyle w:val="Heading2"/>
      </w:pPr>
      <w:r>
        <w:t>Product Value and Renewal Intent</w:t>
      </w:r>
    </w:p>
    <w:p>
      <w:r>
        <w:t>A strong majority, 89.5% of clients, perceived the insurance product as worth its premium (n=1957). However, renewal intent was lower at 58.5%. It is important to note that this figure is based on a small sample of 147 renewal-eligible clients, limiting its generalizability. Further data will clarify this trend.</w:t>
      </w:r>
    </w:p>
    <w:p>
      <w:pPr>
        <w:pStyle w:val="Heading3"/>
      </w:pPr>
      <w:r>
        <w:t>Key Insight</w:t>
      </w:r>
    </w:p>
    <w:p>
      <w:r>
        <w:t>The data revealed a clear pattern: clients who experienced the claims process demonstrated significantly higher understanding of both coverage and claim procedures compared to non-claimants. While nearly 90% of clients valued the product, renewal intent was notably lower, though this finding is based on a small sample of renewal-eligible clients. This suggests that the perceived value does not consistently translate into renewal, possibly due to a lack of comprehensive understanding prior to a claim event. Enhancing pre-claim education could bridge this knowledge gap and potentially strengthen renewal rates, ensuring clients fully grasp the product's benefits before needing to claim.</w:t>
      </w:r>
    </w:p>
    <w:p>
      <w:r>
        <w:br w:type="page"/>
      </w:r>
    </w:p>
    <w:p>
      <w:pPr>
        <w:pStyle w:val="Heading1"/>
      </w:pPr>
      <w:r>
        <w:t>Part 2: Claims Experience</w:t>
      </w:r>
    </w:p>
    <w:p>
      <w:pPr>
        <w:pStyle w:val="Heading2"/>
      </w:pPr>
      <w:r>
        <w:t>Claims Funnel</w:t>
      </w:r>
    </w:p>
    <w:p>
      <w:r>
        <w:t>Out of 2,111 clients surveyed, 363 (17.2%) experienced an insurable event. However, only 153 of these clients filed a claim, representing 42.1% of those who experienced an event. This indicates a significant leakage rate of 57.9% in the claims funnel, where many clients did not proceed with filing. Ultimately, 58 claims were paid, accounting for 37.9% of all claims filed. This suggests that less than half of filed claims resulted in a payout, highlighting challenges in both claim filing and successful processing.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N</w:t>
            </w:r>
          </w:p>
        </w:tc>
        <w:tc>
          <w:tcPr>
            <w:tcW w:type="dxa" w:w="2880"/>
          </w:tcPr>
          <w:p>
            <w:r>
              <w:rPr>
                <w:b/>
              </w:rPr>
              <w:t>Rate</w:t>
            </w:r>
          </w:p>
        </w:tc>
      </w:tr>
      <w:tr>
        <w:tc>
          <w:tcPr>
            <w:tcW w:type="dxa" w:w="2880"/>
          </w:tcPr>
          <w:p>
            <w:r>
              <w:t>Experienced insured event</w:t>
            </w:r>
          </w:p>
        </w:tc>
        <w:tc>
          <w:tcPr>
            <w:tcW w:type="dxa" w:w="2880"/>
          </w:tcPr>
          <w:p>
            <w:r>
              <w:t>363</w:t>
            </w:r>
          </w:p>
        </w:tc>
        <w:tc>
          <w:tcPr>
            <w:tcW w:type="dxa" w:w="2880"/>
          </w:tcPr>
          <w:p>
            <w:r>
              <w:t>17.2%</w:t>
            </w:r>
          </w:p>
        </w:tc>
      </w:tr>
      <w:tr>
        <w:tc>
          <w:tcPr>
            <w:tcW w:type="dxa" w:w="2880"/>
          </w:tcPr>
          <w:p>
            <w:r>
              <w:t>Filed a claim</w:t>
            </w:r>
          </w:p>
        </w:tc>
        <w:tc>
          <w:tcPr>
            <w:tcW w:type="dxa" w:w="2880"/>
          </w:tcPr>
          <w:p>
            <w:r>
              <w:t>153</w:t>
            </w:r>
          </w:p>
        </w:tc>
        <w:tc>
          <w:tcPr>
            <w:tcW w:type="dxa" w:w="2880"/>
          </w:tcPr>
          <w:p>
            <w:r>
              <w:t>42.1%</w:t>
            </w:r>
          </w:p>
        </w:tc>
      </w:tr>
      <w:tr>
        <w:tc>
          <w:tcPr>
            <w:tcW w:type="dxa" w:w="2880"/>
          </w:tcPr>
          <w:p>
            <w:r>
              <w:t>Claim paid</w:t>
            </w:r>
          </w:p>
        </w:tc>
        <w:tc>
          <w:tcPr>
            <w:tcW w:type="dxa" w:w="2880"/>
          </w:tcPr>
          <w:p>
            <w:r>
              <w:t>58</w:t>
            </w:r>
          </w:p>
        </w:tc>
        <w:tc>
          <w:tcPr>
            <w:tcW w:type="dxa" w:w="2880"/>
          </w:tcPr>
          <w:p>
            <w:r>
              <w:t>37.9%</w:t>
            </w:r>
          </w:p>
        </w:tc>
      </w:tr>
    </w:tbl>
    <w:p>
      <w:r>
        <w:drawing>
          <wp:inline xmlns:a="http://schemas.openxmlformats.org/drawingml/2006/main" xmlns:pic="http://schemas.openxmlformats.org/drawingml/2006/picture">
            <wp:extent cx="5029200" cy="4033078"/>
            <wp:docPr id="3" name="Picture 3"/>
            <wp:cNvGraphicFramePr>
              <a:graphicFrameLocks noChangeAspect="1"/>
            </wp:cNvGraphicFramePr>
            <a:graphic>
              <a:graphicData uri="http://schemas.openxmlformats.org/drawingml/2006/picture">
                <pic:pic>
                  <pic:nvPicPr>
                    <pic:cNvPr id="0" name="part2_funnel.png"/>
                    <pic:cNvPicPr/>
                  </pic:nvPicPr>
                  <pic:blipFill>
                    <a:blip r:embed="rId11"/>
                    <a:stretch>
                      <a:fillRect/>
                    </a:stretch>
                  </pic:blipFill>
                  <pic:spPr>
                    <a:xfrm>
                      <a:off x="0" y="0"/>
                      <a:ext cx="5029200" cy="4033078"/>
                    </a:xfrm>
                    <a:prstGeom prst="rect"/>
                  </pic:spPr>
                </pic:pic>
              </a:graphicData>
            </a:graphic>
          </wp:inline>
        </w:drawing>
      </w:r>
    </w:p>
    <w:p>
      <w:pPr>
        <w:pStyle w:val="Caption"/>
        <w:jc w:val="center"/>
      </w:pPr>
      <w:r>
        <w:t>Claims Funnel</w:t>
      </w:r>
    </w:p>
    <w:p>
      <w:pPr>
        <w:pStyle w:val="Heading2"/>
      </w:pPr>
      <w:r>
        <w:t>Reasons for Not Claiming</w:t>
      </w:r>
    </w:p>
    <w:p>
      <w:r>
        <w:t>Among the 210 clients who did not file a claim after an event, the primary reasons cited were not being covered at the time (34.3%, n=72) and not knowing how to file a claim (32.9%, n=69). A substantial 23.8% (n=50) reported "Other" reasons. Less common factors included the loss not being significant (5.7%, n=12) and the claim process being cumbersome (2.9%, n=6). These findings point to critical gaps in policy understanding and claims literacy.</w:t>
      </w:r>
    </w:p>
    <w:p>
      <w:r>
        <w:drawing>
          <wp:inline xmlns:a="http://schemas.openxmlformats.org/drawingml/2006/main" xmlns:pic="http://schemas.openxmlformats.org/drawingml/2006/picture">
            <wp:extent cx="5029200" cy="1356423"/>
            <wp:docPr id="4" name="Picture 4"/>
            <wp:cNvGraphicFramePr>
              <a:graphicFrameLocks noChangeAspect="1"/>
            </wp:cNvGraphicFramePr>
            <a:graphic>
              <a:graphicData uri="http://schemas.openxmlformats.org/drawingml/2006/picture">
                <pic:pic>
                  <pic:nvPicPr>
                    <pic:cNvPr id="0" name="part2_no_claim_reasons.png"/>
                    <pic:cNvPicPr/>
                  </pic:nvPicPr>
                  <pic:blipFill>
                    <a:blip r:embed="rId12"/>
                    <a:stretch>
                      <a:fillRect/>
                    </a:stretch>
                  </pic:blipFill>
                  <pic:spPr>
                    <a:xfrm>
                      <a:off x="0" y="0"/>
                      <a:ext cx="5029200" cy="1356423"/>
                    </a:xfrm>
                    <a:prstGeom prst="rect"/>
                  </pic:spPr>
                </pic:pic>
              </a:graphicData>
            </a:graphic>
          </wp:inline>
        </w:drawing>
      </w:r>
    </w:p>
    <w:p>
      <w:pPr>
        <w:pStyle w:val="Caption"/>
        <w:jc w:val="center"/>
      </w:pPr>
      <w:r>
        <w:t>Reasons for Not Claiming</w:t>
      </w:r>
    </w:p>
    <w:p>
      <w:pPr>
        <w:pStyle w:val="Heading2"/>
      </w:pPr>
      <w:r>
        <w:t>Claim Challenges</w:t>
      </w:r>
    </w:p>
    <w:p>
      <w:r>
        <w:t>Of the 85 clients who faced challenges during the claim process, over half (51.8%, n=44) found it difficult to ascertain the claim status after document submission. Collecting necessary documents from hospitals or authorities was also a significant hurdle for 36.5% (n=31) of clients. Additionally, 35.3% (n=30) experienced long waiting times for claim payouts. Lack of sufficient support or guidance (18.8%, n=16) and difficulties in submitting documents (14.1%, n=12) were also noted. No protection flags were identified in this reporting period.</w:t>
      </w:r>
    </w:p>
    <w:p>
      <w:r>
        <w:drawing>
          <wp:inline xmlns:a="http://schemas.openxmlformats.org/drawingml/2006/main" xmlns:pic="http://schemas.openxmlformats.org/drawingml/2006/picture">
            <wp:extent cx="5029200" cy="1251935"/>
            <wp:docPr id="5" name="Picture 5"/>
            <wp:cNvGraphicFramePr>
              <a:graphicFrameLocks noChangeAspect="1"/>
            </wp:cNvGraphicFramePr>
            <a:graphic>
              <a:graphicData uri="http://schemas.openxmlformats.org/drawingml/2006/picture">
                <pic:pic>
                  <pic:nvPicPr>
                    <pic:cNvPr id="0" name="part2_claim_challenges.png"/>
                    <pic:cNvPicPr/>
                  </pic:nvPicPr>
                  <pic:blipFill>
                    <a:blip r:embed="rId13"/>
                    <a:stretch>
                      <a:fillRect/>
                    </a:stretch>
                  </pic:blipFill>
                  <pic:spPr>
                    <a:xfrm>
                      <a:off x="0" y="0"/>
                      <a:ext cx="5029200" cy="1251935"/>
                    </a:xfrm>
                    <a:prstGeom prst="rect"/>
                  </pic:spPr>
                </pic:pic>
              </a:graphicData>
            </a:graphic>
          </wp:inline>
        </w:drawing>
      </w:r>
    </w:p>
    <w:p>
      <w:pPr>
        <w:pStyle w:val="Caption"/>
        <w:jc w:val="center"/>
      </w:pPr>
      <w:r>
        <w:t>Top Claims Challenges (% of claimants who challenged)</w:t>
      </w:r>
    </w:p>
    <w:p>
      <w:pPr>
        <w:pStyle w:val="Heading2"/>
      </w:pPr>
      <w:r>
        <w:t>Claim Channel and Payout Outcomes</w:t>
      </w:r>
    </w:p>
    <w:p>
      <w:r>
        <w:t>The majority of the 153 claims were filed through an MFI officer collecting documents (83.7%, n=128), indicating a strong reliance on direct support. Other channels, such as WhatsApp (9.2%, n=14) or direct office visits (4.6%, n=7), were used less frequently. Regarding claim outcomes, 37.9% (n=58) were approved and paid, while 22.9% (n=35) were approved but not yet paid. Fifteen percent (n=23) of claims were rejected. For the 58 paid claims, 63.8% (n=37) covered all costs, 24.1% (n=14) covered some, and 12.1% (n=7) covered most.</w:t>
      </w:r>
    </w:p>
    <w:p>
      <w:pPr>
        <w:pStyle w:val="Heading3"/>
      </w:pPr>
      <w:r>
        <w:t>Key Insight</w:t>
      </w:r>
    </w:p>
    <w:p>
      <w:r>
        <w:t>The claims experience reveals significant areas for intervention. A substantial leakage rate of 57.9% between experiencing an event and filing a claim, coupled with 32.9% of non-claimants citing lack of knowledge on how to file, underscores a critical need for enhanced client education on policy benefits and claims procedures. Furthermore, the low payout rate of 37.9% of filed claims, alongside challenges like difficulty tracking claim status (51.8%) and long payout times (35.3%), suggests process inefficiencies. Improving communication channels for claim status updates and streamlining document collection could significantly enhance client satisfaction and trust. Addressing these barriers is crucial to realizing the full protective value of the insurance product.</w:t>
      </w:r>
    </w:p>
    <w:p>
      <w:r>
        <w:br w:type="page"/>
      </w:r>
    </w:p>
    <w:p>
      <w:pPr>
        <w:pStyle w:val="Heading1"/>
      </w:pPr>
      <w:r>
        <w:t>Part 3: Financial Protection</w:t>
      </w:r>
    </w:p>
    <w:p>
      <w:pPr>
        <w:pStyle w:val="Heading2"/>
      </w:pPr>
      <w:r>
        <w:t>Financial Stress and Coping</w:t>
      </w:r>
    </w:p>
    <w:p>
      <w:r>
        <w:t>Among claimants, 20.1% reported resorting to negative coping mechanisms, while only 3.3% experienced high levels of financial stress. This suggests the insurance product helps mitigate severe financial distress during challenging times. Furthermore, a substantial 69.8% of the full sample indicated they would face significant difficulty accessing alternative financial support if this insurance were unavailable. This highlights the critical role the program plays in providing essential financial protection for vulnerable households.</w:t>
      </w:r>
    </w:p>
    <w:p>
      <w:r>
        <w:drawing>
          <wp:inline xmlns:a="http://schemas.openxmlformats.org/drawingml/2006/main" xmlns:pic="http://schemas.openxmlformats.org/drawingml/2006/picture">
            <wp:extent cx="5029200" cy="3714376"/>
            <wp:docPr id="6" name="Picture 6"/>
            <wp:cNvGraphicFramePr>
              <a:graphicFrameLocks noChangeAspect="1"/>
            </wp:cNvGraphicFramePr>
            <a:graphic>
              <a:graphicData uri="http://schemas.openxmlformats.org/drawingml/2006/picture">
                <pic:pic>
                  <pic:nvPicPr>
                    <pic:cNvPr id="0" name="part3_financial_protection.png"/>
                    <pic:cNvPicPr/>
                  </pic:nvPicPr>
                  <pic:blipFill>
                    <a:blip r:embed="rId14"/>
                    <a:stretch>
                      <a:fillRect/>
                    </a:stretch>
                  </pic:blipFill>
                  <pic:spPr>
                    <a:xfrm>
                      <a:off x="0" y="0"/>
                      <a:ext cx="5029200" cy="3714376"/>
                    </a:xfrm>
                    <a:prstGeom prst="rect"/>
                  </pic:spPr>
                </pic:pic>
              </a:graphicData>
            </a:graphic>
          </wp:inline>
        </w:drawing>
      </w:r>
    </w:p>
    <w:p>
      <w:pPr>
        <w:pStyle w:val="Caption"/>
        <w:jc w:val="center"/>
      </w:pPr>
      <w:r>
        <w:t>Financial Protection Indicators</w:t>
      </w:r>
    </w:p>
    <w:p>
      <w:pPr>
        <w:pStyle w:val="Heading2"/>
      </w:pPr>
      <w:r>
        <w:t>Confidence and Value</w:t>
      </w:r>
    </w:p>
    <w:p>
      <w:r>
        <w:t>Client confidence in the insurance program remains high, with 87.7% of the full sample expressing confidence that their claims would be paid. This strong trust is further reinforced by 89.5% of clients believing the insurance is worth its premium. These figures underscore the perceived value and reliability of the financial protection offered.</w:t>
      </w:r>
    </w:p>
    <w:p>
      <w:pPr>
        <w:pStyle w:val="Heading3"/>
      </w:pPr>
      <w:r>
        <w:t>Key Insight</w:t>
      </w:r>
    </w:p>
    <w:p>
      <w:r>
        <w:t>The Q2 2026 data for Vietnam reveals that the insurance program effectively provides financial protection, particularly for those who have made claims. The low incidence of high financial stress and negative coping mechanisms among claimants suggests the insurance acts as a vital buffer against economic shocks. The high percentage of clients who would struggle to find alternative support further emphasizes the program's indispensable role in the financial resilience of households. Strong client confidence in claim payment and the perceived value of the premium indicate a well-regarded and trusted service. While qualitative data is not yet available to provide deeper context, these quantitative findings strongly affirm the program's positive impact on financial protection and stability for VisionFund clients.</w:t>
      </w:r>
    </w:p>
    <w:p>
      <w:r>
        <w:br w:type="page"/>
      </w:r>
    </w:p>
    <w:p>
      <w:pPr>
        <w:pStyle w:val="Heading1"/>
      </w:pPr>
      <w:r>
        <w:t>Part 4: Client Voice</w:t>
      </w:r>
    </w:p>
    <w:p>
      <w:pPr>
        <w:pStyle w:val="Heading2"/>
      </w:pPr>
      <w:r>
        <w:t>Net Promoter Score</w:t>
      </w:r>
    </w:p>
    <w:p>
      <w:r>
        <w:t>The Net Promoter Score (NPS) for Q2 2026 stood at 16.8, derived from 2,104 client responses. This score reflects that 43.9% of clients were promoters (n=924), while 28.9% were passive (n=609), and 27.1% were detractors (n=571). No specific themes emerged from qualitative feedback regarding clients who felt the premium was 'not worth it', indicating a general satisfaction with the perceived value of the insurance product among those who expressed this sentiment.</w:t>
      </w:r>
    </w:p>
    <w:p>
      <w:r>
        <w:drawing>
          <wp:inline xmlns:a="http://schemas.openxmlformats.org/drawingml/2006/main" xmlns:pic="http://schemas.openxmlformats.org/drawingml/2006/picture">
            <wp:extent cx="5029200" cy="2461249"/>
            <wp:docPr id="7" name="Picture 7"/>
            <wp:cNvGraphicFramePr>
              <a:graphicFrameLocks noChangeAspect="1"/>
            </wp:cNvGraphicFramePr>
            <a:graphic>
              <a:graphicData uri="http://schemas.openxmlformats.org/drawingml/2006/picture">
                <pic:pic>
                  <pic:nvPicPr>
                    <pic:cNvPr id="0" name="part4_nps.png"/>
                    <pic:cNvPicPr/>
                  </pic:nvPicPr>
                  <pic:blipFill>
                    <a:blip r:embed="rId15"/>
                    <a:stretch>
                      <a:fillRect/>
                    </a:stretch>
                  </pic:blipFill>
                  <pic:spPr>
                    <a:xfrm>
                      <a:off x="0" y="0"/>
                      <a:ext cx="5029200" cy="2461249"/>
                    </a:xfrm>
                    <a:prstGeom prst="rect"/>
                  </pic:spPr>
                </pic:pic>
              </a:graphicData>
            </a:graphic>
          </wp:inline>
        </w:drawing>
      </w:r>
    </w:p>
    <w:p>
      <w:pPr>
        <w:pStyle w:val="Caption"/>
        <w:jc w:val="center"/>
      </w:pPr>
      <w:r>
        <w:t>Net Promoter Score</w:t>
      </w:r>
    </w:p>
    <w:p>
      <w:pPr>
        <w:pStyle w:val="Heading2"/>
      </w:pPr>
      <w:r>
        <w:t>Promoter and Detractor Themes</w:t>
      </w:r>
    </w:p>
    <w:p>
      <w:r>
        <w:t>Analysis of client feedback themes for Q2 2026 revealed that data for both promoter and detractor themes is suppressed due to small sample sizes. This limitation prevents the identification of specific recurring reasons behind clients' positive or negative recommendations for the insurance product during this reporting period. Further qualitative data collection will be crucial to understand the drivers of client satisfaction and dissatisfaction more comprehensively.</w:t>
      </w:r>
    </w:p>
    <w:p>
      <w:r>
        <w:rPr>
          <w:i/>
        </w:rPr>
        <w:t>[VISUAL PENDING: part4_themes.png — Top NPS Theme Drivers]</w:t>
      </w:r>
    </w:p>
    <w:p>
      <w:pPr>
        <w:pStyle w:val="Heading2"/>
      </w:pPr>
      <w:r>
        <w:t>Value and Wellbeing Outcomes</w:t>
      </w:r>
    </w:p>
    <w:p>
      <w:r>
        <w:t>Client feedback highlighted positive perceptions of value and wellbeing outcomes. A significant 89.5% of clients (n=1957) reported that the insurance premium was worth the cost. Furthermore, 35.0% of clients (n=1928) indicated an improvement in their child's wellbeing, and 15.8% (n=1672) noted enhanced access to healthcare as a result of the insurance. These figures underscore the perceived benefits among a substantial portion of the client base.</w:t>
      </w:r>
    </w:p>
    <w:p>
      <w:pPr>
        <w:pStyle w:val="Heading3"/>
      </w:pPr>
      <w:r>
        <w:t>Key Insight</w:t>
      </w:r>
    </w:p>
    <w:p>
      <w:r>
        <w:t>The Q2 2026 data presents a mixed but generally positive client experience. The NPS of 16.8, with 43.9% promoters, suggests a solid foundation of client satisfaction, though the 27.1% detractor rate indicates areas for improvement. The high percentage (89.5%) of clients finding the premium 'worth it' is particularly encouraging, reinforcing the product's perceived value. While improvements in child wellbeing (35.0%) and healthcare access (15.8%) are positive, there is scope to deepen these impacts. The absence of qualitative data on 'not worth it' themes and suppressed promoter/detractor themes limits our understanding of specific drivers. Future efforts should prioritize gathering detailed qualitative insights to pinpoint actionable areas for enhancing client experience and impact.</w:t>
      </w:r>
    </w:p>
    <w:p>
      <w:r>
        <w:br w:type="page"/>
      </w:r>
    </w:p>
    <w:p>
      <w:pPr>
        <w:pStyle w:val="Heading1"/>
      </w:pPr>
      <w:r>
        <w:t>Part 5: Child Wellbeing</w:t>
      </w:r>
    </w:p>
    <w:p>
      <w:pPr>
        <w:pStyle w:val="Heading2"/>
      </w:pPr>
      <w:r>
        <w:t>Child Wellbeing Drivers</w:t>
      </w:r>
    </w:p>
    <w:p>
      <w:r>
        <w:t>The average Child Wellbeing score was 35.0% (n=1928). Analysis revealed a strong negative correlation between renewal intent and child wellbeing (rho=-0.492, p=0.0000, n=127), indicating that stronger intent to renew was associated with lower child wellbeing. High financial stress also showed a meaningful negative correlation (rho=-0.434, p=0.0000, n=1928), linking higher stress to lower child wellbeing. Conversely, a higher Net Promoter Score correlated positively (rho=+0.220, p=0.0000, n=1928). Other factors, including understanding of coverage, perception of premium worth, confidence in payout, and claim process understanding, also showed negative correlations with child wellbeing (p=0.0000 for all).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Driver</w:t>
            </w:r>
          </w:p>
        </w:tc>
        <w:tc>
          <w:tcPr>
            <w:tcW w:type="dxa" w:w="2160"/>
          </w:tcPr>
          <w:p>
            <w:r>
              <w:rPr>
                <w:b/>
              </w:rPr>
              <w:t>ρ (Spearman)</w:t>
            </w:r>
          </w:p>
        </w:tc>
        <w:tc>
          <w:tcPr>
            <w:tcW w:type="dxa" w:w="2160"/>
          </w:tcPr>
          <w:p>
            <w:r>
              <w:rPr>
                <w:b/>
              </w:rPr>
              <w:t>p-value</w:t>
            </w:r>
          </w:p>
        </w:tc>
        <w:tc>
          <w:tcPr>
            <w:tcW w:type="dxa" w:w="2160"/>
          </w:tcPr>
          <w:p>
            <w:r>
              <w:rPr>
                <w:b/>
              </w:rPr>
              <w:t>N</w:t>
            </w:r>
          </w:p>
        </w:tc>
      </w:tr>
      <w:tr>
        <w:tc>
          <w:tcPr>
            <w:tcW w:type="dxa" w:w="2160"/>
          </w:tcPr>
          <w:p>
            <w:r>
              <w:t>Renewal Intent</w:t>
            </w:r>
          </w:p>
        </w:tc>
        <w:tc>
          <w:tcPr>
            <w:tcW w:type="dxa" w:w="2160"/>
          </w:tcPr>
          <w:p>
            <w:r>
              <w:t>-0.492</w:t>
            </w:r>
          </w:p>
        </w:tc>
        <w:tc>
          <w:tcPr>
            <w:tcW w:type="dxa" w:w="2160"/>
          </w:tcPr>
          <w:p>
            <w:r>
              <w:t>0.0000</w:t>
            </w:r>
          </w:p>
        </w:tc>
        <w:tc>
          <w:tcPr>
            <w:tcW w:type="dxa" w:w="2160"/>
          </w:tcPr>
          <w:p>
            <w:r>
              <w:t>127</w:t>
            </w:r>
          </w:p>
        </w:tc>
      </w:tr>
      <w:tr>
        <w:tc>
          <w:tcPr>
            <w:tcW w:type="dxa" w:w="2160"/>
          </w:tcPr>
          <w:p>
            <w:r>
              <w:t>Financial Stress (High)</w:t>
            </w:r>
          </w:p>
        </w:tc>
        <w:tc>
          <w:tcPr>
            <w:tcW w:type="dxa" w:w="2160"/>
          </w:tcPr>
          <w:p>
            <w:r>
              <w:t>-0.434</w:t>
            </w:r>
          </w:p>
        </w:tc>
        <w:tc>
          <w:tcPr>
            <w:tcW w:type="dxa" w:w="2160"/>
          </w:tcPr>
          <w:p>
            <w:r>
              <w:t>0.0000</w:t>
            </w:r>
          </w:p>
        </w:tc>
        <w:tc>
          <w:tcPr>
            <w:tcW w:type="dxa" w:w="2160"/>
          </w:tcPr>
          <w:p>
            <w:r>
              <w:t>1928</w:t>
            </w:r>
          </w:p>
        </w:tc>
      </w:tr>
      <w:tr>
        <w:tc>
          <w:tcPr>
            <w:tcW w:type="dxa" w:w="2160"/>
          </w:tcPr>
          <w:p>
            <w:r>
              <w:t>Net Promoter Score</w:t>
            </w:r>
          </w:p>
        </w:tc>
        <w:tc>
          <w:tcPr>
            <w:tcW w:type="dxa" w:w="2160"/>
          </w:tcPr>
          <w:p>
            <w:r>
              <w:t>+0.220</w:t>
            </w:r>
          </w:p>
        </w:tc>
        <w:tc>
          <w:tcPr>
            <w:tcW w:type="dxa" w:w="2160"/>
          </w:tcPr>
          <w:p>
            <w:r>
              <w:t>0.0000</w:t>
            </w:r>
          </w:p>
        </w:tc>
        <w:tc>
          <w:tcPr>
            <w:tcW w:type="dxa" w:w="2160"/>
          </w:tcPr>
          <w:p>
            <w:r>
              <w:t>1928</w:t>
            </w:r>
          </w:p>
        </w:tc>
      </w:tr>
      <w:tr>
        <w:tc>
          <w:tcPr>
            <w:tcW w:type="dxa" w:w="2160"/>
          </w:tcPr>
          <w:p>
            <w:r>
              <w:t>Coverage Understanding</w:t>
            </w:r>
          </w:p>
        </w:tc>
        <w:tc>
          <w:tcPr>
            <w:tcW w:type="dxa" w:w="2160"/>
          </w:tcPr>
          <w:p>
            <w:r>
              <w:t>-0.206</w:t>
            </w:r>
          </w:p>
        </w:tc>
        <w:tc>
          <w:tcPr>
            <w:tcW w:type="dxa" w:w="2160"/>
          </w:tcPr>
          <w:p>
            <w:r>
              <w:t>0.0000</w:t>
            </w:r>
          </w:p>
        </w:tc>
        <w:tc>
          <w:tcPr>
            <w:tcW w:type="dxa" w:w="2160"/>
          </w:tcPr>
          <w:p>
            <w:r>
              <w:t>1928</w:t>
            </w:r>
          </w:p>
        </w:tc>
      </w:tr>
      <w:tr>
        <w:tc>
          <w:tcPr>
            <w:tcW w:type="dxa" w:w="2160"/>
          </w:tcPr>
          <w:p>
            <w:r>
              <w:t>Worth Premium</w:t>
            </w:r>
          </w:p>
        </w:tc>
        <w:tc>
          <w:tcPr>
            <w:tcW w:type="dxa" w:w="2160"/>
          </w:tcPr>
          <w:p>
            <w:r>
              <w:t>-0.164</w:t>
            </w:r>
          </w:p>
        </w:tc>
        <w:tc>
          <w:tcPr>
            <w:tcW w:type="dxa" w:w="2160"/>
          </w:tcPr>
          <w:p>
            <w:r>
              <w:t>0.0000</w:t>
            </w:r>
          </w:p>
        </w:tc>
        <w:tc>
          <w:tcPr>
            <w:tcW w:type="dxa" w:w="2160"/>
          </w:tcPr>
          <w:p>
            <w:r>
              <w:t>1801</w:t>
            </w:r>
          </w:p>
        </w:tc>
      </w:tr>
      <w:tr>
        <w:tc>
          <w:tcPr>
            <w:tcW w:type="dxa" w:w="2160"/>
          </w:tcPr>
          <w:p>
            <w:r>
              <w:t>Confidence in Payout</w:t>
            </w:r>
          </w:p>
        </w:tc>
        <w:tc>
          <w:tcPr>
            <w:tcW w:type="dxa" w:w="2160"/>
          </w:tcPr>
          <w:p>
            <w:r>
              <w:t>-0.162</w:t>
            </w:r>
          </w:p>
        </w:tc>
        <w:tc>
          <w:tcPr>
            <w:tcW w:type="dxa" w:w="2160"/>
          </w:tcPr>
          <w:p>
            <w:r>
              <w:t>0.0000</w:t>
            </w:r>
          </w:p>
        </w:tc>
        <w:tc>
          <w:tcPr>
            <w:tcW w:type="dxa" w:w="2160"/>
          </w:tcPr>
          <w:p>
            <w:r>
              <w:t>1928</w:t>
            </w:r>
          </w:p>
        </w:tc>
      </w:tr>
      <w:tr>
        <w:tc>
          <w:tcPr>
            <w:tcW w:type="dxa" w:w="2160"/>
          </w:tcPr>
          <w:p>
            <w:r>
              <w:t>Claim Process Understanding</w:t>
            </w:r>
          </w:p>
        </w:tc>
        <w:tc>
          <w:tcPr>
            <w:tcW w:type="dxa" w:w="2160"/>
          </w:tcPr>
          <w:p>
            <w:r>
              <w:t>-0.154</w:t>
            </w:r>
          </w:p>
        </w:tc>
        <w:tc>
          <w:tcPr>
            <w:tcW w:type="dxa" w:w="2160"/>
          </w:tcPr>
          <w:p>
            <w:r>
              <w:t>0.0000</w:t>
            </w:r>
          </w:p>
        </w:tc>
        <w:tc>
          <w:tcPr>
            <w:tcW w:type="dxa" w:w="2160"/>
          </w:tcPr>
          <w:p>
            <w:r>
              <w:t>1928</w:t>
            </w:r>
          </w:p>
        </w:tc>
      </w:tr>
    </w:tbl>
    <w:p>
      <w:r>
        <w:drawing>
          <wp:inline xmlns:a="http://schemas.openxmlformats.org/drawingml/2006/main" xmlns:pic="http://schemas.openxmlformats.org/drawingml/2006/picture">
            <wp:extent cx="5029200" cy="3123924"/>
            <wp:docPr id="8" name="Picture 8"/>
            <wp:cNvGraphicFramePr>
              <a:graphicFrameLocks noChangeAspect="1"/>
            </wp:cNvGraphicFramePr>
            <a:graphic>
              <a:graphicData uri="http://schemas.openxmlformats.org/drawingml/2006/picture">
                <pic:pic>
                  <pic:nvPicPr>
                    <pic:cNvPr id="0" name="part5_drivers.png"/>
                    <pic:cNvPicPr/>
                  </pic:nvPicPr>
                  <pic:blipFill>
                    <a:blip r:embed="rId16"/>
                    <a:stretch>
                      <a:fillRect/>
                    </a:stretch>
                  </pic:blipFill>
                  <pic:spPr>
                    <a:xfrm>
                      <a:off x="0" y="0"/>
                      <a:ext cx="5029200" cy="3123924"/>
                    </a:xfrm>
                    <a:prstGeom prst="rect"/>
                  </pic:spPr>
                </pic:pic>
              </a:graphicData>
            </a:graphic>
          </wp:inline>
        </w:drawing>
      </w:r>
    </w:p>
    <w:p>
      <w:pPr>
        <w:pStyle w:val="Caption"/>
        <w:jc w:val="center"/>
      </w:pPr>
      <w:r>
        <w:t>Child Wellbeing Drivers (Spearman Correlation)</w:t>
      </w:r>
    </w:p>
    <w:p>
      <w:pPr>
        <w:pStyle w:val="Heading2"/>
      </w:pPr>
      <w:r>
        <w:t>Healthcare Access and Medical Cost</w:t>
      </w:r>
    </w:p>
    <w:p>
      <w:r>
        <w:t>Among clients who needed care, 15.8% (n=1672) reported improved access to healthcare. For claimants who incurred medical costs, 54.0% (n=926) indicated that their medical costs decreased after receiving their insurance claim. This suggests that while overall access improvement is modest, the insurance programme meaningfully alleviates the financial burden of medical expenses for a significant portion of claimants.</w:t>
      </w:r>
    </w:p>
    <w:p>
      <w:r>
        <w:drawing>
          <wp:inline xmlns:a="http://schemas.openxmlformats.org/drawingml/2006/main" xmlns:pic="http://schemas.openxmlformats.org/drawingml/2006/picture">
            <wp:extent cx="5029200" cy="4951879"/>
            <wp:docPr id="9" name="Picture 9"/>
            <wp:cNvGraphicFramePr>
              <a:graphicFrameLocks noChangeAspect="1"/>
            </wp:cNvGraphicFramePr>
            <a:graphic>
              <a:graphicData uri="http://schemas.openxmlformats.org/drawingml/2006/picture">
                <pic:pic>
                  <pic:nvPicPr>
                    <pic:cNvPr id="0" name="part5_healthcare.png"/>
                    <pic:cNvPicPr/>
                  </pic:nvPicPr>
                  <pic:blipFill>
                    <a:blip r:embed="rId17"/>
                    <a:stretch>
                      <a:fillRect/>
                    </a:stretch>
                  </pic:blipFill>
                  <pic:spPr>
                    <a:xfrm>
                      <a:off x="0" y="0"/>
                      <a:ext cx="5029200" cy="4951879"/>
                    </a:xfrm>
                    <a:prstGeom prst="rect"/>
                  </pic:spPr>
                </pic:pic>
              </a:graphicData>
            </a:graphic>
          </wp:inline>
        </w:drawing>
      </w:r>
    </w:p>
    <w:p>
      <w:pPr>
        <w:pStyle w:val="Caption"/>
        <w:jc w:val="center"/>
      </w:pPr>
      <w:r>
        <w:t>Healthcare Access and Medical Cost Impact</w:t>
      </w:r>
    </w:p>
    <w:p>
      <w:pPr>
        <w:pStyle w:val="Heading3"/>
      </w:pPr>
      <w:r>
        <w:t>Key Insight</w:t>
      </w:r>
    </w:p>
    <w:p>
      <w:r>
        <w:t>The observed correlations between child wellbeing and client perceptions present a complex picture. While improved access to healthcare was reported by 15.8% of clients needing care, and 54.0% of claimants experienced decreased medical costs, the strong negative correlations with factors like renewal intent (rho=-0.492) and coverage understanding (rho=-0.206) warrant further investigation. It is counter-intuitive that stronger positive client sentiments towards the insurance product are associated with lower child wellbeing scores. This suggests a potential disconnect between perceived product value and its direct impact on child wellbeing, or perhaps indicates that clients facing greater child wellbeing challenges are more inclined to renew or understand coverage better, seeking solutions. Further qualitative research is crucial to understand these underlying dynamics and refine programme design to maximize child wellbeing outcomes.</w:t>
      </w:r>
    </w:p>
    <w:p>
      <w:r>
        <w:br w:type="page"/>
      </w:r>
    </w:p>
    <w:p>
      <w:pPr>
        <w:pStyle w:val="Heading1"/>
      </w:pPr>
      <w:r>
        <w:t>Part 6: Claimant vs. Non-Claimant Outcomes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Claimant</w:t>
            </w:r>
          </w:p>
        </w:tc>
        <w:tc>
          <w:tcPr>
            <w:tcW w:type="dxa" w:w="2160"/>
          </w:tcPr>
          <w:p>
            <w:r>
              <w:rPr>
                <w:b/>
              </w:rPr>
              <w:t>Non-Claimant</w:t>
            </w:r>
          </w:p>
        </w:tc>
        <w:tc>
          <w:tcPr>
            <w:tcW w:type="dxa" w:w="2160"/>
          </w:tcPr>
          <w:p>
            <w:r>
              <w:rPr>
                <w:b/>
              </w:rPr>
              <w:t>Sig.*</w:t>
            </w:r>
          </w:p>
        </w:tc>
      </w:tr>
      <w:tr>
        <w:tc>
          <w:tcPr>
            <w:tcW w:type="dxa" w:w="2160"/>
          </w:tcPr>
          <w:p>
            <w:r>
              <w:t>Coverage Understanding</w:t>
            </w:r>
          </w:p>
        </w:tc>
        <w:tc>
          <w:tcPr>
            <w:tcW w:type="dxa" w:w="2160"/>
          </w:tcPr>
          <w:p>
            <w:r>
              <w:t>94.8%</w:t>
            </w:r>
          </w:p>
        </w:tc>
        <w:tc>
          <w:tcPr>
            <w:tcW w:type="dxa" w:w="2160"/>
          </w:tcPr>
          <w:p>
            <w:r>
              <w:t>61.9%</w:t>
            </w:r>
          </w:p>
        </w:tc>
        <w:tc>
          <w:tcPr>
            <w:tcW w:type="dxa" w:w="2160"/>
          </w:tcPr>
          <w:p>
            <w:r>
              <w:t>*</w:t>
            </w:r>
          </w:p>
        </w:tc>
      </w:tr>
      <w:tr>
        <w:tc>
          <w:tcPr>
            <w:tcW w:type="dxa" w:w="2160"/>
          </w:tcPr>
          <w:p>
            <w:r>
              <w:t>Claim Process Understanding</w:t>
            </w:r>
          </w:p>
        </w:tc>
        <w:tc>
          <w:tcPr>
            <w:tcW w:type="dxa" w:w="2160"/>
          </w:tcPr>
          <w:p>
            <w:r>
              <w:t>90.2%</w:t>
            </w:r>
          </w:p>
        </w:tc>
        <w:tc>
          <w:tcPr>
            <w:tcW w:type="dxa" w:w="2160"/>
          </w:tcPr>
          <w:p>
            <w:r>
              <w:t>49.0%</w:t>
            </w:r>
          </w:p>
        </w:tc>
        <w:tc>
          <w:tcPr>
            <w:tcW w:type="dxa" w:w="2160"/>
          </w:tcPr>
          <w:p>
            <w:r>
              <w:t>*</w:t>
            </w:r>
          </w:p>
        </w:tc>
      </w:tr>
      <w:tr>
        <w:tc>
          <w:tcPr>
            <w:tcW w:type="dxa" w:w="2160"/>
          </w:tcPr>
          <w:p>
            <w:r>
              <w:t>Worth Premium</w:t>
            </w:r>
          </w:p>
        </w:tc>
        <w:tc>
          <w:tcPr>
            <w:tcW w:type="dxa" w:w="2160"/>
          </w:tcPr>
          <w:p>
            <w:r>
              <w:t>85.6%</w:t>
            </w:r>
          </w:p>
        </w:tc>
        <w:tc>
          <w:tcPr>
            <w:tcW w:type="dxa" w:w="2160"/>
          </w:tcPr>
          <w:p>
            <w:r>
              <w:t>87.1%</w:t>
            </w:r>
          </w:p>
        </w:tc>
        <w:tc>
          <w:tcPr>
            <w:tcW w:type="dxa" w:w="2160"/>
          </w:tcPr>
          <w:p>
            <w:r/>
          </w:p>
        </w:tc>
      </w:tr>
      <w:tr>
        <w:tc>
          <w:tcPr>
            <w:tcW w:type="dxa" w:w="2160"/>
          </w:tcPr>
          <w:p>
            <w:r>
              <w:t>Renewal Intent</w:t>
            </w:r>
          </w:p>
        </w:tc>
        <w:tc>
          <w:tcPr>
            <w:tcW w:type="dxa" w:w="2160"/>
          </w:tcPr>
          <w:p>
            <w:r>
              <w:t>SUPPRESSED</w:t>
            </w:r>
          </w:p>
        </w:tc>
        <w:tc>
          <w:tcPr>
            <w:tcW w:type="dxa" w:w="2160"/>
          </w:tcPr>
          <w:p>
            <w:r>
              <w:t>SUPPRESSED</w:t>
            </w:r>
          </w:p>
        </w:tc>
        <w:tc>
          <w:tcPr>
            <w:tcW w:type="dxa" w:w="2160"/>
          </w:tcPr>
          <w:p>
            <w:r/>
          </w:p>
        </w:tc>
      </w:tr>
      <w:tr>
        <w:tc>
          <w:tcPr>
            <w:tcW w:type="dxa" w:w="2160"/>
          </w:tcPr>
          <w:p>
            <w:r>
              <w:t>Negative Coping (↓ better)</w:t>
            </w:r>
          </w:p>
        </w:tc>
        <w:tc>
          <w:tcPr>
            <w:tcW w:type="dxa" w:w="2160"/>
          </w:tcPr>
          <w:p>
            <w:r>
              <w:t>11.8%</w:t>
            </w:r>
          </w:p>
        </w:tc>
        <w:tc>
          <w:tcPr>
            <w:tcW w:type="dxa" w:w="2160"/>
          </w:tcPr>
          <w:p>
            <w:r>
              <w:t>26.2%</w:t>
            </w:r>
          </w:p>
        </w:tc>
        <w:tc>
          <w:tcPr>
            <w:tcW w:type="dxa" w:w="2160"/>
          </w:tcPr>
          <w:p>
            <w:r>
              <w:t>*</w:t>
            </w:r>
          </w:p>
        </w:tc>
      </w:tr>
      <w:tr>
        <w:tc>
          <w:tcPr>
            <w:tcW w:type="dxa" w:w="2160"/>
          </w:tcPr>
          <w:p>
            <w:r>
              <w:t>High Financial Stress (↓ better)</w:t>
            </w:r>
          </w:p>
        </w:tc>
        <w:tc>
          <w:tcPr>
            <w:tcW w:type="dxa" w:w="2160"/>
          </w:tcPr>
          <w:p>
            <w:r>
              <w:t>5.2%</w:t>
            </w:r>
          </w:p>
        </w:tc>
        <w:tc>
          <w:tcPr>
            <w:tcW w:type="dxa" w:w="2160"/>
          </w:tcPr>
          <w:p>
            <w:r>
              <w:t>1.9%</w:t>
            </w:r>
          </w:p>
        </w:tc>
        <w:tc>
          <w:tcPr>
            <w:tcW w:type="dxa" w:w="2160"/>
          </w:tcPr>
          <w:p>
            <w:r/>
          </w:p>
        </w:tc>
      </w:tr>
      <w:tr>
        <w:tc>
          <w:tcPr>
            <w:tcW w:type="dxa" w:w="2160"/>
          </w:tcPr>
          <w:p>
            <w:r>
              <w:t>Confidence in Next Premium Payment</w:t>
            </w:r>
          </w:p>
        </w:tc>
        <w:tc>
          <w:tcPr>
            <w:tcW w:type="dxa" w:w="2160"/>
          </w:tcPr>
          <w:p>
            <w:r>
              <w:t>86.3%</w:t>
            </w:r>
          </w:p>
        </w:tc>
        <w:tc>
          <w:tcPr>
            <w:tcW w:type="dxa" w:w="2160"/>
          </w:tcPr>
          <w:p>
            <w:r>
              <w:t>83.8%</w:t>
            </w:r>
          </w:p>
        </w:tc>
        <w:tc>
          <w:tcPr>
            <w:tcW w:type="dxa" w:w="2160"/>
          </w:tcPr>
          <w:p>
            <w:r/>
          </w:p>
        </w:tc>
      </w:tr>
    </w:tbl>
    <w:p>
      <w:r>
        <w:t>* p &lt; 0.05 (chi-squared or Fisher's exact test)</w:t>
      </w:r>
    </w:p>
    <w:p>
      <w:r>
        <w:drawing>
          <wp:inline xmlns:a="http://schemas.openxmlformats.org/drawingml/2006/main" xmlns:pic="http://schemas.openxmlformats.org/drawingml/2006/picture">
            <wp:extent cx="5029200" cy="2750844"/>
            <wp:docPr id="10" name="Picture 10"/>
            <wp:cNvGraphicFramePr>
              <a:graphicFrameLocks noChangeAspect="1"/>
            </wp:cNvGraphicFramePr>
            <a:graphic>
              <a:graphicData uri="http://schemas.openxmlformats.org/drawingml/2006/picture">
                <pic:pic>
                  <pic:nvPicPr>
                    <pic:cNvPr id="0" name="part6_scorecard.png"/>
                    <pic:cNvPicPr/>
                  </pic:nvPicPr>
                  <pic:blipFill>
                    <a:blip r:embed="rId18"/>
                    <a:stretch>
                      <a:fillRect/>
                    </a:stretch>
                  </pic:blipFill>
                  <pic:spPr>
                    <a:xfrm>
                      <a:off x="0" y="0"/>
                      <a:ext cx="5029200" cy="2750844"/>
                    </a:xfrm>
                    <a:prstGeom prst="rect"/>
                  </pic:spPr>
                </pic:pic>
              </a:graphicData>
            </a:graphic>
          </wp:inline>
        </w:drawing>
      </w:r>
    </w:p>
    <w:p>
      <w:pPr>
        <w:pStyle w:val="Caption"/>
        <w:jc w:val="center"/>
      </w:pPr>
      <w:r>
        <w:t>Key Metrics: Claimants vs. Non-Claimants</w:t>
      </w:r>
    </w:p>
    <w:p>
      <w:pPr>
        <w:pStyle w:val="Heading2"/>
      </w:pPr>
      <w:r>
        <w:t>Findings</w:t>
      </w:r>
    </w:p>
    <w:p>
      <w:r>
        <w:t>Analysis of client outcomes revealed marked differences between claimants and non-claimants. Claimants demonstrated significantly higher understanding of their insurance coverage (94.8% vs. 61.9%, p=0.0000) and the claim process itself (90.2% vs. 49.0%, p=0.0000). Crucially, claimants reported lower instances of negative coping strategies (11.8% vs. 26.2%, p=0.0007), suggesting the insurance provided a vital safety net. While negative coping and high financial stress are particularly salient for claimants, these comparisons indicate the protective effect of the insurance. Data for renewal intent was suppressed due to small sample size.</w:t>
      </w:r>
    </w:p>
    <w:p>
      <w:pPr>
        <w:pStyle w:val="Heading3"/>
      </w:pPr>
      <w:r>
        <w:t>Key Insight</w:t>
      </w:r>
    </w:p>
    <w:p>
      <w:r>
        <w:t>The significant differences in understanding and coping mechanisms underscore the profound impact of the insurance product for those who experience a covered event. The act of claiming clearly deepens clients' comprehension of their policy and the process, transforming abstract knowledge into lived experience. Importantly, the substantial reduction in negative coping strategies among claimants highlights the insurance's role in mitigating financial shocks and protecting livelihoods. This suggests the product effectively delivers on its promise of resilience when clients need it most. While qualitative data is not yet available to fully explore these experiences, the quantitative findings strongly indicate that the insurance provides tangible benefits, particularly in crisis, reinforcing its value proposition beyond mere coverage.</w:t>
      </w:r>
    </w:p>
    <w:p>
      <w:r>
        <w:br w:type="page"/>
      </w:r>
    </w:p>
    <w:p>
      <w:pPr>
        <w:pStyle w:val="Heading1"/>
      </w:pPr>
      <w:r>
        <w:t>Part 7: Gender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Female</w:t>
            </w:r>
          </w:p>
        </w:tc>
        <w:tc>
          <w:tcPr>
            <w:tcW w:type="dxa" w:w="2160"/>
          </w:tcPr>
          <w:p>
            <w:r>
              <w:rPr>
                <w:b/>
              </w:rPr>
              <w:t>Male</w:t>
            </w:r>
          </w:p>
        </w:tc>
        <w:tc>
          <w:tcPr>
            <w:tcW w:type="dxa" w:w="2160"/>
          </w:tcPr>
          <w:p>
            <w:r>
              <w:rPr>
                <w:b/>
              </w:rPr>
              <w:t>Sig.*</w:t>
            </w:r>
          </w:p>
        </w:tc>
      </w:tr>
      <w:tr>
        <w:tc>
          <w:tcPr>
            <w:tcW w:type="dxa" w:w="2160"/>
          </w:tcPr>
          <w:p>
            <w:r>
              <w:t>Coverage Understanding</w:t>
            </w:r>
          </w:p>
        </w:tc>
        <w:tc>
          <w:tcPr>
            <w:tcW w:type="dxa" w:w="2160"/>
          </w:tcPr>
          <w:p>
            <w:r>
              <w:t>75.5%</w:t>
            </w:r>
          </w:p>
        </w:tc>
        <w:tc>
          <w:tcPr>
            <w:tcW w:type="dxa" w:w="2160"/>
          </w:tcPr>
          <w:p>
            <w:r>
              <w:t>79.4%</w:t>
            </w:r>
          </w:p>
        </w:tc>
        <w:tc>
          <w:tcPr>
            <w:tcW w:type="dxa" w:w="2160"/>
          </w:tcPr>
          <w:p>
            <w:r/>
          </w:p>
        </w:tc>
      </w:tr>
      <w:tr>
        <w:tc>
          <w:tcPr>
            <w:tcW w:type="dxa" w:w="2160"/>
          </w:tcPr>
          <w:p>
            <w:r>
              <w:t>Claim Process Understanding</w:t>
            </w:r>
          </w:p>
        </w:tc>
        <w:tc>
          <w:tcPr>
            <w:tcW w:type="dxa" w:w="2160"/>
          </w:tcPr>
          <w:p>
            <w:r>
              <w:t>67.9%</w:t>
            </w:r>
          </w:p>
        </w:tc>
        <w:tc>
          <w:tcPr>
            <w:tcW w:type="dxa" w:w="2160"/>
          </w:tcPr>
          <w:p>
            <w:r>
              <w:t>68.9%</w:t>
            </w:r>
          </w:p>
        </w:tc>
        <w:tc>
          <w:tcPr>
            <w:tcW w:type="dxa" w:w="2160"/>
          </w:tcPr>
          <w:p>
            <w:r/>
          </w:p>
        </w:tc>
      </w:tr>
      <w:tr>
        <w:tc>
          <w:tcPr>
            <w:tcW w:type="dxa" w:w="2160"/>
          </w:tcPr>
          <w:p>
            <w:r>
              <w:t>Worth Premium</w:t>
            </w:r>
          </w:p>
        </w:tc>
        <w:tc>
          <w:tcPr>
            <w:tcW w:type="dxa" w:w="2160"/>
          </w:tcPr>
          <w:p>
            <w:r>
              <w:t>88.9%</w:t>
            </w:r>
          </w:p>
        </w:tc>
        <w:tc>
          <w:tcPr>
            <w:tcW w:type="dxa" w:w="2160"/>
          </w:tcPr>
          <w:p>
            <w:r>
              <w:t>90.8%</w:t>
            </w:r>
          </w:p>
        </w:tc>
        <w:tc>
          <w:tcPr>
            <w:tcW w:type="dxa" w:w="2160"/>
          </w:tcPr>
          <w:p>
            <w:r/>
          </w:p>
        </w:tc>
      </w:tr>
      <w:tr>
        <w:tc>
          <w:tcPr>
            <w:tcW w:type="dxa" w:w="2160"/>
          </w:tcPr>
          <w:p>
            <w:r>
              <w:t>Renewal Intent</w:t>
            </w:r>
          </w:p>
        </w:tc>
        <w:tc>
          <w:tcPr>
            <w:tcW w:type="dxa" w:w="2160"/>
          </w:tcPr>
          <w:p>
            <w:r>
              <w:t>57.9%</w:t>
            </w:r>
          </w:p>
        </w:tc>
        <w:tc>
          <w:tcPr>
            <w:tcW w:type="dxa" w:w="2160"/>
          </w:tcPr>
          <w:p>
            <w:r>
              <w:t>SUPPRESSED</w:t>
            </w:r>
          </w:p>
        </w:tc>
        <w:tc>
          <w:tcPr>
            <w:tcW w:type="dxa" w:w="2160"/>
          </w:tcPr>
          <w:p>
            <w:r/>
          </w:p>
        </w:tc>
      </w:tr>
      <w:tr>
        <w:tc>
          <w:tcPr>
            <w:tcW w:type="dxa" w:w="2160"/>
          </w:tcPr>
          <w:p>
            <w:r>
              <w:t>Negative Coping (↓ better)</w:t>
            </w:r>
          </w:p>
        </w:tc>
        <w:tc>
          <w:tcPr>
            <w:tcW w:type="dxa" w:w="2160"/>
          </w:tcPr>
          <w:p>
            <w:r>
              <w:t>17.9%</w:t>
            </w:r>
          </w:p>
        </w:tc>
        <w:tc>
          <w:tcPr>
            <w:tcW w:type="dxa" w:w="2160"/>
          </w:tcPr>
          <w:p>
            <w:r>
              <w:t>24.8%</w:t>
            </w:r>
          </w:p>
        </w:tc>
        <w:tc>
          <w:tcPr>
            <w:tcW w:type="dxa" w:w="2160"/>
          </w:tcPr>
          <w:p>
            <w:r/>
          </w:p>
        </w:tc>
      </w:tr>
      <w:tr>
        <w:tc>
          <w:tcPr>
            <w:tcW w:type="dxa" w:w="2160"/>
          </w:tcPr>
          <w:p>
            <w:r>
              <w:t>Child Wellbeing Improved</w:t>
            </w:r>
          </w:p>
        </w:tc>
        <w:tc>
          <w:tcPr>
            <w:tcW w:type="dxa" w:w="2160"/>
          </w:tcPr>
          <w:p>
            <w:r>
              <w:t>34.7%</w:t>
            </w:r>
          </w:p>
        </w:tc>
        <w:tc>
          <w:tcPr>
            <w:tcW w:type="dxa" w:w="2160"/>
          </w:tcPr>
          <w:p>
            <w:r>
              <w:t>35.9%</w:t>
            </w:r>
          </w:p>
        </w:tc>
        <w:tc>
          <w:tcPr>
            <w:tcW w:type="dxa" w:w="2160"/>
          </w:tcPr>
          <w:p>
            <w:r/>
          </w:p>
        </w:tc>
      </w:tr>
      <w:tr>
        <w:tc>
          <w:tcPr>
            <w:tcW w:type="dxa" w:w="2160"/>
          </w:tcPr>
          <w:p>
            <w:r>
              <w:t>Confidence in Next Premium Payment</w:t>
            </w:r>
          </w:p>
        </w:tc>
        <w:tc>
          <w:tcPr>
            <w:tcW w:type="dxa" w:w="2160"/>
          </w:tcPr>
          <w:p>
            <w:r>
              <w:t>87.1%</w:t>
            </w:r>
          </w:p>
        </w:tc>
        <w:tc>
          <w:tcPr>
            <w:tcW w:type="dxa" w:w="2160"/>
          </w:tcPr>
          <w:p>
            <w:r>
              <w:t>89.4%</w:t>
            </w:r>
          </w:p>
        </w:tc>
        <w:tc>
          <w:tcPr>
            <w:tcW w:type="dxa" w:w="2160"/>
          </w:tcPr>
          <w:p>
            <w:r/>
          </w:p>
        </w:tc>
      </w:tr>
    </w:tbl>
    <w:p>
      <w:r>
        <w:t>* p &lt; 0.05 (chi-squared or Fisher's exact test)</w:t>
      </w:r>
    </w:p>
    <w:p>
      <w:r>
        <w:drawing>
          <wp:inline xmlns:a="http://schemas.openxmlformats.org/drawingml/2006/main" xmlns:pic="http://schemas.openxmlformats.org/drawingml/2006/picture">
            <wp:extent cx="5029200" cy="2750844"/>
            <wp:docPr id="11" name="Picture 11"/>
            <wp:cNvGraphicFramePr>
              <a:graphicFrameLocks noChangeAspect="1"/>
            </wp:cNvGraphicFramePr>
            <a:graphic>
              <a:graphicData uri="http://schemas.openxmlformats.org/drawingml/2006/picture">
                <pic:pic>
                  <pic:nvPicPr>
                    <pic:cNvPr id="0" name="part7_scorecard.png"/>
                    <pic:cNvPicPr/>
                  </pic:nvPicPr>
                  <pic:blipFill>
                    <a:blip r:embed="rId19"/>
                    <a:stretch>
                      <a:fillRect/>
                    </a:stretch>
                  </pic:blipFill>
                  <pic:spPr>
                    <a:xfrm>
                      <a:off x="0" y="0"/>
                      <a:ext cx="5029200" cy="2750844"/>
                    </a:xfrm>
                    <a:prstGeom prst="rect"/>
                  </pic:spPr>
                </pic:pic>
              </a:graphicData>
            </a:graphic>
          </wp:inline>
        </w:drawing>
      </w:r>
    </w:p>
    <w:p>
      <w:pPr>
        <w:pStyle w:val="Caption"/>
        <w:jc w:val="center"/>
      </w:pPr>
      <w:r>
        <w:t>Key Metrics by Gender</w:t>
      </w:r>
    </w:p>
    <w:p>
      <w:pPr>
        <w:pStyle w:val="Heading2"/>
      </w:pPr>
      <w:r>
        <w:t>Findings</w:t>
      </w:r>
    </w:p>
    <w:p>
      <w:r>
        <w:t>Analysis of gender differences revealed generally similar outcomes across most indicators, despite the larger female sample (n≈1,518) compared to males (n≈586). While not reaching the significance threshold (p&lt;0.05), males reported slightly higher coverage understanding (79.4% vs 75.5%, p=0.0611). Females reported lower instances of negative coping strategies (17.9% vs 24.8%, p=0.1253), suggesting a potential resilience benefit. Data on male renewal intent was suppressed due to small sample size, preventing a direct comparison for this crucial metric.</w:t>
      </w:r>
    </w:p>
    <w:p>
      <w:pPr>
        <w:pStyle w:val="Heading3"/>
      </w:pPr>
      <w:r>
        <w:t>Key Insight</w:t>
      </w:r>
    </w:p>
    <w:p>
      <w:r>
        <w:t>The observed near-significant difference in coverage understanding, with males reporting higher levels, suggests a need to review communication strategies to ensure equitable comprehension among female clients. While females reported fewer negative coping strategies, this difference was not statistically meaningful, indicating both genders generally benefit from the insurance in mitigating financial shocks. The suppressed data for male renewal intent highlights a gap in understanding their long-term engagement. Future program design should explore targeted educational interventions for women to enhance understanding and ensure all clients, regardless of gender, fully grasp their policy benefits. Further investigation into male client retention is also warranted.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366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366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366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3661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F366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