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VisionFund International</w:t>
      </w:r>
    </w:p>
    <w:p>
      <w:pPr>
        <w:pStyle w:val="Heading1"/>
      </w:pPr>
      <w:r>
        <w:t>Insurance Impact Report — Global Portfolio, 2026 Q2</w:t>
      </w:r>
    </w:p>
    <w:p>
      <w:r>
        <w:t>Covering 2,111 client responses across the VisionFund insurance portfolio.</w:t>
      </w:r>
    </w:p>
    <w:p>
      <w:r>
        <w:t>Generated: 09 July 2026</w:t>
      </w:r>
    </w:p>
    <w:p>
      <w:r>
        <w:br w:type="page"/>
      </w:r>
    </w:p>
    <w:p>
      <w:pPr>
        <w:pStyle w:val="Heading1"/>
      </w:pPr>
      <w:r>
        <w:t>Part 1: Product Understanding &amp; Awareness</w:t>
      </w:r>
    </w:p>
    <w:p>
      <w:pPr>
        <w:pStyle w:val="Heading2"/>
      </w:pPr>
      <w:r>
        <w:t>Coverage Understanding</w:t>
      </w:r>
    </w:p>
    <w:p>
      <w:r>
        <w:t>Across the global portfolio, 76.6% of surveyed clients (n=2,104) understood what their insurance covers. Understanding was broadly comparable between female clients at 75.5% and male clients at 79.4%. The clearest divide emerged between those who had experienced the claims process and those who had not: 94.8% of claimants understood their coverage, compared with 61.9% of non-claimants. This gap suggests that firsthand experience of filing a claim substantially deepens clients' grasp of what their policy protects, while many who have never claimed remain uncertain about their benefits.</w:t>
      </w:r>
    </w:p>
    <w:p>
      <w:r>
        <w:drawing>
          <wp:inline xmlns:a="http://schemas.openxmlformats.org/drawingml/2006/main" xmlns:pic="http://schemas.openxmlformats.org/drawingml/2006/picture">
            <wp:extent cx="5029200" cy="1623713"/>
            <wp:docPr id="1" name="Picture 1"/>
            <wp:cNvGraphicFramePr>
              <a:graphicFrameLocks noChangeAspect="1"/>
            </wp:cNvGraphicFramePr>
            <a:graphic>
              <a:graphicData uri="http://schemas.openxmlformats.org/drawingml/2006/picture">
                <pic:pic>
                  <pic:nvPicPr>
                    <pic:cNvPr id="0" name="part1_coverage_bar.png"/>
                    <pic:cNvPicPr/>
                  </pic:nvPicPr>
                  <pic:blipFill>
                    <a:blip r:embed="rId9"/>
                    <a:stretch>
                      <a:fillRect/>
                    </a:stretch>
                  </pic:blipFill>
                  <pic:spPr>
                    <a:xfrm>
                      <a:off x="0" y="0"/>
                      <a:ext cx="5029200" cy="1623713"/>
                    </a:xfrm>
                    <a:prstGeom prst="rect"/>
                  </pic:spPr>
                </pic:pic>
              </a:graphicData>
            </a:graphic>
          </wp:inline>
        </w:drawing>
      </w:r>
    </w:p>
    <w:p>
      <w:pPr>
        <w:pStyle w:val="Caption"/>
        <w:jc w:val="center"/>
      </w:pPr>
      <w:r>
        <w:t>Coverage Understanding by Segment</w:t>
      </w:r>
    </w:p>
    <w:p>
      <w:pPr>
        <w:pStyle w:val="Heading2"/>
      </w:pPr>
      <w:r>
        <w:t>Claim Process Understanding</w:t>
      </w:r>
    </w:p>
    <w:p>
      <w:r>
        <w:t>Understanding of the claim process was lower, with 68.2% of surveyed clients (n=2,104) reporting they knew how to file a claim. Female clients at 67.9% and male clients at 68.9% understood the process at similar rates. The experience gap was again pronounced: 90.2% of claimants understood the process, compared with just 49.0% of non-claimants. This indicates that fewer than half of clients who have never filed a claim would know how to do so, pointing to a clear opportunity to strengthen claims education before the moment of need arises.</w:t>
      </w:r>
    </w:p>
    <w:p>
      <w:r>
        <w:drawing>
          <wp:inline xmlns:a="http://schemas.openxmlformats.org/drawingml/2006/main" xmlns:pic="http://schemas.openxmlformats.org/drawingml/2006/picture">
            <wp:extent cx="5029200" cy="1486392"/>
            <wp:docPr id="2" name="Picture 2"/>
            <wp:cNvGraphicFramePr>
              <a:graphicFrameLocks noChangeAspect="1"/>
            </wp:cNvGraphicFramePr>
            <a:graphic>
              <a:graphicData uri="http://schemas.openxmlformats.org/drawingml/2006/picture">
                <pic:pic>
                  <pic:nvPicPr>
                    <pic:cNvPr id="0" name="part1_claims_process_bar.png"/>
                    <pic:cNvPicPr/>
                  </pic:nvPicPr>
                  <pic:blipFill>
                    <a:blip r:embed="rId10"/>
                    <a:stretch>
                      <a:fillRect/>
                    </a:stretch>
                  </pic:blipFill>
                  <pic:spPr>
                    <a:xfrm>
                      <a:off x="0" y="0"/>
                      <a:ext cx="5029200" cy="1486392"/>
                    </a:xfrm>
                    <a:prstGeom prst="rect"/>
                  </pic:spPr>
                </pic:pic>
              </a:graphicData>
            </a:graphic>
          </wp:inline>
        </w:drawing>
      </w:r>
    </w:p>
    <w:p>
      <w:pPr>
        <w:pStyle w:val="Caption"/>
        <w:jc w:val="center"/>
      </w:pPr>
      <w:r>
        <w:t>Claims Process Understanding by Segment</w:t>
      </w:r>
    </w:p>
    <w:p>
      <w:pPr>
        <w:pStyle w:val="Heading2"/>
      </w:pPr>
      <w:r>
        <w:t>Preferred Claims Channel</w:t>
      </w:r>
    </w:p>
    <w:p>
      <w:r>
        <w:t>Asked which channel they would prefer for submitting a claim (n=2,111), most clients favoured personal, assisted options. Nearly two-thirds, 63.1%, prefer an MFI officer coming to collect their documents. Messaging applications such as WhatsApp appeal to 16.4%, while 15.4% would like to submit directly at a VisionFund office or counter. Just 1.7% prefer the insurer's smartphone application, and 2.8% named other channels.</w:t>
      </w:r>
    </w:p>
    <w:p>
      <w:pPr>
        <w:pStyle w:val="Heading2"/>
      </w:pPr>
      <w:r>
        <w:t>Product Value and Renewal Intent</w:t>
      </w:r>
    </w:p>
    <w:p>
      <w:r>
        <w:t>Among health and credit-life clients across the African country programmes (n=1,957), 89.5% considered their insurance worth the premium they paid, a strong endorsement of perceived value. Separately, among Vietnam's crop-insurance clients (n=147), 58.5% expressed an intention to renew their coverage. Because Vietnam's crop insurance is grant-subsidized and carries no premium, these clients were not asked the value-for-premium question, and the two findings describe entirely distinct groups within the portfolio.</w:t>
      </w:r>
    </w:p>
    <w:p>
      <w:pPr>
        <w:pStyle w:val="Heading3"/>
      </w:pPr>
      <w:r>
        <w:t>Key Qualitative Insights</w:t>
      </w:r>
    </w:p>
    <w:p>
      <w:r>
        <w:t>Client voices reveal both genuine appreciation and a consistent call for stronger education. One caregiver in Mulanje, Malawi, described how her group once had to dip into shared savings when a member fell seriously ill, and how the insurance now gives them "a sense of security we didn't have before." A male client in Ntcheu valued the confidence it brings around loan repayment. Yet the same clients repeatedly asked for more training, particularly on the claims process. As one woman explained, the officer "focused more on loans, and the insurance was not well explained." These reflections echo the survey finding that non-claimants understand claims least, underscoring the value of proactive, insurance-specific education delivered before clients ever need to file.</w:t>
      </w:r>
    </w:p>
    <w:p>
      <w:pPr>
        <w:pStyle w:val="Quote"/>
      </w:pPr>
      <w:r>
        <w:t>"We did not understand  the claim insurance processes,the officer focused more on loans  , and the insurance was not well  explained. We need special  training of insurance for us to understand."</w:t>
      </w:r>
    </w:p>
    <w:p>
      <w:pPr>
        <w:ind w:left="720"/>
      </w:pPr>
      <w:r>
        <w:rPr>
          <w:i/>
        </w:rPr>
        <w:t>— Female | age 41 | MULANJE, Malawi | caregiver</w:t>
      </w:r>
    </w:p>
    <w:p>
      <w:pPr>
        <w:pStyle w:val="Quote"/>
      </w:pPr>
      <w:r>
        <w:t>"Before joining VisionFund, our group often struggled with the financial pressure that came with unexpected emergencies. I remember a time when one of our members fell seriously ill, and we had no choice but to dip into our shared group funds money we had carefully set aside for other urgent needs. That experience made us realize how vulnerable we were without proper support systems in place.</w:t>
        <w:br/>
        <w:br/>
        <w:t>When the VisionFund officer later introduced the insurance scheme, we immediately saw its value. Combined with their relatively low and affordable interest rates, it felt like a practical and sustainable solution for our group. The insurance gives us a sense of security we didn’t have before, knowing that we won’t always have to rely on our limited savings when challenges arise.</w:t>
        <w:br/>
        <w:br/>
        <w:t>This support has also made it easier for us to manage and grow our businesses. With better access to financing and guidance, we are improving our financial literacy learning how to plan, save, and use loans more effectively. In the past, keeping consistent group savings was a challenge, but now we have more structure and discipline, which is helping us stay on track.</w:t>
        <w:br/>
        <w:br/>
        <w:t>Because of these benefits, I would confidently recommend VisionFund to others. It not only supports business growth but also equips groups like ours with the knowledge and systems needed to manage money wisely, build savings, and stay resilient in times of need.</w:t>
        <w:br/>
        <w:br/>
        <w:t>However, my plea to VisionFund would be for more financial literacy training, especially around the insurance scheme. While we appreciate the support and understand its importance, more guidance would help us fully understand how it works, how to maximize its benefits, and how it fits into our overall financial planning, with more knowledge, we would feel even more confident using these services, making better decisions for our businesses, and strengthening both our individual livelihoods and our group as a whole"</w:t>
      </w:r>
    </w:p>
    <w:p>
      <w:pPr>
        <w:ind w:left="720"/>
      </w:pPr>
      <w:r>
        <w:rPr>
          <w:i/>
        </w:rPr>
        <w:t>— Female | age 38 | MULANJE, Malawi | caregiver</w:t>
      </w:r>
    </w:p>
    <w:p>
      <w:pPr>
        <w:pStyle w:val="Quote"/>
      </w:pPr>
      <w:r>
        <w:t>"In a village setting like where I am Vision Fund insurance offers a great opportunity to insure our lives for uncertainty that may happen during the loan period. It gives confidence regarding loan repayment. However there a need for more training for our awareness regarding the claim processes and other things involved in the insurance"</w:t>
      </w:r>
    </w:p>
    <w:p>
      <w:pPr>
        <w:ind w:left="720"/>
      </w:pPr>
      <w:r>
        <w:rPr>
          <w:i/>
        </w:rPr>
        <w:t>— Male | age 50 | Ntcheu, Malawi | caregiver</w:t>
      </w:r>
    </w:p>
    <w:p>
      <w:r>
        <w:br w:type="page"/>
      </w:r>
    </w:p>
    <w:p>
      <w:pPr>
        <w:pStyle w:val="Heading1"/>
      </w:pPr>
      <w:r>
        <w:t>Part 2: Claims Experience</w:t>
      </w:r>
    </w:p>
    <w:p>
      <w:pPr>
        <w:pStyle w:val="Heading2"/>
      </w:pPr>
      <w:r>
        <w:t>Claims Funnel</w:t>
      </w:r>
    </w:p>
    <w:p>
      <w:r>
        <w:t>Across the global portfolio, of the 2,111 clients surveyed, 363 (17.2%) experienced an insurable event during the period. Among those who experienced an event, only 153 (42.1%) went on to file a claim, leaving a leakage rate of 57.9%—a majority of eligible clients who did not claim. Of the 153 claims filed, 58 (37.9%) had been approved and paid at the time of the survey. This funnel showed that meaningful protection depends not only on coverage but on clients successfully navigating each step from event to payout.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N</w:t>
            </w:r>
          </w:p>
        </w:tc>
        <w:tc>
          <w:tcPr>
            <w:tcW w:type="dxa" w:w="2880"/>
          </w:tcPr>
          <w:p>
            <w:r>
              <w:rPr>
                <w:b/>
              </w:rPr>
              <w:t>Rate</w:t>
            </w:r>
          </w:p>
        </w:tc>
      </w:tr>
      <w:tr>
        <w:tc>
          <w:tcPr>
            <w:tcW w:type="dxa" w:w="2880"/>
          </w:tcPr>
          <w:p>
            <w:r>
              <w:t>Experienced insured event</w:t>
            </w:r>
          </w:p>
        </w:tc>
        <w:tc>
          <w:tcPr>
            <w:tcW w:type="dxa" w:w="2880"/>
          </w:tcPr>
          <w:p>
            <w:r>
              <w:t>363</w:t>
            </w:r>
          </w:p>
        </w:tc>
        <w:tc>
          <w:tcPr>
            <w:tcW w:type="dxa" w:w="2880"/>
          </w:tcPr>
          <w:p>
            <w:r>
              <w:t>17.2%</w:t>
            </w:r>
          </w:p>
        </w:tc>
      </w:tr>
      <w:tr>
        <w:tc>
          <w:tcPr>
            <w:tcW w:type="dxa" w:w="2880"/>
          </w:tcPr>
          <w:p>
            <w:r>
              <w:t>Filed a claim</w:t>
            </w:r>
          </w:p>
        </w:tc>
        <w:tc>
          <w:tcPr>
            <w:tcW w:type="dxa" w:w="2880"/>
          </w:tcPr>
          <w:p>
            <w:r>
              <w:t>153</w:t>
            </w:r>
          </w:p>
        </w:tc>
        <w:tc>
          <w:tcPr>
            <w:tcW w:type="dxa" w:w="2880"/>
          </w:tcPr>
          <w:p>
            <w:r>
              <w:t>42.1%</w:t>
            </w:r>
          </w:p>
        </w:tc>
      </w:tr>
      <w:tr>
        <w:tc>
          <w:tcPr>
            <w:tcW w:type="dxa" w:w="2880"/>
          </w:tcPr>
          <w:p>
            <w:r>
              <w:t>Claim paid</w:t>
            </w:r>
          </w:p>
        </w:tc>
        <w:tc>
          <w:tcPr>
            <w:tcW w:type="dxa" w:w="2880"/>
          </w:tcPr>
          <w:p>
            <w:r>
              <w:t>58</w:t>
            </w:r>
          </w:p>
        </w:tc>
        <w:tc>
          <w:tcPr>
            <w:tcW w:type="dxa" w:w="2880"/>
          </w:tcPr>
          <w:p>
            <w:r>
              <w:t>37.9%</w:t>
            </w:r>
          </w:p>
        </w:tc>
      </w:tr>
    </w:tbl>
    <w:p>
      <w:r>
        <w:drawing>
          <wp:inline xmlns:a="http://schemas.openxmlformats.org/drawingml/2006/main" xmlns:pic="http://schemas.openxmlformats.org/drawingml/2006/picture">
            <wp:extent cx="5029200" cy="4033078"/>
            <wp:docPr id="3" name="Picture 3"/>
            <wp:cNvGraphicFramePr>
              <a:graphicFrameLocks noChangeAspect="1"/>
            </wp:cNvGraphicFramePr>
            <a:graphic>
              <a:graphicData uri="http://schemas.openxmlformats.org/drawingml/2006/picture">
                <pic:pic>
                  <pic:nvPicPr>
                    <pic:cNvPr id="0" name="part2_funnel.png"/>
                    <pic:cNvPicPr/>
                  </pic:nvPicPr>
                  <pic:blipFill>
                    <a:blip r:embed="rId11"/>
                    <a:stretch>
                      <a:fillRect/>
                    </a:stretch>
                  </pic:blipFill>
                  <pic:spPr>
                    <a:xfrm>
                      <a:off x="0" y="0"/>
                      <a:ext cx="5029200" cy="4033078"/>
                    </a:xfrm>
                    <a:prstGeom prst="rect"/>
                  </pic:spPr>
                </pic:pic>
              </a:graphicData>
            </a:graphic>
          </wp:inline>
        </w:drawing>
      </w:r>
    </w:p>
    <w:p>
      <w:pPr>
        <w:pStyle w:val="Caption"/>
        <w:jc w:val="center"/>
      </w:pPr>
      <w:r>
        <w:t>Claims Funnel</w:t>
      </w:r>
    </w:p>
    <w:p>
      <w:pPr>
        <w:pStyle w:val="Heading2"/>
      </w:pPr>
      <w:r>
        <w:t>Reasons for Not Claiming</w:t>
      </w:r>
    </w:p>
    <w:p>
      <w:r>
        <w:t>Among the 210 clients who experienced an event but did not file a claim, 72 (34.3%) said they were not covered at that time and 69 (32.9%) did not know how to file. A further 50 (23.8%) gave other reasons, most often a broader lack of knowledge about insurance (20 clients). Twelve (5.7%) felt the loss was insignificant and six (2.9%) found the process cumbersome.</w:t>
      </w:r>
    </w:p>
    <w:p>
      <w:r>
        <w:drawing>
          <wp:inline xmlns:a="http://schemas.openxmlformats.org/drawingml/2006/main" xmlns:pic="http://schemas.openxmlformats.org/drawingml/2006/picture">
            <wp:extent cx="5029200" cy="1356423"/>
            <wp:docPr id="4" name="Picture 4"/>
            <wp:cNvGraphicFramePr>
              <a:graphicFrameLocks noChangeAspect="1"/>
            </wp:cNvGraphicFramePr>
            <a:graphic>
              <a:graphicData uri="http://schemas.openxmlformats.org/drawingml/2006/picture">
                <pic:pic>
                  <pic:nvPicPr>
                    <pic:cNvPr id="0" name="part2_no_claim_reasons.png"/>
                    <pic:cNvPicPr/>
                  </pic:nvPicPr>
                  <pic:blipFill>
                    <a:blip r:embed="rId12"/>
                    <a:stretch>
                      <a:fillRect/>
                    </a:stretch>
                  </pic:blipFill>
                  <pic:spPr>
                    <a:xfrm>
                      <a:off x="0" y="0"/>
                      <a:ext cx="5029200" cy="1356423"/>
                    </a:xfrm>
                    <a:prstGeom prst="rect"/>
                  </pic:spPr>
                </pic:pic>
              </a:graphicData>
            </a:graphic>
          </wp:inline>
        </w:drawing>
      </w:r>
    </w:p>
    <w:p>
      <w:pPr>
        <w:pStyle w:val="Caption"/>
        <w:jc w:val="center"/>
      </w:pPr>
      <w:r>
        <w:t>Reasons for Not Claiming</w:t>
      </w:r>
    </w:p>
    <w:p>
      <w:pPr>
        <w:pStyle w:val="Heading2"/>
      </w:pPr>
      <w:r>
        <w:t>Claim Challenges</w:t>
      </w:r>
    </w:p>
    <w:p>
      <w:r>
        <w:t>Among the 85 clients reporting claim challenges, 44 (51.8%) struggled to know their claim's status after submitting documents, 31 (36.5%) found documents hard to collect from hospitals or authorities, and 30 (35.3%) waited a long time for payment. Sixteen (18.8%) received insufficient guidance. These verbatim responses also surfaced 22 protection flags requiring attention, including several high-severity reports of staff misconduct—one officer allegedly told a sick member to "just die," and others declined to process or assist with claims.</w:t>
      </w:r>
    </w:p>
    <w:p>
      <w:r>
        <w:drawing>
          <wp:inline xmlns:a="http://schemas.openxmlformats.org/drawingml/2006/main" xmlns:pic="http://schemas.openxmlformats.org/drawingml/2006/picture">
            <wp:extent cx="5029200" cy="1251935"/>
            <wp:docPr id="5" name="Picture 5"/>
            <wp:cNvGraphicFramePr>
              <a:graphicFrameLocks noChangeAspect="1"/>
            </wp:cNvGraphicFramePr>
            <a:graphic>
              <a:graphicData uri="http://schemas.openxmlformats.org/drawingml/2006/picture">
                <pic:pic>
                  <pic:nvPicPr>
                    <pic:cNvPr id="0" name="part2_claim_challenges.png"/>
                    <pic:cNvPicPr/>
                  </pic:nvPicPr>
                  <pic:blipFill>
                    <a:blip r:embed="rId13"/>
                    <a:stretch>
                      <a:fillRect/>
                    </a:stretch>
                  </pic:blipFill>
                  <pic:spPr>
                    <a:xfrm>
                      <a:off x="0" y="0"/>
                      <a:ext cx="5029200" cy="1251935"/>
                    </a:xfrm>
                    <a:prstGeom prst="rect"/>
                  </pic:spPr>
                </pic:pic>
              </a:graphicData>
            </a:graphic>
          </wp:inline>
        </w:drawing>
      </w:r>
    </w:p>
    <w:p>
      <w:pPr>
        <w:pStyle w:val="Caption"/>
        <w:jc w:val="center"/>
      </w:pPr>
      <w:r>
        <w:t>Top Claims Challenges (% of claimants who challenged)</w:t>
      </w:r>
    </w:p>
    <w:p>
      <w:pPr>
        <w:pStyle w:val="Heading4"/>
      </w:pPr>
      <w:r>
        <w:t>Client Protection Signals</w:t>
      </w:r>
    </w:p>
    <w:p>
      <w:r>
        <w:t>The following client-reported concerns were identified for follow-up by the client protection team.</w:t>
      </w:r>
    </w:p>
    <w:p>
      <w:r>
        <w:rPr>
          <w:b/>
        </w:rPr>
        <w:t>High severity</w:t>
      </w:r>
    </w:p>
    <w:p>
      <w:pPr>
        <w:pStyle w:val="ListBullet"/>
      </w:pPr>
      <w:r>
        <w:t>Staff misconduct: Client alleges the 'officer did not want to process our request for her own reasons that we do not know.' (client ref. #18)</w:t>
      </w:r>
    </w:p>
    <w:p>
      <w:pPr>
        <w:pStyle w:val="ListBullet"/>
      </w:pPr>
      <w:r>
        <w:t>Staff misconduct: Client reports that when a member reported being sick, the officer responded rudely and told them to 'just die.' (client ref. #210)</w:t>
      </w:r>
    </w:p>
    <w:p>
      <w:pPr>
        <w:pStyle w:val="ListBullet"/>
      </w:pPr>
      <w:r>
        <w:t>Unfair claim denial: Client states 'VFR didnot pay insurance claims' and wants to go back to their mutual insurance. (client ref. #577)</w:t>
      </w:r>
    </w:p>
    <w:p>
      <w:pPr>
        <w:pStyle w:val="ListBullet"/>
      </w:pPr>
      <w:r>
        <w:t>Unfair claim denial: Client suggests to 'stop this insurance or change the way used to refund the insurance claims or pay on time, very discouraging.' (client ref. #578)</w:t>
      </w:r>
    </w:p>
    <w:p>
      <w:pPr>
        <w:pStyle w:val="ListBullet"/>
      </w:pPr>
      <w:r>
        <w:t>Unfair claim denial: Client states, 'We submitted a request document for claim, but we did not receive any compensation.' (client ref. #715)</w:t>
      </w:r>
    </w:p>
    <w:p>
      <w:pPr>
        <w:pStyle w:val="ListBullet"/>
      </w:pPr>
      <w:r>
        <w:t>Unfair claim denial: Client states, 'My group members have been claiming for their insurance but nothing has been done so far. I find it so discouraging.' (client ref. #1164)</w:t>
      </w:r>
    </w:p>
    <w:p>
      <w:pPr>
        <w:pStyle w:val="ListBullet"/>
      </w:pPr>
      <w:r>
        <w:t>Premium deducted without consent: Client states that a lot of money is 'deducted without our knowledge.' (client ref. #1394)</w:t>
      </w:r>
    </w:p>
    <w:p>
      <w:pPr>
        <w:pStyle w:val="ListBullet"/>
      </w:pPr>
      <w:r>
        <w:t>Staff misconduct: After a group leader died, the officer was informed but never visited the family or followed up on the claim. (client ref. #1678)</w:t>
      </w:r>
    </w:p>
    <w:p>
      <w:pPr>
        <w:pStyle w:val="ListBullet"/>
      </w:pPr>
      <w:r>
        <w:t>Mis-selling: A claim for a child was denied because the 'child name was not part of the policy mean while the child name was given out.' The child later died. (client ref. #1762)</w:t>
      </w:r>
    </w:p>
    <w:p>
      <w:pPr>
        <w:pStyle w:val="ListBullet"/>
      </w:pPr>
      <w:r>
        <w:t>Staff misconduct: The officer 'never pick your call when you are in the hospital.' (client ref. #1762)</w:t>
      </w:r>
    </w:p>
    <w:p>
      <w:r>
        <w:rPr>
          <w:b/>
        </w:rPr>
        <w:t>Medium severity</w:t>
      </w:r>
    </w:p>
    <w:p>
      <w:pPr>
        <w:pStyle w:val="ListBullet"/>
      </w:pPr>
      <w:r>
        <w:t>Staff misconduct: Officer promised to visit and help with a claim but never did. (client ref. #11)</w:t>
      </w:r>
    </w:p>
    <w:p>
      <w:pPr>
        <w:pStyle w:val="ListBullet"/>
      </w:pPr>
      <w:r>
        <w:t>Staff misconduct: Officer did not come to assist the group in submitting a claim. (client ref. #12)</w:t>
      </w:r>
    </w:p>
    <w:p>
      <w:pPr>
        <w:pStyle w:val="ListBullet"/>
      </w:pPr>
      <w:r>
        <w:t>False information: Client states they were given 'false promises' and requests for claims to be processed on time. (client ref. #18)</w:t>
      </w:r>
    </w:p>
    <w:p>
      <w:pPr>
        <w:pStyle w:val="ListBullet"/>
      </w:pPr>
      <w:r>
        <w:t>Staff misconduct: Client's group member was admitted to hospital twice but 'did not get straight answers' from the officer when following up. (client ref. #343)</w:t>
      </w:r>
    </w:p>
    <w:p>
      <w:pPr>
        <w:pStyle w:val="ListBullet"/>
      </w:pPr>
      <w:r>
        <w:t>Staff misconduct: Client reported their situation to the officer, 'but she did nothing, I am still waiting for the help.' (client ref. #486)</w:t>
      </w:r>
    </w:p>
    <w:p>
      <w:pPr>
        <w:pStyle w:val="ListBullet"/>
      </w:pPr>
      <w:r>
        <w:t>Unfair claim denial: Client states that members in their group have not been paid for claims submitted 5 months ago. (client ref. #535)</w:t>
      </w:r>
    </w:p>
    <w:p>
      <w:pPr>
        <w:pStyle w:val="ListBullet"/>
      </w:pPr>
      <w:r>
        <w:t>Staff misconduct: Client was hospitalized for over 3 days but was not assisted by the officer who had promised to help. (client ref. #600)</w:t>
      </w:r>
    </w:p>
    <w:p>
      <w:pPr>
        <w:pStyle w:val="ListBullet"/>
      </w:pPr>
      <w:r>
        <w:t>Staff misconduct: Client 'informed officer but no form for claim has been filled.' (client ref. #806)</w:t>
      </w:r>
    </w:p>
    <w:p>
      <w:pPr>
        <w:pStyle w:val="ListBullet"/>
      </w:pPr>
      <w:r>
        <w:t>Unfair claim denial: Client's claim was rejected because they did not have a National ID. (client ref. #1153)</w:t>
      </w:r>
    </w:p>
    <w:p>
      <w:pPr>
        <w:pStyle w:val="ListBullet"/>
      </w:pPr>
      <w:r>
        <w:t>Unfair claim denial: Client states, 'l went to the hospital and brought my claim for payment but it was not paid.' (client ref. #1423)</w:t>
      </w:r>
    </w:p>
    <w:p>
      <w:pPr>
        <w:pStyle w:val="ListBullet"/>
      </w:pPr>
      <w:r>
        <w:t>Staff misconduct: After a member's husband died, claim documents were submitted but there has been no feedback for two months. (client ref. #1509)</w:t>
      </w:r>
    </w:p>
    <w:p>
      <w:pPr>
        <w:pStyle w:val="ListBullet"/>
      </w:pPr>
      <w:r>
        <w:t>Unfair claim denial: Client's claim for a broken leg was rejected because they had already been discharged from the hospital. (client ref. #1660)</w:t>
      </w:r>
    </w:p>
    <w:p>
      <w:pPr>
        <w:pStyle w:val="Heading2"/>
      </w:pPr>
      <w:r>
        <w:t>Payout Outcomes</w:t>
      </w:r>
    </w:p>
    <w:p>
      <w:r>
        <w:t>Among the 153 clients who filed claims, 58 (37.9%) were approved and paid, while 35 (22.9%) were approved but not yet paid and 16 (10.5%) remained in process. Twenty-three (15.0%) were rejected and 21 (13.7%) did not know their outcome—reflecting the visibility gap noted in claim challenges. Among the 58 clients whose claims were paid, the payout covered all of the cost for 37 (63.8%), most of the cost for 7 (12.1%), and some of the cost for 14 (24.1%), showing that most paid claims fully met the underlying loss.</w:t>
      </w:r>
    </w:p>
    <w:p>
      <w:pPr>
        <w:pStyle w:val="Heading3"/>
      </w:pPr>
      <w:r>
        <w:t>Key Qualitative Insights</w:t>
      </w:r>
    </w:p>
    <w:p>
      <w:r>
        <w:t>Clients' trust hinges on how VisionFund responds in moments of crisis. A Malawian caregiver who left a previous insurer after unpaid claims described his group's hope, tempered by caution: with a member hospitalised and grieving both parents lost to cholera, "their actions in moments like this will ultimately determine the level of trust we place in them." A fellow Mulanje caregiver affirmed that insurance "is a relief to members because it helps us pay our medical bills." Yet a Ghanaian caregiver recounted an unresponsive officer, a disputed policy, and a lost child, concluding the cover felt absent. Together these voices show that responsive officers and clear communication—not products alone—build lasting confidence.</w:t>
      </w:r>
    </w:p>
    <w:p>
      <w:pPr>
        <w:pStyle w:val="Quote"/>
      </w:pPr>
      <w:r>
        <w:t>"Before joining VisionFund, I was a member of NEEF, where they also offered insurance schemes. However, my experience there was quite disappointing. When difficult situations arose and members needed support the most, the insurance failed to deliver. Claims were not paid out as expected, which created frustration and a lack of trust among us. Because of those challenges, I made the decision to leave NEEF and eventually joined VisionFund when I was introduced to their services.</w:t>
        <w:br/>
        <w:br/>
        <w:t>Since this is still my first experience with VisionFund, I feel it would be too early to give them a perfect rating, such as 10 out of 10. We simply have not yet gone through enough challenging situations to fully evaluate how reliable and effective they are—especially when it comes to their insurance support.</w:t>
        <w:br/>
        <w:br/>
        <w:t>At the moment, we are facing a very serious situation within our group. One of our members has recently lost both parents due to cholera, which has been devastating. To make matters worse, he himself has been hospitalized and has now been in the hospital for four days since Monday. This is exactly the kind of difficult circumstance where insurance support is crucial.</w:t>
        <w:br/>
        <w:br/>
        <w:t>We are currently in the process of contacting VisionFund to see how they will handle this case. Their response and willingness to support our member during this time will play a major role in shaping our overall opinion of them. If they are able to come through and provide meaningful assistance, it will certainly increase our confidence in them and improve the rating we would give.</w:t>
        <w:br/>
        <w:br/>
        <w:t>For now, it is still early days, but we remain hopeful. We want to see whether VisionFund will truly be different from NEEF and other institutions we have experienced in the past. Their actions in moments like this will ultimately determine the level of trust we place in them going."</w:t>
      </w:r>
    </w:p>
    <w:p>
      <w:pPr>
        <w:ind w:left="720"/>
      </w:pPr>
      <w:r>
        <w:rPr>
          <w:i/>
        </w:rPr>
        <w:t>— Male | age 41 | MULANJE, Malawi | caregiver</w:t>
      </w:r>
    </w:p>
    <w:p>
      <w:pPr>
        <w:pStyle w:val="Quote"/>
      </w:pPr>
      <w:r>
        <w:t>"Insurance is good, especially  when all procedures are followed . Insurance  is a relief  to members  because it helps us pay our medical bills."</w:t>
      </w:r>
    </w:p>
    <w:p>
      <w:pPr>
        <w:ind w:left="720"/>
      </w:pPr>
      <w:r>
        <w:rPr>
          <w:i/>
        </w:rPr>
        <w:t>— Female | age 27 | MULANJE, Malawi | caregiver</w:t>
      </w:r>
    </w:p>
    <w:p>
      <w:pPr>
        <w:pStyle w:val="Quote"/>
      </w:pPr>
      <w:r>
        <w:t>"We never enjoyed the insurance, now that they have changed us an officer, I do not know how it will be but the old officer never pick your call when you are in the hospital my brother was in the hospital with a child for three weeks and when we submitted a claim the officer finally told us the child name was not part of the policy mean while the child name was given out, finally we lost that child too, so to me it is good the insurance policy was not there. As for the loan it is good and I have not seen a credit institution than Visionfund."</w:t>
      </w:r>
    </w:p>
    <w:p>
      <w:pPr>
        <w:ind w:left="720"/>
      </w:pPr>
      <w:r>
        <w:rPr>
          <w:i/>
        </w:rPr>
        <w:t>— Male | age 30 | YENDI ZONE, Ghana | caregiver</w:t>
      </w:r>
    </w:p>
    <w:p>
      <w:r>
        <w:br w:type="page"/>
      </w:r>
    </w:p>
    <w:p>
      <w:pPr>
        <w:pStyle w:val="Heading1"/>
      </w:pPr>
      <w:r>
        <w:t>Part 3: Financial Inclusion</w:t>
      </w:r>
    </w:p>
    <w:p>
      <w:pPr>
        <w:pStyle w:val="Heading2"/>
      </w:pPr>
      <w:r>
        <w:t>Reaching Clients with No Prior Insurance Access</w:t>
      </w:r>
    </w:p>
    <w:p>
      <w:r>
        <w:t>VisionFund reached deep into previously unprotected markets: among 2,104 surveyed clients, 85.7% held no insurance of any kind before joining, meaning VisionFund became their first insurer. This reach was strong across genders, with 86.0% of women and 84.8% of men reporting no prior access. These findings showed that VisionFund extended financial protection to households that had never before enjoyed any form of insurance safety net.</w:t>
      </w:r>
    </w:p>
    <w:p>
      <w:pPr>
        <w:pStyle w:val="Heading2"/>
      </w:pPr>
      <w:r>
        <w:t>Financial Stress and Coping</w:t>
      </w:r>
    </w:p>
    <w:p>
      <w:r>
        <w:t>Among the 363 claimants surveyed, coping held up well: only 20.1% resorted to negative coping strategies, and just 3.3% reported high financial stress after their claim. Separately, among the full sample of 2,104 clients, 69.8% indicated that accessing alternative support would be difficult without this insurance. Together these findings suggest the cover cushioned households through emergencies and filled a gap that few other sources could meet.</w:t>
      </w:r>
    </w:p>
    <w:p>
      <w:r>
        <w:drawing>
          <wp:inline xmlns:a="http://schemas.openxmlformats.org/drawingml/2006/main" xmlns:pic="http://schemas.openxmlformats.org/drawingml/2006/picture">
            <wp:extent cx="5029200" cy="3714376"/>
            <wp:docPr id="6" name="Picture 6"/>
            <wp:cNvGraphicFramePr>
              <a:graphicFrameLocks noChangeAspect="1"/>
            </wp:cNvGraphicFramePr>
            <a:graphic>
              <a:graphicData uri="http://schemas.openxmlformats.org/drawingml/2006/picture">
                <pic:pic>
                  <pic:nvPicPr>
                    <pic:cNvPr id="0" name="part3_financial_protection.png"/>
                    <pic:cNvPicPr/>
                  </pic:nvPicPr>
                  <pic:blipFill>
                    <a:blip r:embed="rId14"/>
                    <a:stretch>
                      <a:fillRect/>
                    </a:stretch>
                  </pic:blipFill>
                  <pic:spPr>
                    <a:xfrm>
                      <a:off x="0" y="0"/>
                      <a:ext cx="5029200" cy="3714376"/>
                    </a:xfrm>
                    <a:prstGeom prst="rect"/>
                  </pic:spPr>
                </pic:pic>
              </a:graphicData>
            </a:graphic>
          </wp:inline>
        </w:drawing>
      </w:r>
    </w:p>
    <w:p>
      <w:pPr>
        <w:pStyle w:val="Caption"/>
        <w:jc w:val="center"/>
      </w:pPr>
      <w:r>
        <w:t>Financial Protection Indicators</w:t>
      </w:r>
    </w:p>
    <w:p>
      <w:pPr>
        <w:pStyle w:val="Heading2"/>
      </w:pPr>
      <w:r>
        <w:t>Confidence and Value</w:t>
      </w:r>
    </w:p>
    <w:p>
      <w:r>
        <w:t>Clients expressed strong confidence and perceived value. Among the 2,104 surveyed clients, 87.7% felt confident that VisionFund would pay a valid claim. Separately, among health and credit-life clients across the African country programmes only (n=1,957), 89.5% considered the cover worth its premium; Vietnam's grant-subsidized crop-insurance clients pay no premium and were not asked this question.</w:t>
      </w:r>
    </w:p>
    <w:p>
      <w:pPr>
        <w:pStyle w:val="Heading3"/>
      </w:pPr>
      <w:r>
        <w:t>Key Qualitative Insights</w:t>
      </w:r>
    </w:p>
    <w:p>
      <w:r>
        <w:t>Client voices revealed why this protection matters so deeply. A 32-year-old caregiver in Ntcheu, Malawi described insurance as "a reliable safety net when unexpected emergencies arise," valuing the peace of mind that let him plan investments with confidence rather than fear. A 50-year-old woman in Mulanje contrasted her earlier experience with FINCA, which "did not offer any form of insurance support," explaining that she no longer worries about affording medical care and can focus on growing her business. A 45-year-old client in Mzuzu emphasised that VisionFund "goes beyond just offering loans," combining financial support with genuine care, flexible repayment, and regular guidance. These accounts illustrate how protection translates into security, stability, and dignity.</w:t>
      </w:r>
    </w:p>
    <w:p>
      <w:pPr>
        <w:pStyle w:val="Quote"/>
      </w:pPr>
      <w:r>
        <w:t>"Insurance from VisionFund is extremely important because it provides a reliable safety net when unexpected emergencies arise. Life is unpredictable, and challenges such as illness, accidents, or financial shocks can happen at any time. Having insurance ensures that you are not left vulnerable during these difficult moments, as it offers financial support and stability when you need it most.</w:t>
        <w:br/>
        <w:t>What makes it even more valuable is the peace of mind it brings, you can plan your life and investments knowing that there is a fallback plan in place. Instead of worrying about how to recover from sudden problems, you can focus on moving forward with confidence. Because of this strong sense of security and preparedness, I would confidently rate VisionFund insurance a 10 out of 10."</w:t>
      </w:r>
    </w:p>
    <w:p>
      <w:pPr>
        <w:ind w:left="720"/>
      </w:pPr>
      <w:r>
        <w:rPr>
          <w:i/>
        </w:rPr>
        <w:t>— Male | age 32 | NTCHEU, Malawi | caregiver</w:t>
      </w:r>
    </w:p>
    <w:p>
      <w:pPr>
        <w:pStyle w:val="Quote"/>
      </w:pPr>
      <w:r>
        <w:t>"I would strongly recommend VisionFund to others because of the security and peace of mind it provides. Before joining, I had experience with other organizations like FINCA, but they did not offer any form of insurance support. That meant whenever a health issue came up, I had to rely entirely on my business income, which created a lot of fear and uncertainty.</w:t>
        <w:br/>
        <w:br/>
        <w:t>With VisionFund, things are different. Their insurance initiative has made a real impact on my life. I no longer worry as much about what will happen if I or a family member needs medical attention. Knowing that there is support in place allows me to focus on growing my business without constantly fearing that a hospital visit could set me back financially.</w:t>
        <w:br/>
        <w:br/>
        <w:t>This initiative has given me confidence and stability. It feels like I am not alone in facing life’s challenges, and that kind of support is invaluable."</w:t>
      </w:r>
    </w:p>
    <w:p>
      <w:pPr>
        <w:ind w:left="720"/>
      </w:pPr>
      <w:r>
        <w:rPr>
          <w:i/>
        </w:rPr>
        <w:t>— Female | age 50 | MULANJE, Malawi | caregiver</w:t>
      </w:r>
    </w:p>
    <w:p>
      <w:pPr>
        <w:pStyle w:val="Quote"/>
      </w:pPr>
      <w:r>
        <w:t>"My wife is part of another microloan group, and from what I have seen, there is a clear difference compared to VisionFund. VisionFund goes beyond just offering loans they provide insurance to ensure the well-being and security of their clients, not only in business but also in times of personal difficulty. Many other institutions do not offer this kind of support and can be unfair in how they deal with customers.</w:t>
        <w:br/>
        <w:br/>
        <w:t>This is now our third time taking a loan with VisionFund, and we have not experienced any problems so far. It has been a very positive experience. Our businesses have improved, and we are now in a better position to afford important needs such as school fees for our children. We can confidently speak from experience about the impact it has had on our lives.</w:t>
        <w:br/>
        <w:br/>
        <w:t>VisionFund is also a Christian based organization, and their values are clearly reflected in how they treat their clients. They show genuine concern for our well-being, not just our repayments. They regularly visit us, guide us in making better decisions, and motivate us to grow. In contrast, many other microfinance institutions seem to prioritize business first and customers second.</w:t>
        <w:br/>
        <w:br/>
        <w:t>Another advantage is their low interest rates and flexible repayment approach. They are understanding and give us time and space to repay in a way that is manageable. With some other institutions, the approach can be very harsh, with aggressive follow-ups even after a short delay. Overall, VisionFund stands out because they combine financial support with care, understanding, and a focus on improving their clients’ lives."</w:t>
      </w:r>
    </w:p>
    <w:p>
      <w:pPr>
        <w:ind w:left="720"/>
      </w:pPr>
      <w:r>
        <w:rPr>
          <w:i/>
        </w:rPr>
        <w:t>— Male | age 45 | MZUZU, Malawi | caregiver</w:t>
      </w:r>
    </w:p>
    <w:p>
      <w:r>
        <w:br w:type="page"/>
      </w:r>
    </w:p>
    <w:p>
      <w:pPr>
        <w:pStyle w:val="Heading1"/>
      </w:pPr>
      <w:r>
        <w:t>Part 4: Client Voice</w:t>
      </w:r>
    </w:p>
    <w:p>
      <w:pPr>
        <w:pStyle w:val="Heading2"/>
      </w:pPr>
      <w:r>
        <w:t>Net Promoter Score</w:t>
      </w:r>
    </w:p>
    <w:p>
      <w:r>
        <w:t>VisionFund's insurance portfolio recorded a Net Promoter Score of 16.8 across 2,104 clients, with 43.9 percent acting as promoters, 28.9 percent passive, and 27.1 percent detractors. This modestly positive score suggests goodwill exists but leaves clear room to grow. Among clients who felt the premium was not worth it, two themes dominated their reasoning. Many perceived the premium as too high or a waste when no claim was made, sometimes deducted without their knowledge. Others pointed to unpaid or rejected claims and unfulfilled promises, eroding the trust that sustains long-term enrolment.</w:t>
      </w:r>
    </w:p>
    <w:p>
      <w:r>
        <w:drawing>
          <wp:inline xmlns:a="http://schemas.openxmlformats.org/drawingml/2006/main" xmlns:pic="http://schemas.openxmlformats.org/drawingml/2006/picture">
            <wp:extent cx="5029200" cy="2461249"/>
            <wp:docPr id="7" name="Picture 7"/>
            <wp:cNvGraphicFramePr>
              <a:graphicFrameLocks noChangeAspect="1"/>
            </wp:cNvGraphicFramePr>
            <a:graphic>
              <a:graphicData uri="http://schemas.openxmlformats.org/drawingml/2006/picture">
                <pic:pic>
                  <pic:nvPicPr>
                    <pic:cNvPr id="0" name="part4_nps.png"/>
                    <pic:cNvPicPr/>
                  </pic:nvPicPr>
                  <pic:blipFill>
                    <a:blip r:embed="rId15"/>
                    <a:stretch>
                      <a:fillRect/>
                    </a:stretch>
                  </pic:blipFill>
                  <pic:spPr>
                    <a:xfrm>
                      <a:off x="0" y="0"/>
                      <a:ext cx="5029200" cy="2461249"/>
                    </a:xfrm>
                    <a:prstGeom prst="rect"/>
                  </pic:spPr>
                </pic:pic>
              </a:graphicData>
            </a:graphic>
          </wp:inline>
        </w:drawing>
      </w:r>
    </w:p>
    <w:p>
      <w:pPr>
        <w:pStyle w:val="Caption"/>
        <w:jc w:val="center"/>
      </w:pPr>
      <w:r>
        <w:t>Net Promoter Score</w:t>
      </w:r>
    </w:p>
    <w:p>
      <w:pPr>
        <w:pStyle w:val="Heading2"/>
      </w:pPr>
      <w:r>
        <w:t>Promoter and Detractor Themes</w:t>
      </w:r>
    </w:p>
    <w:p>
      <w:r>
        <w:t>Promoters most often praised the financial relief insurance provided, cited by 366 clients, followed by general satisfaction from 168 clients and a clearer product understanding from 73. These voices showed that when the product's value becomes tangible, appreciation follows. Detractors told a different story. Product understanding topped their concerns with 338 mentions, indicating that many clients still lack clarity about what their cover offers. Complaints and grievances accounted for 83 mentions, and improvement suggestions for 68. The contrast indicates that understanding drives both praise and frustration, making clear communication the portfolio's most decisive lever for improving client sentiment.</w:t>
      </w:r>
    </w:p>
    <w:p>
      <w:r>
        <w:rPr>
          <w:i/>
        </w:rPr>
        <w:t>[VISUAL PENDING: part4_themes.png — Top NPS Theme Drivers]</w:t>
      </w:r>
    </w:p>
    <w:p>
      <w:pPr>
        <w:pStyle w:val="Heading2"/>
      </w:pPr>
      <w:r>
        <w:t>Value and Wellbeing Outcomes</w:t>
      </w:r>
    </w:p>
    <w:p>
      <w:r>
        <w:t>Among health and credit-life clients across the African country programmes, 89.5 percent felt the premium was worth its cost, a strong endorsement from 1,957 respondents. Within this same group, 35.0 percent reported improved child wellbeing (n=1,928), while 15.8 percent reported better healthcare access (n=1,672). These figures suggest that although clients broadly value their cover, its tangible effects on daily wellbeing and health access remain more modest, pointing to opportunities to strengthen how the product delivers everyday benefit.</w:t>
      </w:r>
    </w:p>
    <w:p>
      <w:pPr>
        <w:pStyle w:val="Heading3"/>
      </w:pPr>
      <w:r>
        <w:t>Key Qualitative Insights</w:t>
      </w:r>
    </w:p>
    <w:p>
      <w:r>
        <w:t>Client voices from Malawi reveal how perception shifts once insurance proves its worth. One caregiver in Ntcheu described premiums as "a burden money going out every month for something you're not even sure you'll ever need," until a group member's tragic death left them "completely unprepared" and "stranded." That loss transformed his view: insurance became "a lifeline in moments you never see coming." Another caregiver praised the peace of mind that lets families "focus on recovery and moving forward." Yet a Mzuzu client captured lingering doubt, unconvinced cover "would make a meaningful difference," with costs "difficult to justify." These accounts show trust is earned through visible value and fulfilled promises.</w:t>
      </w:r>
    </w:p>
    <w:p>
      <w:pPr>
        <w:pStyle w:val="Quote"/>
      </w:pPr>
      <w:r>
        <w:t>"Paying for insurance has never felt easy to us, it often feels like a burden money going out every month for something you’re not even sure you’ll ever need. I questioned whether it was really worth it. But everything changed last year, and that experience completely shifted my perspective.Before we started our insurance initiative as a group, we went through a tragic and unexpected loss. One of our members was found murdered. It was a shocking and painful moment for all of us, something none of us had prepared for emotionally or financially. In the middle of grief and confusion, we also faced the harsh reality of being completely unprepared to handle the situation. There were costs, responsibilities, and pressures that none of us had planned for, and we felt stranded.It was during that difficult time that I truly understood the importance of insurance. I realized that while it may feel like a burden in the present, it becomes a lifeline in moments you never see coming. That experience pushed me to think differently—not just for myself, but for the entire group. I became convinced that we needed to take action, to protect ourselves from the uncertainties of the future.That is what led me to advocate for starting our insurance initiative. It wasn’t just about finances anymore; it was about security, preparedness, and peace of mind. Now, when I think about paying for insurance, I no longer see it as a burden. I see it as a necessary step toward safeguarding our future against the unexpected."</w:t>
      </w:r>
    </w:p>
    <w:p>
      <w:pPr>
        <w:ind w:left="720"/>
      </w:pPr>
      <w:r>
        <w:rPr>
          <w:i/>
        </w:rPr>
        <w:t>— Male | age 36 | NTCHEU , Malawi | caregiver</w:t>
      </w:r>
    </w:p>
    <w:p>
      <w:pPr>
        <w:pStyle w:val="Quote"/>
      </w:pPr>
      <w:r>
        <w:t>"I strongly believe that insurance is an important initiative and something I would confidently recommend to others. In life, there is always a level of uncertainty you never truly know what may happen tomorrow. Unexpected events such as illness, accidents, loss of income, or damage to property can occur at any time, often without warning. Because of this, it is always wise to be prepared, not only for the good times but also for the challenging moments that can disrupt our lives.</w:t>
        <w:br/>
        <w:br/>
        <w:t>This is where VisionFund plays a valuable role. Through its loan services, it already supports individuals in building and improving their livelihoods, whether through small businesses, farming, or other income-generating activities. Now, with the addition of insurance, it goes a step further by helping people protect what they have worked so hard to build. Insurance provides a safety net, ensuring that when difficulties arise, clients are not forced to start over or fall deeper into financial hardship.</w:t>
        <w:br/>
        <w:br/>
        <w:t>One of the biggest benefits of insurance is peace of mind. When you are covered, you do not have to panic or stress about how you will handle financial burdens during a crisis. Instead of worrying about hospital bills, repairing damage, or repaying loans during tough times, you can focus on recovery and moving forward. This sense of security is especially important for families and small business owners who rely on stable finances to survive and grow.</w:t>
        <w:br/>
        <w:br/>
        <w:t>In addition, insurance encourages better financial planning and responsibility. It allows individuals to manage risks more effectively and avoid setbacks that could otherwise take years to recover from. By combining loans and insurance, VisionFund is helping people not only to grow financially but also to remain resilient when faced with unexpected challenges.</w:t>
        <w:br/>
        <w:br/>
        <w:t>In conclusion, because troubles can come at any time, having insurance is not just an option it is a smart and necessary step toward financial stability. Being prepared makes all the difference, and with the support of VisionFund, individuals can face both good and difficult times with greater confidence and security."</w:t>
      </w:r>
    </w:p>
    <w:p>
      <w:pPr>
        <w:ind w:left="720"/>
      </w:pPr>
      <w:r>
        <w:rPr>
          <w:i/>
        </w:rPr>
        <w:t>— Male | age 34 | NTCHEU, Malawi | caregiver</w:t>
      </w:r>
    </w:p>
    <w:p>
      <w:pPr>
        <w:pStyle w:val="Quote"/>
      </w:pPr>
      <w:r>
        <w:t>"I’ve heard positive feedback from others who say the insurance can be helpful in times of need, which suggests it does provide some value in certain situations. However, I personally struggle to see its necessity, as I’m not fully convinced that it would make a meaningful difference when I actually need support, In addition, the cost of maintaining the insurance feels difficult to justify, especially when the benefits are not clearly visible or immediately impactful. Because of this uncertainty and lack of trust in its overall value, I find it hard to fully support or rely on it."</w:t>
      </w:r>
    </w:p>
    <w:p>
      <w:pPr>
        <w:ind w:left="720"/>
      </w:pPr>
      <w:r>
        <w:rPr>
          <w:i/>
        </w:rPr>
        <w:t>— Female | age 30 | MZUZU, Malawi | caregiver</w:t>
      </w:r>
    </w:p>
    <w:p>
      <w:r>
        <w:br w:type="page"/>
      </w:r>
    </w:p>
    <w:p>
      <w:pPr>
        <w:pStyle w:val="Heading1"/>
      </w:pPr>
      <w:r>
        <w:t>Part 5: Child Wellbeing</w:t>
      </w:r>
    </w:p>
    <w:p>
      <w:pPr>
        <w:pStyle w:val="Heading2"/>
      </w:pPr>
      <w:r>
        <w:t>Child Wellbeing Drivers</w:t>
      </w:r>
    </w:p>
    <w:p>
      <w:r>
        <w:t>Among surveyed clients, 35.0% reported positive child wellbeing (n=1,928). Renewal intent showed the strongest link, with higher intent accompanying higher wellbeing (rho=-0.492, p&lt;0.0001)—though this reflects Vietnam's crop-insurance clients only (n=127), who were asked separately. Across the broader portfolio, high financial stress correlated most strongly with lower wellbeing (rho=-0.434, p&lt;0.0001). Net Promoter Score moved positively with wellbeing (rho=+0.220), while coverage understanding, worth-premium perception (health and credit-life clients only, n=1,801), payout confidence, and claim-process understanding each showed weaker negative associations. These patterns suggest financial security and client loyalty travel together with child wellbeing.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Driver</w:t>
            </w:r>
          </w:p>
        </w:tc>
        <w:tc>
          <w:tcPr>
            <w:tcW w:type="dxa" w:w="2160"/>
          </w:tcPr>
          <w:p>
            <w:r>
              <w:rPr>
                <w:b/>
              </w:rPr>
              <w:t>ρ (Spearman)</w:t>
            </w:r>
          </w:p>
        </w:tc>
        <w:tc>
          <w:tcPr>
            <w:tcW w:type="dxa" w:w="2160"/>
          </w:tcPr>
          <w:p>
            <w:r>
              <w:rPr>
                <w:b/>
              </w:rPr>
              <w:t>p-value</w:t>
            </w:r>
          </w:p>
        </w:tc>
        <w:tc>
          <w:tcPr>
            <w:tcW w:type="dxa" w:w="2160"/>
          </w:tcPr>
          <w:p>
            <w:r>
              <w:rPr>
                <w:b/>
              </w:rPr>
              <w:t>N</w:t>
            </w:r>
          </w:p>
        </w:tc>
      </w:tr>
      <w:tr>
        <w:tc>
          <w:tcPr>
            <w:tcW w:type="dxa" w:w="2160"/>
          </w:tcPr>
          <w:p>
            <w:r>
              <w:t>Renewal Intent</w:t>
            </w:r>
          </w:p>
        </w:tc>
        <w:tc>
          <w:tcPr>
            <w:tcW w:type="dxa" w:w="2160"/>
          </w:tcPr>
          <w:p>
            <w:r>
              <w:t>-0.492</w:t>
            </w:r>
          </w:p>
        </w:tc>
        <w:tc>
          <w:tcPr>
            <w:tcW w:type="dxa" w:w="2160"/>
          </w:tcPr>
          <w:p>
            <w:r>
              <w:t>0.0000</w:t>
            </w:r>
          </w:p>
        </w:tc>
        <w:tc>
          <w:tcPr>
            <w:tcW w:type="dxa" w:w="2160"/>
          </w:tcPr>
          <w:p>
            <w:r>
              <w:t>127</w:t>
            </w:r>
          </w:p>
        </w:tc>
      </w:tr>
      <w:tr>
        <w:tc>
          <w:tcPr>
            <w:tcW w:type="dxa" w:w="2160"/>
          </w:tcPr>
          <w:p>
            <w:r>
              <w:t>Financial Stress (High)</w:t>
            </w:r>
          </w:p>
        </w:tc>
        <w:tc>
          <w:tcPr>
            <w:tcW w:type="dxa" w:w="2160"/>
          </w:tcPr>
          <w:p>
            <w:r>
              <w:t>-0.434</w:t>
            </w:r>
          </w:p>
        </w:tc>
        <w:tc>
          <w:tcPr>
            <w:tcW w:type="dxa" w:w="2160"/>
          </w:tcPr>
          <w:p>
            <w:r>
              <w:t>0.0000</w:t>
            </w:r>
          </w:p>
        </w:tc>
        <w:tc>
          <w:tcPr>
            <w:tcW w:type="dxa" w:w="2160"/>
          </w:tcPr>
          <w:p>
            <w:r>
              <w:t>1928</w:t>
            </w:r>
          </w:p>
        </w:tc>
      </w:tr>
      <w:tr>
        <w:tc>
          <w:tcPr>
            <w:tcW w:type="dxa" w:w="2160"/>
          </w:tcPr>
          <w:p>
            <w:r>
              <w:t>Net Promoter Score</w:t>
            </w:r>
          </w:p>
        </w:tc>
        <w:tc>
          <w:tcPr>
            <w:tcW w:type="dxa" w:w="2160"/>
          </w:tcPr>
          <w:p>
            <w:r>
              <w:t>+0.220</w:t>
            </w:r>
          </w:p>
        </w:tc>
        <w:tc>
          <w:tcPr>
            <w:tcW w:type="dxa" w:w="2160"/>
          </w:tcPr>
          <w:p>
            <w:r>
              <w:t>0.0000</w:t>
            </w:r>
          </w:p>
        </w:tc>
        <w:tc>
          <w:tcPr>
            <w:tcW w:type="dxa" w:w="2160"/>
          </w:tcPr>
          <w:p>
            <w:r>
              <w:t>1928</w:t>
            </w:r>
          </w:p>
        </w:tc>
      </w:tr>
      <w:tr>
        <w:tc>
          <w:tcPr>
            <w:tcW w:type="dxa" w:w="2160"/>
          </w:tcPr>
          <w:p>
            <w:r>
              <w:t>Coverage Understanding</w:t>
            </w:r>
          </w:p>
        </w:tc>
        <w:tc>
          <w:tcPr>
            <w:tcW w:type="dxa" w:w="2160"/>
          </w:tcPr>
          <w:p>
            <w:r>
              <w:t>-0.206</w:t>
            </w:r>
          </w:p>
        </w:tc>
        <w:tc>
          <w:tcPr>
            <w:tcW w:type="dxa" w:w="2160"/>
          </w:tcPr>
          <w:p>
            <w:r>
              <w:t>0.0000</w:t>
            </w:r>
          </w:p>
        </w:tc>
        <w:tc>
          <w:tcPr>
            <w:tcW w:type="dxa" w:w="2160"/>
          </w:tcPr>
          <w:p>
            <w:r>
              <w:t>1928</w:t>
            </w:r>
          </w:p>
        </w:tc>
      </w:tr>
      <w:tr>
        <w:tc>
          <w:tcPr>
            <w:tcW w:type="dxa" w:w="2160"/>
          </w:tcPr>
          <w:p>
            <w:r>
              <w:t>Worth Premium</w:t>
            </w:r>
          </w:p>
        </w:tc>
        <w:tc>
          <w:tcPr>
            <w:tcW w:type="dxa" w:w="2160"/>
          </w:tcPr>
          <w:p>
            <w:r>
              <w:t>-0.164</w:t>
            </w:r>
          </w:p>
        </w:tc>
        <w:tc>
          <w:tcPr>
            <w:tcW w:type="dxa" w:w="2160"/>
          </w:tcPr>
          <w:p>
            <w:r>
              <w:t>0.0000</w:t>
            </w:r>
          </w:p>
        </w:tc>
        <w:tc>
          <w:tcPr>
            <w:tcW w:type="dxa" w:w="2160"/>
          </w:tcPr>
          <w:p>
            <w:r>
              <w:t>1801</w:t>
            </w:r>
          </w:p>
        </w:tc>
      </w:tr>
      <w:tr>
        <w:tc>
          <w:tcPr>
            <w:tcW w:type="dxa" w:w="2160"/>
          </w:tcPr>
          <w:p>
            <w:r>
              <w:t>Confidence in Payout</w:t>
            </w:r>
          </w:p>
        </w:tc>
        <w:tc>
          <w:tcPr>
            <w:tcW w:type="dxa" w:w="2160"/>
          </w:tcPr>
          <w:p>
            <w:r>
              <w:t>-0.162</w:t>
            </w:r>
          </w:p>
        </w:tc>
        <w:tc>
          <w:tcPr>
            <w:tcW w:type="dxa" w:w="2160"/>
          </w:tcPr>
          <w:p>
            <w:r>
              <w:t>0.0000</w:t>
            </w:r>
          </w:p>
        </w:tc>
        <w:tc>
          <w:tcPr>
            <w:tcW w:type="dxa" w:w="2160"/>
          </w:tcPr>
          <w:p>
            <w:r>
              <w:t>1928</w:t>
            </w:r>
          </w:p>
        </w:tc>
      </w:tr>
      <w:tr>
        <w:tc>
          <w:tcPr>
            <w:tcW w:type="dxa" w:w="2160"/>
          </w:tcPr>
          <w:p>
            <w:r>
              <w:t>Claim Process Understanding</w:t>
            </w:r>
          </w:p>
        </w:tc>
        <w:tc>
          <w:tcPr>
            <w:tcW w:type="dxa" w:w="2160"/>
          </w:tcPr>
          <w:p>
            <w:r>
              <w:t>-0.154</w:t>
            </w:r>
          </w:p>
        </w:tc>
        <w:tc>
          <w:tcPr>
            <w:tcW w:type="dxa" w:w="2160"/>
          </w:tcPr>
          <w:p>
            <w:r>
              <w:t>0.0000</w:t>
            </w:r>
          </w:p>
        </w:tc>
        <w:tc>
          <w:tcPr>
            <w:tcW w:type="dxa" w:w="2160"/>
          </w:tcPr>
          <w:p>
            <w:r>
              <w:t>1928</w:t>
            </w:r>
          </w:p>
        </w:tc>
      </w:tr>
    </w:tbl>
    <w:p>
      <w:r>
        <w:rPr>
          <w:i/>
        </w:rPr>
        <w:t>[VISUAL PENDING: part5_drivers.png — Child Wellbeing Drivers (Spearman Correlation)]</w:t>
      </w:r>
    </w:p>
    <w:p>
      <w:pPr>
        <w:pStyle w:val="Heading2"/>
      </w:pPr>
      <w:r>
        <w:t>Healthcare Access and Medical Cost</w:t>
      </w:r>
    </w:p>
    <w:p>
      <w:r>
        <w:t>Among clients who needed care, 15.8% reported that their access to healthcare improved (n=1,672). Separately, among claimants who sought care and incurred medical costs, 54.0% said their medical costs decreased after making a claim (n=926). These figures describe two distinct groups and should not be read as a single before-and-after comparison. Together they suggest that insurance eased the financial burden of medical costs for many claimants, while improvements in the broader experience of accessing care reached a smaller share of clients.</w:t>
      </w:r>
    </w:p>
    <w:p>
      <w:r>
        <w:drawing>
          <wp:inline xmlns:a="http://schemas.openxmlformats.org/drawingml/2006/main" xmlns:pic="http://schemas.openxmlformats.org/drawingml/2006/picture">
            <wp:extent cx="5029200" cy="4951879"/>
            <wp:docPr id="8" name="Picture 8"/>
            <wp:cNvGraphicFramePr>
              <a:graphicFrameLocks noChangeAspect="1"/>
            </wp:cNvGraphicFramePr>
            <a:graphic>
              <a:graphicData uri="http://schemas.openxmlformats.org/drawingml/2006/picture">
                <pic:pic>
                  <pic:nvPicPr>
                    <pic:cNvPr id="0" name="part5_healthcare.png"/>
                    <pic:cNvPicPr/>
                  </pic:nvPicPr>
                  <pic:blipFill>
                    <a:blip r:embed="rId16"/>
                    <a:stretch>
                      <a:fillRect/>
                    </a:stretch>
                  </pic:blipFill>
                  <pic:spPr>
                    <a:xfrm>
                      <a:off x="0" y="0"/>
                      <a:ext cx="5029200" cy="4951879"/>
                    </a:xfrm>
                    <a:prstGeom prst="rect"/>
                  </pic:spPr>
                </pic:pic>
              </a:graphicData>
            </a:graphic>
          </wp:inline>
        </w:drawing>
      </w:r>
    </w:p>
    <w:p>
      <w:pPr>
        <w:pStyle w:val="Caption"/>
        <w:jc w:val="center"/>
      </w:pPr>
      <w:r>
        <w:t>Healthcare Access and Medical Cost Impact</w:t>
      </w:r>
    </w:p>
    <w:p>
      <w:pPr>
        <w:pStyle w:val="Heading2"/>
      </w:pPr>
      <w:r>
        <w:t>Caregivers vs Non-Caregivers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Caregiver</w:t>
            </w:r>
          </w:p>
        </w:tc>
        <w:tc>
          <w:tcPr>
            <w:tcW w:type="dxa" w:w="2160"/>
          </w:tcPr>
          <w:p>
            <w:r>
              <w:rPr>
                <w:b/>
              </w:rPr>
              <w:t>Non-Caregiver</w:t>
            </w:r>
          </w:p>
        </w:tc>
        <w:tc>
          <w:tcPr>
            <w:tcW w:type="dxa" w:w="2160"/>
          </w:tcPr>
          <w:p>
            <w:r>
              <w:rPr>
                <w:b/>
              </w:rPr>
              <w:t>Sig.*</w:t>
            </w:r>
          </w:p>
        </w:tc>
      </w:tr>
      <w:tr>
        <w:tc>
          <w:tcPr>
            <w:tcW w:type="dxa" w:w="2160"/>
          </w:tcPr>
          <w:p>
            <w:r>
              <w:t>High Financial Stress †</w:t>
            </w:r>
          </w:p>
        </w:tc>
        <w:tc>
          <w:tcPr>
            <w:tcW w:type="dxa" w:w="2160"/>
          </w:tcPr>
          <w:p>
            <w:r>
              <w:t>3.2%</w:t>
            </w:r>
          </w:p>
        </w:tc>
        <w:tc>
          <w:tcPr>
            <w:tcW w:type="dxa" w:w="2160"/>
          </w:tcPr>
          <w:p>
            <w:r>
              <w:t>SUPPRESSED</w:t>
            </w:r>
          </w:p>
        </w:tc>
        <w:tc>
          <w:tcPr>
            <w:tcW w:type="dxa" w:w="2160"/>
          </w:tcPr>
          <w:p>
            <w:r/>
          </w:p>
        </w:tc>
      </w:tr>
      <w:tr>
        <w:tc>
          <w:tcPr>
            <w:tcW w:type="dxa" w:w="2160"/>
          </w:tcPr>
          <w:p>
            <w:r>
              <w:t>Healthcare Access Improved †</w:t>
            </w:r>
          </w:p>
        </w:tc>
        <w:tc>
          <w:tcPr>
            <w:tcW w:type="dxa" w:w="2160"/>
          </w:tcPr>
          <w:p>
            <w:r>
              <w:t>16.0%</w:t>
            </w:r>
          </w:p>
        </w:tc>
        <w:tc>
          <w:tcPr>
            <w:tcW w:type="dxa" w:w="2160"/>
          </w:tcPr>
          <w:p>
            <w:r>
              <w:t>13.2%</w:t>
            </w:r>
          </w:p>
        </w:tc>
        <w:tc>
          <w:tcPr>
            <w:tcW w:type="dxa" w:w="2160"/>
          </w:tcPr>
          <w:p>
            <w:r/>
          </w:p>
        </w:tc>
      </w:tr>
    </w:tbl>
    <w:p>
      <w:r>
        <w:t>* p &lt; 0.05 (chi-squared or Fisher's exact test)</w:t>
      </w:r>
    </w:p>
    <w:p>
      <w:r>
        <w:t>† High Financial Stress: Clients who experienced an insured event in the last 12 months (same base as Part 3's financial stress metric)</w:t>
      </w:r>
    </w:p>
    <w:p>
      <w:r>
        <w:t>† Healthcare Access Improved: Health-insurance clients who needed care (same base as Part 4's healthcare access metric)</w:t>
      </w:r>
    </w:p>
    <w:p>
      <w:r>
        <w:t>Comparing caregivers with non-caregivers on two measures unrelated to child wellbeing itself, high financial stress among caregivers who experienced an insured event stood at 3.2%, while the non-caregiver figure was suppressed due to small sample size. Among health-insurance clients who needed care, 16.0% of caregivers reported improved healthcare access, compared with 13.2% of non-caregivers; this difference is not meaningful (p=0.4215). These results indicate that caregivers and non-caregivers experienced broadly similar outcomes on financial stress and care access within their respective populations.</w:t>
      </w:r>
    </w:p>
    <w:p>
      <w:pPr>
        <w:pStyle w:val="Heading3"/>
      </w:pPr>
      <w:r>
        <w:t>Key Qualitative Insights</w:t>
      </w:r>
    </w:p>
    <w:p>
      <w:r>
        <w:t>Client voices from Malawi bring these patterns to life. One female caregiver in Mzuzu valued the deposit-free loans and affordable rates, alongside the insurance that gave her "peace of mind knowing that I am not alone during difficult times." Yet she wished coverage extended to her children, recalling moments when she needed help "buying medication and covering transport to the hospital." A male caregiver in Mulanje noted that savings "promote childrens health and school expenditures." A young female caregiver in Mzuzu explained how death benefits allow children to repay loans and address "other financial problems." Together these reflections echo the data: insurance eases financial stress, but caregivers see clear value in family-inclusive coverage.</w:t>
      </w:r>
    </w:p>
    <w:p>
      <w:pPr>
        <w:pStyle w:val="Quote"/>
      </w:pPr>
      <w:r>
        <w:t>"What stands out for me about VisionFund is that there is no deposit required to access loans, which makes it very easy for people like me to start or grow a business without needing large upfront capital. Their interest rates are also low and affordable, allowing me to repay comfortably while still managing my household and reinvesting in my business.</w:t>
        <w:br/>
        <w:br/>
        <w:t>Another important benefit is the insurance they offer alongside the loans. This provides support during unexpected situations, such as illness or other emergencies, giving me peace of mind knowing that I am not alone during difficult times.</w:t>
        <w:br/>
        <w:br/>
        <w:t>However, I would really appreciate it if the insurance coverage could be extended to include family members. I have children, and there have been times when they have fallen sick. In such moments, I wished the insurance could also assist with buying medication and covering transport to the hospital. Expanding the coverage in this way would greatly benefit families like mine and make the support even more meaningful."</w:t>
      </w:r>
    </w:p>
    <w:p>
      <w:pPr>
        <w:ind w:left="720"/>
      </w:pPr>
      <w:r>
        <w:rPr>
          <w:i/>
        </w:rPr>
        <w:t>— Female | age 30 | MZUZU, Malawi | caregiver</w:t>
      </w:r>
    </w:p>
    <w:p>
      <w:pPr>
        <w:pStyle w:val="Quote"/>
      </w:pPr>
      <w:r>
        <w:t>"It helps to increase savings that promote childrens health and school expenditures"</w:t>
      </w:r>
    </w:p>
    <w:p>
      <w:pPr>
        <w:ind w:left="720"/>
      </w:pPr>
      <w:r>
        <w:rPr>
          <w:i/>
        </w:rPr>
        <w:t>— Male | age 41 | MULANJE, Malawi | caregiver</w:t>
      </w:r>
    </w:p>
    <w:p>
      <w:pPr>
        <w:pStyle w:val="Quote"/>
      </w:pPr>
      <w:r>
        <w:t>"This is because when someone is sick loan repayment continues without challenges and when a member dies the children of the member will receive the benefits which will enable them to repay the loan and assist in other financial problems"</w:t>
      </w:r>
    </w:p>
    <w:p>
      <w:pPr>
        <w:ind w:left="720"/>
      </w:pPr>
      <w:r>
        <w:rPr>
          <w:i/>
        </w:rPr>
        <w:t>— Female | age 22 | Mzuzu, Malawi | caregiver</w:t>
      </w:r>
    </w:p>
    <w:p>
      <w:r>
        <w:br w:type="page"/>
      </w:r>
    </w:p>
    <w:p>
      <w:pPr>
        <w:pStyle w:val="Heading1"/>
      </w:pPr>
      <w:r>
        <w:t>Part 6: Claimant vs. Non-Claimant Outcomes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Claimant</w:t>
            </w:r>
          </w:p>
        </w:tc>
        <w:tc>
          <w:tcPr>
            <w:tcW w:type="dxa" w:w="2160"/>
          </w:tcPr>
          <w:p>
            <w:r>
              <w:rPr>
                <w:b/>
              </w:rPr>
              <w:t>Non-Claimant</w:t>
            </w:r>
          </w:p>
        </w:tc>
        <w:tc>
          <w:tcPr>
            <w:tcW w:type="dxa" w:w="2160"/>
          </w:tcPr>
          <w:p>
            <w:r>
              <w:rPr>
                <w:b/>
              </w:rPr>
              <w:t>Sig.*</w:t>
            </w:r>
          </w:p>
        </w:tc>
      </w:tr>
      <w:tr>
        <w:tc>
          <w:tcPr>
            <w:tcW w:type="dxa" w:w="2160"/>
          </w:tcPr>
          <w:p>
            <w:r>
              <w:t>Coverage Understanding</w:t>
            </w:r>
          </w:p>
        </w:tc>
        <w:tc>
          <w:tcPr>
            <w:tcW w:type="dxa" w:w="2160"/>
          </w:tcPr>
          <w:p>
            <w:r>
              <w:t>94.8%</w:t>
            </w:r>
          </w:p>
        </w:tc>
        <w:tc>
          <w:tcPr>
            <w:tcW w:type="dxa" w:w="2160"/>
          </w:tcPr>
          <w:p>
            <w:r>
              <w:t>61.9%</w:t>
            </w:r>
          </w:p>
        </w:tc>
        <w:tc>
          <w:tcPr>
            <w:tcW w:type="dxa" w:w="2160"/>
          </w:tcPr>
          <w:p>
            <w:r>
              <w:t>*</w:t>
            </w:r>
          </w:p>
        </w:tc>
      </w:tr>
      <w:tr>
        <w:tc>
          <w:tcPr>
            <w:tcW w:type="dxa" w:w="2160"/>
          </w:tcPr>
          <w:p>
            <w:r>
              <w:t>Claim Process Understanding</w:t>
            </w:r>
          </w:p>
        </w:tc>
        <w:tc>
          <w:tcPr>
            <w:tcW w:type="dxa" w:w="2160"/>
          </w:tcPr>
          <w:p>
            <w:r>
              <w:t>90.2%</w:t>
            </w:r>
          </w:p>
        </w:tc>
        <w:tc>
          <w:tcPr>
            <w:tcW w:type="dxa" w:w="2160"/>
          </w:tcPr>
          <w:p>
            <w:r>
              <w:t>49.0%</w:t>
            </w:r>
          </w:p>
        </w:tc>
        <w:tc>
          <w:tcPr>
            <w:tcW w:type="dxa" w:w="2160"/>
          </w:tcPr>
          <w:p>
            <w:r>
              <w:t>*</w:t>
            </w:r>
          </w:p>
        </w:tc>
      </w:tr>
      <w:tr>
        <w:tc>
          <w:tcPr>
            <w:tcW w:type="dxa" w:w="2160"/>
          </w:tcPr>
          <w:p>
            <w:r>
              <w:t>Worth Premium †</w:t>
            </w:r>
          </w:p>
        </w:tc>
        <w:tc>
          <w:tcPr>
            <w:tcW w:type="dxa" w:w="2160"/>
          </w:tcPr>
          <w:p>
            <w:r>
              <w:t>85.6%</w:t>
            </w:r>
          </w:p>
        </w:tc>
        <w:tc>
          <w:tcPr>
            <w:tcW w:type="dxa" w:w="2160"/>
          </w:tcPr>
          <w:p>
            <w:r>
              <w:t>87.1%</w:t>
            </w:r>
          </w:p>
        </w:tc>
        <w:tc>
          <w:tcPr>
            <w:tcW w:type="dxa" w:w="2160"/>
          </w:tcPr>
          <w:p>
            <w:r/>
          </w:p>
        </w:tc>
      </w:tr>
      <w:tr>
        <w:tc>
          <w:tcPr>
            <w:tcW w:type="dxa" w:w="2160"/>
          </w:tcPr>
          <w:p>
            <w:r>
              <w:t>Renewal Intent †</w:t>
            </w:r>
          </w:p>
        </w:tc>
        <w:tc>
          <w:tcPr>
            <w:tcW w:type="dxa" w:w="2160"/>
          </w:tcPr>
          <w:p>
            <w:r>
              <w:t>SUPPRESSED</w:t>
            </w:r>
          </w:p>
        </w:tc>
        <w:tc>
          <w:tcPr>
            <w:tcW w:type="dxa" w:w="2160"/>
          </w:tcPr>
          <w:p>
            <w:r>
              <w:t>SUPPRESSED</w:t>
            </w:r>
          </w:p>
        </w:tc>
        <w:tc>
          <w:tcPr>
            <w:tcW w:type="dxa" w:w="2160"/>
          </w:tcPr>
          <w:p>
            <w:r/>
          </w:p>
        </w:tc>
      </w:tr>
      <w:tr>
        <w:tc>
          <w:tcPr>
            <w:tcW w:type="dxa" w:w="2160"/>
          </w:tcPr>
          <w:p>
            <w:r>
              <w:t>Negative Coping (↓ better)</w:t>
            </w:r>
          </w:p>
        </w:tc>
        <w:tc>
          <w:tcPr>
            <w:tcW w:type="dxa" w:w="2160"/>
          </w:tcPr>
          <w:p>
            <w:r>
              <w:t>11.8%</w:t>
            </w:r>
          </w:p>
        </w:tc>
        <w:tc>
          <w:tcPr>
            <w:tcW w:type="dxa" w:w="2160"/>
          </w:tcPr>
          <w:p>
            <w:r>
              <w:t>26.2%</w:t>
            </w:r>
          </w:p>
        </w:tc>
        <w:tc>
          <w:tcPr>
            <w:tcW w:type="dxa" w:w="2160"/>
          </w:tcPr>
          <w:p>
            <w:r>
              <w:t>*</w:t>
            </w:r>
          </w:p>
        </w:tc>
      </w:tr>
      <w:tr>
        <w:tc>
          <w:tcPr>
            <w:tcW w:type="dxa" w:w="2160"/>
          </w:tcPr>
          <w:p>
            <w:r>
              <w:t>High Financial Stress (↓ better)</w:t>
            </w:r>
          </w:p>
        </w:tc>
        <w:tc>
          <w:tcPr>
            <w:tcW w:type="dxa" w:w="2160"/>
          </w:tcPr>
          <w:p>
            <w:r>
              <w:t>5.2%</w:t>
            </w:r>
          </w:p>
        </w:tc>
        <w:tc>
          <w:tcPr>
            <w:tcW w:type="dxa" w:w="2160"/>
          </w:tcPr>
          <w:p>
            <w:r>
              <w:t>1.9%</w:t>
            </w:r>
          </w:p>
        </w:tc>
        <w:tc>
          <w:tcPr>
            <w:tcW w:type="dxa" w:w="2160"/>
          </w:tcPr>
          <w:p>
            <w:r/>
          </w:p>
        </w:tc>
      </w:tr>
      <w:tr>
        <w:tc>
          <w:tcPr>
            <w:tcW w:type="dxa" w:w="2160"/>
          </w:tcPr>
          <w:p>
            <w:r>
              <w:t>Confidence in Next Premium Payment</w:t>
            </w:r>
          </w:p>
        </w:tc>
        <w:tc>
          <w:tcPr>
            <w:tcW w:type="dxa" w:w="2160"/>
          </w:tcPr>
          <w:p>
            <w:r>
              <w:t>86.3%</w:t>
            </w:r>
          </w:p>
        </w:tc>
        <w:tc>
          <w:tcPr>
            <w:tcW w:type="dxa" w:w="2160"/>
          </w:tcPr>
          <w:p>
            <w:r>
              <w:t>83.8%</w:t>
            </w:r>
          </w:p>
        </w:tc>
        <w:tc>
          <w:tcPr>
            <w:tcW w:type="dxa" w:w="2160"/>
          </w:tcPr>
          <w:p>
            <w:r/>
          </w:p>
        </w:tc>
      </w:tr>
    </w:tbl>
    <w:p>
      <w:r>
        <w:t>* p &lt; 0.05 (chi-squared or Fisher's exact test)</w:t>
      </w:r>
    </w:p>
    <w:p>
      <w:r>
        <w:t>† Worth Premium: Health &amp; credit-life clients only, within each claimant/non-claimant group — Vietnam's crop-insurance clients were not asked this question</w:t>
      </w:r>
    </w:p>
    <w:p>
      <w:r>
        <w:t>† Renewal Intent: Vietnam's crop-insurance clients only, within each claimant/non-claimant group — not asked of health or credit-life clients in any country</w:t>
      </w:r>
    </w:p>
    <w:p>
      <w:r>
        <w:rPr>
          <w:i/>
        </w:rPr>
        <w:t>[VISUAL PENDING: part6_scorecard.png — Key Metrics: Claimants vs. Non-Claimants]</w:t>
      </w:r>
    </w:p>
    <w:p>
      <w:pPr>
        <w:pStyle w:val="Heading2"/>
      </w:pPr>
      <w:r>
        <w:t>Findings</w:t>
      </w:r>
    </w:p>
    <w:p>
      <w:r>
        <w:t>Claimants who experienced the insurance in action understood it far better than those who never claimed: 94.8% of claimants grasped their coverage against 61.9% of non-claimants, and 90.2% understood the claims process compared with 49.0%. Both differences are meaningful (p=0.0000). Claimants also coped better with hardship, with only 11.8% resorting to negative coping strategies against 26.2% of non-claimants (p=0.0007). Views on whether the product was worth its premium were similar across the two groups among health and credit-life clients (85.6% versus 87.1%, p=0.6752), as was confidence in paying the next premium (86.3% versus 83.8%).</w:t>
      </w:r>
    </w:p>
    <w:p>
      <w:pPr>
        <w:pStyle w:val="Heading3"/>
      </w:pPr>
      <w:r>
        <w:t>Key Qualitative Insights</w:t>
      </w:r>
    </w:p>
    <w:p>
      <w:r>
        <w:t>The experience of claiming appears to build genuine understanding and resilience. Claimants understood their coverage and the claims process far more clearly than non-claimants, and were less than half as likely to fall back on harmful coping strategies when facing hardship. Client voices echo this: two caregivers in Huye, Rwanda, praised VisionFund Rwanda for paying claims on time and guiding them easily through the process, one noting the team "give support if you need." Yet the experience is not uniform. A caregiver in Agago, Uganda, described how "it does take long to claim the insurance benefits after submitting the required documents," a reminder that timely processing remains uneven across the portfolio and warrants continued attention.</w:t>
      </w:r>
    </w:p>
    <w:p>
      <w:pPr>
        <w:pStyle w:val="Quote"/>
      </w:pPr>
      <w:r>
        <w:t>"They paid claims on time and give support if you need"</w:t>
      </w:r>
    </w:p>
    <w:p>
      <w:pPr>
        <w:ind w:left="720"/>
      </w:pPr>
      <w:r>
        <w:rPr>
          <w:i/>
        </w:rPr>
        <w:t>— Female | age 45 | Huye, Rwanda | claimant, caregiver</w:t>
      </w:r>
    </w:p>
    <w:p>
      <w:pPr>
        <w:pStyle w:val="Quote"/>
      </w:pPr>
      <w:r>
        <w:t>"VFR  paid claims on time and give guidance to the claims process  easily."</w:t>
      </w:r>
    </w:p>
    <w:p>
      <w:pPr>
        <w:ind w:left="720"/>
      </w:pPr>
      <w:r>
        <w:rPr>
          <w:i/>
        </w:rPr>
        <w:t>— Female | age 46 | Huye, Rwanda | claimant, caregiver</w:t>
      </w:r>
    </w:p>
    <w:p>
      <w:pPr>
        <w:pStyle w:val="Quote"/>
      </w:pPr>
      <w:r>
        <w:t>"it does take long to claim the insurance  benefits after submitting the required documents"</w:t>
      </w:r>
    </w:p>
    <w:p>
      <w:pPr>
        <w:ind w:left="720"/>
      </w:pPr>
      <w:r>
        <w:rPr>
          <w:i/>
        </w:rPr>
        <w:t>— Male | age 42 | Agago, Uganda | claimant, caregiver</w:t>
      </w:r>
    </w:p>
    <w:p>
      <w:r>
        <w:br w:type="page"/>
      </w:r>
    </w:p>
    <w:p>
      <w:pPr>
        <w:pStyle w:val="Heading1"/>
      </w:pPr>
      <w:r>
        <w:t>Part 7: Gender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Female</w:t>
            </w:r>
          </w:p>
        </w:tc>
        <w:tc>
          <w:tcPr>
            <w:tcW w:type="dxa" w:w="2160"/>
          </w:tcPr>
          <w:p>
            <w:r>
              <w:rPr>
                <w:b/>
              </w:rPr>
              <w:t>Male</w:t>
            </w:r>
          </w:p>
        </w:tc>
        <w:tc>
          <w:tcPr>
            <w:tcW w:type="dxa" w:w="2160"/>
          </w:tcPr>
          <w:p>
            <w:r>
              <w:rPr>
                <w:b/>
              </w:rPr>
              <w:t>Sig.*</w:t>
            </w:r>
          </w:p>
        </w:tc>
      </w:tr>
      <w:tr>
        <w:tc>
          <w:tcPr>
            <w:tcW w:type="dxa" w:w="2160"/>
          </w:tcPr>
          <w:p>
            <w:r>
              <w:t>Coverage Understanding</w:t>
            </w:r>
          </w:p>
        </w:tc>
        <w:tc>
          <w:tcPr>
            <w:tcW w:type="dxa" w:w="2160"/>
          </w:tcPr>
          <w:p>
            <w:r>
              <w:t>75.5%</w:t>
            </w:r>
          </w:p>
        </w:tc>
        <w:tc>
          <w:tcPr>
            <w:tcW w:type="dxa" w:w="2160"/>
          </w:tcPr>
          <w:p>
            <w:r>
              <w:t>79.4%</w:t>
            </w:r>
          </w:p>
        </w:tc>
        <w:tc>
          <w:tcPr>
            <w:tcW w:type="dxa" w:w="2160"/>
          </w:tcPr>
          <w:p>
            <w:r/>
          </w:p>
        </w:tc>
      </w:tr>
      <w:tr>
        <w:tc>
          <w:tcPr>
            <w:tcW w:type="dxa" w:w="2160"/>
          </w:tcPr>
          <w:p>
            <w:r>
              <w:t>Claim Process Understanding</w:t>
            </w:r>
          </w:p>
        </w:tc>
        <w:tc>
          <w:tcPr>
            <w:tcW w:type="dxa" w:w="2160"/>
          </w:tcPr>
          <w:p>
            <w:r>
              <w:t>67.9%</w:t>
            </w:r>
          </w:p>
        </w:tc>
        <w:tc>
          <w:tcPr>
            <w:tcW w:type="dxa" w:w="2160"/>
          </w:tcPr>
          <w:p>
            <w:r>
              <w:t>68.9%</w:t>
            </w:r>
          </w:p>
        </w:tc>
        <w:tc>
          <w:tcPr>
            <w:tcW w:type="dxa" w:w="2160"/>
          </w:tcPr>
          <w:p>
            <w:r/>
          </w:p>
        </w:tc>
      </w:tr>
      <w:tr>
        <w:tc>
          <w:tcPr>
            <w:tcW w:type="dxa" w:w="2160"/>
          </w:tcPr>
          <w:p>
            <w:r>
              <w:t>Worth Premium †</w:t>
            </w:r>
          </w:p>
        </w:tc>
        <w:tc>
          <w:tcPr>
            <w:tcW w:type="dxa" w:w="2160"/>
          </w:tcPr>
          <w:p>
            <w:r>
              <w:t>88.9%</w:t>
            </w:r>
          </w:p>
        </w:tc>
        <w:tc>
          <w:tcPr>
            <w:tcW w:type="dxa" w:w="2160"/>
          </w:tcPr>
          <w:p>
            <w:r>
              <w:t>90.8%</w:t>
            </w:r>
          </w:p>
        </w:tc>
        <w:tc>
          <w:tcPr>
            <w:tcW w:type="dxa" w:w="2160"/>
          </w:tcPr>
          <w:p>
            <w:r/>
          </w:p>
        </w:tc>
      </w:tr>
      <w:tr>
        <w:tc>
          <w:tcPr>
            <w:tcW w:type="dxa" w:w="2160"/>
          </w:tcPr>
          <w:p>
            <w:r>
              <w:t>Renewal Intent †</w:t>
            </w:r>
          </w:p>
        </w:tc>
        <w:tc>
          <w:tcPr>
            <w:tcW w:type="dxa" w:w="2160"/>
          </w:tcPr>
          <w:p>
            <w:r>
              <w:t>57.9%</w:t>
            </w:r>
          </w:p>
        </w:tc>
        <w:tc>
          <w:tcPr>
            <w:tcW w:type="dxa" w:w="2160"/>
          </w:tcPr>
          <w:p>
            <w:r>
              <w:t>SUPPRESSED</w:t>
            </w:r>
          </w:p>
        </w:tc>
        <w:tc>
          <w:tcPr>
            <w:tcW w:type="dxa" w:w="2160"/>
          </w:tcPr>
          <w:p>
            <w:r/>
          </w:p>
        </w:tc>
      </w:tr>
      <w:tr>
        <w:tc>
          <w:tcPr>
            <w:tcW w:type="dxa" w:w="2160"/>
          </w:tcPr>
          <w:p>
            <w:r>
              <w:t>Negative Coping (↓ better)</w:t>
            </w:r>
          </w:p>
        </w:tc>
        <w:tc>
          <w:tcPr>
            <w:tcW w:type="dxa" w:w="2160"/>
          </w:tcPr>
          <w:p>
            <w:r>
              <w:t>17.9%</w:t>
            </w:r>
          </w:p>
        </w:tc>
        <w:tc>
          <w:tcPr>
            <w:tcW w:type="dxa" w:w="2160"/>
          </w:tcPr>
          <w:p>
            <w:r>
              <w:t>24.8%</w:t>
            </w:r>
          </w:p>
        </w:tc>
        <w:tc>
          <w:tcPr>
            <w:tcW w:type="dxa" w:w="2160"/>
          </w:tcPr>
          <w:p>
            <w:r/>
          </w:p>
        </w:tc>
      </w:tr>
      <w:tr>
        <w:tc>
          <w:tcPr>
            <w:tcW w:type="dxa" w:w="2160"/>
          </w:tcPr>
          <w:p>
            <w:r>
              <w:t>Child Wellbeing Improved</w:t>
            </w:r>
          </w:p>
        </w:tc>
        <w:tc>
          <w:tcPr>
            <w:tcW w:type="dxa" w:w="2160"/>
          </w:tcPr>
          <w:p>
            <w:r>
              <w:t>34.7%</w:t>
            </w:r>
          </w:p>
        </w:tc>
        <w:tc>
          <w:tcPr>
            <w:tcW w:type="dxa" w:w="2160"/>
          </w:tcPr>
          <w:p>
            <w:r>
              <w:t>35.9%</w:t>
            </w:r>
          </w:p>
        </w:tc>
        <w:tc>
          <w:tcPr>
            <w:tcW w:type="dxa" w:w="2160"/>
          </w:tcPr>
          <w:p>
            <w:r/>
          </w:p>
        </w:tc>
      </w:tr>
      <w:tr>
        <w:tc>
          <w:tcPr>
            <w:tcW w:type="dxa" w:w="2160"/>
          </w:tcPr>
          <w:p>
            <w:r>
              <w:t>Confidence in Next Premium Payment</w:t>
            </w:r>
          </w:p>
        </w:tc>
        <w:tc>
          <w:tcPr>
            <w:tcW w:type="dxa" w:w="2160"/>
          </w:tcPr>
          <w:p>
            <w:r>
              <w:t>87.1%</w:t>
            </w:r>
          </w:p>
        </w:tc>
        <w:tc>
          <w:tcPr>
            <w:tcW w:type="dxa" w:w="2160"/>
          </w:tcPr>
          <w:p>
            <w:r>
              <w:t>89.4%</w:t>
            </w:r>
          </w:p>
        </w:tc>
        <w:tc>
          <w:tcPr>
            <w:tcW w:type="dxa" w:w="2160"/>
          </w:tcPr>
          <w:p>
            <w:r/>
          </w:p>
        </w:tc>
      </w:tr>
    </w:tbl>
    <w:p>
      <w:r>
        <w:t>* p &lt; 0.05 (chi-squared or Fisher's exact test)</w:t>
      </w:r>
    </w:p>
    <w:p>
      <w:r>
        <w:t>† Worth Premium: Health &amp; credit-life clients only, within each gender group — Vietnam's crop-insurance clients were not asked this question</w:t>
      </w:r>
    </w:p>
    <w:p>
      <w:r>
        <w:t>† Renewal Intent: Vietnam's crop-insurance clients only, within each gender group — not asked of health or credit-life clients in any country</w:t>
      </w:r>
    </w:p>
    <w:p>
      <w:r>
        <w:rPr>
          <w:i/>
        </w:rPr>
        <w:t>[VISUAL PENDING: part7_scorecard.png — Key Metrics by Gender]</w:t>
      </w:r>
    </w:p>
    <w:p>
      <w:pPr>
        <w:pStyle w:val="Heading2"/>
      </w:pPr>
      <w:r>
        <w:t>Findings</w:t>
      </w:r>
    </w:p>
    <w:p>
      <w:r>
        <w:t>Across the global portfolio, women and men reported broadly similar insurance experiences, with no gender gap reaching statistical significance. Coverage understanding came closest, with women at 75.5 percent and men at 79.4 percent (p=0.0611), a difference that approaches but does not cross the threshold. Men reported somewhat higher rates of harmful coping to meet costs, at 24.8 percent versus 17.9 percent among women, though this gap was not significant (p=0.1253). Among Vietnam's crop-insurance clients, 57.9 percent of women intended to renew; the corresponding male figure was suppressed due to small sample size. These findings draw on a predominantly female sample.</w:t>
      </w:r>
    </w:p>
    <w:p>
      <w:pPr>
        <w:pStyle w:val="Heading3"/>
      </w:pPr>
      <w:r>
        <w:t>Key Qualitative Insights</w:t>
      </w:r>
    </w:p>
    <w:p>
      <w:r>
        <w:t>Client voices revealed that the sharpest gaps in protection fall not between women and men, but at the household's edge. A 51-year-old caregiver in Assin, Ghana was hospitalised yet never claimed, because she did not want her husband to learn she had taken a loan, forgoing benefits she knew would have covered her medical costs. Both women and men urged VisionFund to extend cover to spouses and children. A 36-year-old member in Mulanje, Malawi described how a fellow member's business faltered when her husband was hospitalised for weeks, while a 60-year-old man in Angurai, Kenya sold nearly everything to pay for his wife's admission. These accounts suggest that whole-household coverage could strengthen resilience where current products leave families exposed.</w:t>
      </w:r>
    </w:p>
    <w:p>
      <w:pPr>
        <w:pStyle w:val="Quote"/>
      </w:pPr>
      <w:r>
        <w:t>"was hospitalised but did not make a claim because i did not want my husband to know i have taken a loan but i know  the insurance would have paid my medical expenses"</w:t>
      </w:r>
    </w:p>
    <w:p>
      <w:pPr>
        <w:ind w:left="720"/>
      </w:pPr>
      <w:r>
        <w:rPr>
          <w:i/>
        </w:rPr>
        <w:t>— Female | age 51 | Assin, Ghana | caregiver</w:t>
      </w:r>
    </w:p>
    <w:p>
      <w:pPr>
        <w:pStyle w:val="Quote"/>
      </w:pPr>
      <w:r>
        <w:t>"I have found VisionFund to be very helpful, especially when it comes to injecting capital into my business and supporting me during difficult times. Access to financial assistance has allowed me to sustain and grow my business even when challenges arise, which is something I truly value.</w:t>
        <w:br/>
        <w:br/>
        <w:t>When I compare the insurance offered by VisionFund to what I previously had with my SACCO, I see a meaningful difference. The SACCO insurance mainly focused on property, which, while useful, did not address personal health needs. VisionFund’s insurance, on the other hand, feels more practical because it considers situations where I may fall sick something that directly affects my ability to work and run my business.</w:t>
        <w:br/>
        <w:br/>
        <w:t>That said, I would strongly encourage VisionFund to consider extending insurance coverage to include spouses. In many households, both partners contribute to the business or the overall income. If one spouse becomes seriously ill, it can disrupt not only the family’s wellbeing but also the business itself. When both breadwinners are affected, it becomes even more difficult to manage daily responsibilities and maintain income.</w:t>
        <w:br/>
        <w:br/>
        <w:t>I have seen this situation firsthand within our group. One of our members has a husband who has been hospitalized for several weeks, and this has significantly impacted her business. It made us realize that this could happen to any of us, and in such cases, the current insurance coverage would not provide enough support.</w:t>
        <w:br/>
        <w:br/>
        <w:t>Including spouses in the insurance plan would make a big difference. It would provide greater security for families, help stabilize businesses during health crises, and ultimately strengthen the resilience of members as a whole."</w:t>
      </w:r>
    </w:p>
    <w:p>
      <w:pPr>
        <w:ind w:left="720"/>
      </w:pPr>
      <w:r>
        <w:rPr>
          <w:i/>
        </w:rPr>
        <w:t>— Female | age 36 | MULANJE, Malawi | caregiver</w:t>
      </w:r>
    </w:p>
    <w:p>
      <w:pPr>
        <w:pStyle w:val="Quote"/>
      </w:pPr>
      <w:r>
        <w:t>"It could be better if this insurance supported even our children and spouses. My wife was admitted in hospital but I ended up selling almost everything to pay for the bill."</w:t>
      </w:r>
    </w:p>
    <w:p>
      <w:pPr>
        <w:ind w:left="720"/>
      </w:pPr>
      <w:r>
        <w:rPr>
          <w:i/>
        </w:rPr>
        <w:t>— Male | age 60 | Angurai, Kenya | caregiver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366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366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366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366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F366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