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VisionFund International</w:t>
      </w:r>
    </w:p>
    <w:p>
      <w:pPr>
        <w:pStyle w:val="Heading1"/>
      </w:pPr>
      <w:r>
        <w:t>Insurance Impact Report — Vietnam 2026 Q2</w:t>
      </w:r>
    </w:p>
    <w:p>
      <w:r>
        <w:t>Generated: 02 July 2026</w:t>
      </w:r>
    </w:p>
    <w:p>
      <w:r>
        <w:br w:type="page"/>
      </w:r>
    </w:p>
    <w:p>
      <w:pPr>
        <w:pStyle w:val="Heading1"/>
      </w:pPr>
      <w:r>
        <w:t>Part 1: Product Understanding &amp; Awareness</w:t>
      </w:r>
    </w:p>
    <w:p>
      <w:pPr>
        <w:pStyle w:val="Heading2"/>
      </w:pPr>
      <w:r>
        <w:t>Coverage Understanding</w:t>
      </w:r>
    </w:p>
    <w:p>
      <w:r>
        <w:t>Overall, 76.6% of clients (n=2104) reported understanding their insurance coverage. A slight difference emerged between genders, with 79.4% of males understanding their coverage compared to 75.5% of females. Notably, clients who had made a claim demonstrated a much higher understanding at 94.8%, while only 61.9% of non-claimants understood their coverage. This disparity suggests that the claims process itself significantly enhances client comprehension of their policy benefits.</w:t>
      </w:r>
    </w:p>
    <w:p>
      <w:r>
        <w:rPr>
          <w:i/>
        </w:rPr>
        <w:t>[VISUAL PENDING: part1_coverage_bar.png — Coverage Understanding by Segment]</w:t>
      </w:r>
    </w:p>
    <w:p>
      <w:pPr>
        <w:pStyle w:val="Heading2"/>
      </w:pPr>
      <w:r>
        <w:t>Claim Process Understanding</w:t>
      </w:r>
    </w:p>
    <w:p>
      <w:r>
        <w:t>Client understanding of the claim process stood at 68.2% (n=2104). Gender differences were minimal, with 68.9% of males and 67.9% of females reporting comprehension. A substantial gap appeared between claimants and non-claimants; 90.2% of clients who had filed a claim understood the process, whereas only 49.0% of non-claimants did. This indicates that direct experience with the claims system is a primary driver of process comprehension among insured clients.</w:t>
      </w:r>
    </w:p>
    <w:p>
      <w:r>
        <w:rPr>
          <w:i/>
        </w:rPr>
        <w:t>[VISUAL PENDING: part1_claims_process_bar.png — Claims Process Understanding by Segment]</w:t>
      </w:r>
    </w:p>
    <w:p>
      <w:pPr>
        <w:pStyle w:val="Heading2"/>
      </w:pPr>
      <w:r>
        <w:t>Product Value and Renewal Intent</w:t>
      </w:r>
    </w:p>
    <w:p>
      <w:r>
        <w:t>A strong majority of clients, 89.5% (n=1957), believed their insurance product was worth the premium paid. Regarding future engagement, 58.5% of clients expressed an intent to renew their policy. It is important to note that this renewal intent figure is based on a small sample size of 147 clients, representing only those who were eligible for renewal during the survey period.</w:t>
      </w:r>
    </w:p>
    <w:p>
      <w:pPr>
        <w:pStyle w:val="Heading3"/>
      </w:pPr>
      <w:r>
        <w:t>Key Insight</w:t>
      </w:r>
    </w:p>
    <w:p>
      <w:r>
        <w:t>The data reveals a clear pattern: direct experience with the claims process significantly boosts client understanding of both coverage (94.8% for claimants vs. 61.9% for non-claimants) and the claims procedure itself (90.2% for claimants vs. 49.0% for non-claimants). While nearly 90% of clients perceive the product as valuable, renewal intent stands at 58.5% among the small group of eligible clients. This suggests a need for enhanced pre-claim education and communication strategies for non-claimants to bridge the knowledge gap and potentially strengthen renewal rates. Without qualitative data, the specific reasons for the moderate renewal intent remain unclear, but improving understanding for all clients is a clear priority.</w:t>
      </w:r>
    </w:p>
    <w:p>
      <w:r>
        <w:br w:type="page"/>
      </w:r>
    </w:p>
    <w:p>
      <w:pPr>
        <w:pStyle w:val="Heading1"/>
      </w:pPr>
      <w:r>
        <w:t>Part 2: Claims Experience</w:t>
      </w:r>
    </w:p>
    <w:p>
      <w:pPr>
        <w:pStyle w:val="Heading2"/>
      </w:pPr>
      <w:r>
        <w:t>Claims Funnel</w:t>
      </w:r>
    </w:p>
    <w:p>
      <w:r>
        <w:t>Out of 2,111 clients surveyed, 363 (17.2%) experienced an insurable event during the quarter. Of these, 153 clients filed a claim, representing 42.1% of those who experienced an event. This indicates a significant leakage rate of 57.9%, where clients did not proceed with a claim despite experiencing an event. Ultimately, 58 claims were paid, accounting for 37.9% of all claims filed. This funnel highlights areas where clients may need more support to translate an event into a successful claim payout.</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Stage</w:t>
            </w:r>
          </w:p>
        </w:tc>
        <w:tc>
          <w:tcPr>
            <w:tcW w:type="dxa" w:w="2880"/>
          </w:tcPr>
          <w:p>
            <w:r>
              <w:rPr>
                <w:b/>
              </w:rPr>
              <w:t>N</w:t>
            </w:r>
          </w:p>
        </w:tc>
        <w:tc>
          <w:tcPr>
            <w:tcW w:type="dxa" w:w="2880"/>
          </w:tcPr>
          <w:p>
            <w:r>
              <w:rPr>
                <w:b/>
              </w:rPr>
              <w:t>Rate</w:t>
            </w:r>
          </w:p>
        </w:tc>
      </w:tr>
      <w:tr>
        <w:tc>
          <w:tcPr>
            <w:tcW w:type="dxa" w:w="2880"/>
          </w:tcPr>
          <w:p>
            <w:r>
              <w:t>Experienced insured event</w:t>
            </w:r>
          </w:p>
        </w:tc>
        <w:tc>
          <w:tcPr>
            <w:tcW w:type="dxa" w:w="2880"/>
          </w:tcPr>
          <w:p>
            <w:r>
              <w:t>363</w:t>
            </w:r>
          </w:p>
        </w:tc>
        <w:tc>
          <w:tcPr>
            <w:tcW w:type="dxa" w:w="2880"/>
          </w:tcPr>
          <w:p>
            <w:r>
              <w:t>17.2%</w:t>
            </w:r>
          </w:p>
        </w:tc>
      </w:tr>
      <w:tr>
        <w:tc>
          <w:tcPr>
            <w:tcW w:type="dxa" w:w="2880"/>
          </w:tcPr>
          <w:p>
            <w:r>
              <w:t>Filed a claim</w:t>
            </w:r>
          </w:p>
        </w:tc>
        <w:tc>
          <w:tcPr>
            <w:tcW w:type="dxa" w:w="2880"/>
          </w:tcPr>
          <w:p>
            <w:r>
              <w:t>153</w:t>
            </w:r>
          </w:p>
        </w:tc>
        <w:tc>
          <w:tcPr>
            <w:tcW w:type="dxa" w:w="2880"/>
          </w:tcPr>
          <w:p>
            <w:r>
              <w:t>42.1%</w:t>
            </w:r>
          </w:p>
        </w:tc>
      </w:tr>
      <w:tr>
        <w:tc>
          <w:tcPr>
            <w:tcW w:type="dxa" w:w="2880"/>
          </w:tcPr>
          <w:p>
            <w:r>
              <w:t>Claim paid</w:t>
            </w:r>
          </w:p>
        </w:tc>
        <w:tc>
          <w:tcPr>
            <w:tcW w:type="dxa" w:w="2880"/>
          </w:tcPr>
          <w:p>
            <w:r>
              <w:t>58</w:t>
            </w:r>
          </w:p>
        </w:tc>
        <w:tc>
          <w:tcPr>
            <w:tcW w:type="dxa" w:w="2880"/>
          </w:tcPr>
          <w:p>
            <w:r>
              <w:t>37.9%</w:t>
            </w:r>
          </w:p>
        </w:tc>
      </w:tr>
    </w:tbl>
    <w:p>
      <w:r>
        <w:rPr>
          <w:i/>
        </w:rPr>
        <w:t>[VISUAL PENDING: part2_funnel.png — Claims Funnel]</w:t>
      </w:r>
    </w:p>
    <w:p>
      <w:pPr>
        <w:pStyle w:val="Heading2"/>
      </w:pPr>
      <w:r>
        <w:t>Reasons for Not Claiming</w:t>
      </w:r>
    </w:p>
    <w:p>
      <w:r>
        <w:t>Among the 210 clients who did not file a claim after an event, the primary reasons were not being covered at the time (34.3%, n=72) and not knowing how to file a claim (32.9%, n=69). An additional 23.8% (n=50) cited "Other" reasons, while 5.7% (n=12) felt the loss was not significant. A smaller proportion (2.9%, n=6) found the claim process cumbersome.</w:t>
      </w:r>
    </w:p>
    <w:p>
      <w:r>
        <w:rPr>
          <w:i/>
        </w:rPr>
        <w:t>[VISUAL PENDING: part2_no_claim_reasons.png — Reasons for Not Claiming]</w:t>
      </w:r>
    </w:p>
    <w:p>
      <w:pPr>
        <w:pStyle w:val="Heading2"/>
      </w:pPr>
      <w:r>
        <w:t>Claim Challenges</w:t>
      </w:r>
    </w:p>
    <w:p>
      <w:r>
        <w:t>For the 85 clients who faced challenges during the claim process, the most common difficulty was knowing the status of their claim after submission, reported by 51.8% (n=44). Collecting necessary documents from hospitals or authorities was challenging for 36.5% (n=31), and 35.3% (n=30) experienced long waiting times for payout. Furthermore, 18.8% (n=16) did not receive adequate support or guidance, and 14.1% (n=12) found document submission difficult. No protection flags were identified.</w:t>
      </w:r>
    </w:p>
    <w:p>
      <w:r>
        <w:rPr>
          <w:i/>
        </w:rPr>
        <w:t>[VISUAL PENDING: part2_claim_challenges.png — Top Claims Challenges (% of claimants who challenged)]</w:t>
      </w:r>
    </w:p>
    <w:p>
      <w:pPr>
        <w:pStyle w:val="Heading2"/>
      </w:pPr>
      <w:r>
        <w:t>Claim Channel and Payout Outcomes</w:t>
      </w:r>
    </w:p>
    <w:p>
      <w:r>
        <w:t>The majority of the 153 claims filed were submitted through an MFI officer collecting documents (83.7%, n=128), with Whatsapp or other messaging applications being the next most common channel (9.2%, n=14). Regarding claim outcomes, 37.9% (n=58) were approved and paid, while 22.9% (n=35) were approved but not yet paid. A total of 15.0% (n=23) of claims were rejected. Among the 58 paid claims, 63.8% (n=37) covered all costs, 24.1% (n=14) covered some, and 12.1% (n=7) covered most of the cost.</w:t>
      </w:r>
    </w:p>
    <w:p>
      <w:pPr>
        <w:pStyle w:val="Heading3"/>
      </w:pPr>
      <w:r>
        <w:t>Key Insight</w:t>
      </w:r>
    </w:p>
    <w:p>
      <w:r>
        <w:t>The claims funnel reveals a substantial leakage rate of 57.9% between experiencing an event and filing a claim, largely driven by clients not knowing how to file or believing they were not covered. This suggests a critical need to enhance client education on policy terms and claim procedures. Even among those who filed, only 37.9% received a payout, with significant challenges reported in tracking claim status and collecting documents. While MFI officers are the dominant claim channel, the high rate of claims approved but not yet paid (22.9%) and rejections (15.0%) indicates potential bottlenecks in the processing and disbursement stages. Improving communication, streamlining documentation, and accelerating payout times are crucial to improving client trust and the perceived value of insurance.</w:t>
      </w:r>
    </w:p>
    <w:p>
      <w:r>
        <w:br w:type="page"/>
      </w:r>
    </w:p>
    <w:p>
      <w:pPr>
        <w:pStyle w:val="Heading1"/>
      </w:pPr>
      <w:r>
        <w:t>Part 3: Financial Protection</w:t>
      </w:r>
    </w:p>
    <w:p>
      <w:pPr>
        <w:pStyle w:val="Heading2"/>
      </w:pPr>
      <w:r>
        <w:t>Financial Stress and Coping</w:t>
      </w:r>
    </w:p>
    <w:p>
      <w:r>
        <w:t>Among claimants, 20.1% reported resorting to negative coping mechanisms, and 3.3% experienced high levels of financial stress. These metrics, where lower values indicate better coping, suggest that while some claimants face challenges, severe stress is less common. Across the full sample, a significant 69.8% of clients indicated they would find it difficult to access alternative financial support without this insurance, underscoring the programme's vital role in providing essential financial protection.</w:t>
      </w:r>
    </w:p>
    <w:p>
      <w:r>
        <w:rPr>
          <w:i/>
        </w:rPr>
        <w:t>[VISUAL PENDING: part3_financial_protection.png — Financial Protection Indicators]</w:t>
      </w:r>
    </w:p>
    <w:p>
      <w:pPr>
        <w:pStyle w:val="Heading2"/>
      </w:pPr>
      <w:r>
        <w:t>Confidence and Value</w:t>
      </w:r>
    </w:p>
    <w:p>
      <w:r>
        <w:t>Client confidence in the insurance programme remains high, with 87.7% of the full sample (n=2104) expressing confidence that their claims would be paid. Furthermore, 89.5% of clients (n=1957) affirmed that the insurance was worth the premium paid. These strong endorsements indicate a high perceived value and trust in the financial protection offered by the programme among its beneficiaries.</w:t>
      </w:r>
    </w:p>
    <w:p>
      <w:pPr>
        <w:pStyle w:val="Heading3"/>
      </w:pPr>
      <w:r>
        <w:t>Key Insight</w:t>
      </w:r>
    </w:p>
    <w:p>
      <w:r>
        <w:t>The data reveals that the insurance programme significantly contributes to financial protection, particularly for clients who would struggle to find alternative support. While a minority of claimants still employ negative coping strategies or experience high financial stress, the overall picture suggests the insurance mitigates more widespread distress. High confidence in claim payouts and strong agreement that the insurance is worth its premium underscore the programme's perceived value and effectiveness. This indicates that the insurance is not merely a safety net but a trusted financial tool that empowers clients by reducing vulnerability and fostering financial resilience. The programme's ability to provide accessible protection is especially crucial given the challenges many clients face in securing alternative financial assistance during times of need.</w:t>
      </w:r>
    </w:p>
    <w:p>
      <w:r>
        <w:br w:type="page"/>
      </w:r>
    </w:p>
    <w:p>
      <w:pPr>
        <w:pStyle w:val="Heading1"/>
      </w:pPr>
      <w:r>
        <w:t>Part 4: Client Voice</w:t>
      </w:r>
    </w:p>
    <w:p>
      <w:pPr>
        <w:pStyle w:val="Heading2"/>
      </w:pPr>
      <w:r>
        <w:t>Net Promoter Score</w:t>
      </w:r>
    </w:p>
    <w:p>
      <w:r>
        <w:t>The Net Promoter Score (NPS) for Q2 2026 stands at 16.8, derived from 2104 client responses. Promoters constitute 43.9% (924 clients), while 28.9% (609 clients) are Passives, and 27.1% (571 clients) are Detractors. No specific qualitative themes were identified from clients who felt the premium was not worth the cost.</w:t>
      </w:r>
    </w:p>
    <w:p>
      <w:r>
        <w:rPr>
          <w:i/>
        </w:rPr>
        <w:t>[VISUAL PENDING: part4_nps.png — Net Promoter Score]</w:t>
      </w:r>
    </w:p>
    <w:p>
      <w:pPr>
        <w:pStyle w:val="Heading2"/>
      </w:pPr>
      <w:r>
        <w:t>Promoter and Detractor Themes</w:t>
      </w:r>
    </w:p>
    <w:p>
      <w:r>
        <w:t>Qualitative analysis of client feedback provides deeper insights into satisfaction drivers. For promoters, specific themes highlighting their positive experiences are not yet available. Similarly, detailed themes explaining the reasons behind detractor sentiment are currently unavailable for this reporting period. Further qualitative data collection is ongoing to enrich our understanding of client perceptions.</w:t>
      </w:r>
    </w:p>
    <w:p>
      <w:r>
        <w:rPr>
          <w:i/>
        </w:rPr>
        <w:t>[VISUAL PENDING: part4_themes.png — Top NPS Theme Drivers]</w:t>
      </w:r>
    </w:p>
    <w:p>
      <w:pPr>
        <w:pStyle w:val="Heading2"/>
      </w:pPr>
      <w:r>
        <w:t>Value and Wellbeing Outcomes</w:t>
      </w:r>
    </w:p>
    <w:p>
      <w:r>
        <w:t>A significant 89.5% of clients (n=1957) reported that the insurance premium was worth its value, indicating strong perceived benefit. Beyond financial protection, 35.0% of clients (n=1928) noted an improvement in their children's wellbeing, while 15.8% (n=1672) experienced enhanced access to healthcare services. These figures underscore the broader positive impacts on families.</w:t>
      </w:r>
    </w:p>
    <w:p>
      <w:pPr>
        <w:pStyle w:val="Heading3"/>
      </w:pPr>
      <w:r>
        <w:t>Key Insight</w:t>
      </w:r>
    </w:p>
    <w:p>
      <w:r>
        <w:t>The Q2 2026 Net Promoter Score of 16.8, alongside nearly 90% of clients affirming the premium's value, suggests a generally positive client experience with the insurance product. The reported improvements in child wellbeing (35.0%) and healthcare access (15.8%) highlight the tangible, non-financial benefits clients are experiencing. While the NPS score indicates room for improvement, particularly in converting passives and addressing detractor concerns, the high perceived value is a strong foundation. The absence of specific qualitative themes for promoters and detractors limits our ability to pinpoint exact drivers of satisfaction or dissatisfaction. Future qualitative data will be crucial for understanding these nuances and developing targeted strategies to enhance client loyalty and address areas of concern, thereby strengthening the program's impact.</w:t>
      </w:r>
    </w:p>
    <w:p>
      <w:r>
        <w:br w:type="page"/>
      </w:r>
    </w:p>
    <w:p>
      <w:pPr>
        <w:pStyle w:val="Heading1"/>
      </w:pPr>
      <w:r>
        <w:t>Part 5: Child Wellbeing</w:t>
      </w:r>
    </w:p>
    <w:p>
      <w:pPr>
        <w:pStyle w:val="Heading2"/>
      </w:pPr>
      <w:r>
        <w:t>Child Wellbeing Drivers</w:t>
      </w:r>
    </w:p>
    <w:p>
      <w:r>
        <w:t>The overall Child Wellbeing (CWB) score was 35.0% (n=1928). Analysis revealed several factors meaningfully correlated with CWB. A strong negative correlation existed with clients' intent to renew their insurance (rho=-0.492, p=0.0000, n=127), suggesting that higher renewal intent is associated with lower child wellbeing. High financial stress also showed a meaningful negative correlation (rho=-0.434, p=0.0000, n=1928), indicating increased stress relates to reduced child wellbeing. Conversely, a higher Net Promoter Score correlated positively with CWB (rho=+0.220, p=0.0000, n=1928). Higher understanding of coverage (rho=-0.206, p=0.0000, n=1928), perceiving the premium as worthwhile (rho=-0.164, p=0.0000, n=1801), and confidence in payout (rho=-0.162, p=0.0000, n=1928) also showed negative correlations.</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rPr>
              <w:t>Driver</w:t>
            </w:r>
          </w:p>
        </w:tc>
        <w:tc>
          <w:tcPr>
            <w:tcW w:type="dxa" w:w="2160"/>
          </w:tcPr>
          <w:p>
            <w:r>
              <w:rPr>
                <w:b/>
              </w:rPr>
              <w:t>ρ (Spearman)</w:t>
            </w:r>
          </w:p>
        </w:tc>
        <w:tc>
          <w:tcPr>
            <w:tcW w:type="dxa" w:w="2160"/>
          </w:tcPr>
          <w:p>
            <w:r>
              <w:rPr>
                <w:b/>
              </w:rPr>
              <w:t>p-value</w:t>
            </w:r>
          </w:p>
        </w:tc>
        <w:tc>
          <w:tcPr>
            <w:tcW w:type="dxa" w:w="2160"/>
          </w:tcPr>
          <w:p>
            <w:r>
              <w:rPr>
                <w:b/>
              </w:rPr>
              <w:t>N</w:t>
            </w:r>
          </w:p>
        </w:tc>
      </w:tr>
      <w:tr>
        <w:tc>
          <w:tcPr>
            <w:tcW w:type="dxa" w:w="2160"/>
          </w:tcPr>
          <w:p>
            <w:r>
              <w:t>Renewal Intent</w:t>
            </w:r>
          </w:p>
        </w:tc>
        <w:tc>
          <w:tcPr>
            <w:tcW w:type="dxa" w:w="2160"/>
          </w:tcPr>
          <w:p>
            <w:r>
              <w:t>-0.492</w:t>
            </w:r>
          </w:p>
        </w:tc>
        <w:tc>
          <w:tcPr>
            <w:tcW w:type="dxa" w:w="2160"/>
          </w:tcPr>
          <w:p>
            <w:r>
              <w:t>0.0000</w:t>
            </w:r>
          </w:p>
        </w:tc>
        <w:tc>
          <w:tcPr>
            <w:tcW w:type="dxa" w:w="2160"/>
          </w:tcPr>
          <w:p>
            <w:r>
              <w:t>127</w:t>
            </w:r>
          </w:p>
        </w:tc>
      </w:tr>
      <w:tr>
        <w:tc>
          <w:tcPr>
            <w:tcW w:type="dxa" w:w="2160"/>
          </w:tcPr>
          <w:p>
            <w:r>
              <w:t>Financial Stress (High)</w:t>
            </w:r>
          </w:p>
        </w:tc>
        <w:tc>
          <w:tcPr>
            <w:tcW w:type="dxa" w:w="2160"/>
          </w:tcPr>
          <w:p>
            <w:r>
              <w:t>-0.434</w:t>
            </w:r>
          </w:p>
        </w:tc>
        <w:tc>
          <w:tcPr>
            <w:tcW w:type="dxa" w:w="2160"/>
          </w:tcPr>
          <w:p>
            <w:r>
              <w:t>0.0000</w:t>
            </w:r>
          </w:p>
        </w:tc>
        <w:tc>
          <w:tcPr>
            <w:tcW w:type="dxa" w:w="2160"/>
          </w:tcPr>
          <w:p>
            <w:r>
              <w:t>1928</w:t>
            </w:r>
          </w:p>
        </w:tc>
      </w:tr>
      <w:tr>
        <w:tc>
          <w:tcPr>
            <w:tcW w:type="dxa" w:w="2160"/>
          </w:tcPr>
          <w:p>
            <w:r>
              <w:t>Net Promoter Score</w:t>
            </w:r>
          </w:p>
        </w:tc>
        <w:tc>
          <w:tcPr>
            <w:tcW w:type="dxa" w:w="2160"/>
          </w:tcPr>
          <w:p>
            <w:r>
              <w:t>+0.220</w:t>
            </w:r>
          </w:p>
        </w:tc>
        <w:tc>
          <w:tcPr>
            <w:tcW w:type="dxa" w:w="2160"/>
          </w:tcPr>
          <w:p>
            <w:r>
              <w:t>0.0000</w:t>
            </w:r>
          </w:p>
        </w:tc>
        <w:tc>
          <w:tcPr>
            <w:tcW w:type="dxa" w:w="2160"/>
          </w:tcPr>
          <w:p>
            <w:r>
              <w:t>1928</w:t>
            </w:r>
          </w:p>
        </w:tc>
      </w:tr>
      <w:tr>
        <w:tc>
          <w:tcPr>
            <w:tcW w:type="dxa" w:w="2160"/>
          </w:tcPr>
          <w:p>
            <w:r>
              <w:t>Coverage Understanding</w:t>
            </w:r>
          </w:p>
        </w:tc>
        <w:tc>
          <w:tcPr>
            <w:tcW w:type="dxa" w:w="2160"/>
          </w:tcPr>
          <w:p>
            <w:r>
              <w:t>-0.206</w:t>
            </w:r>
          </w:p>
        </w:tc>
        <w:tc>
          <w:tcPr>
            <w:tcW w:type="dxa" w:w="2160"/>
          </w:tcPr>
          <w:p>
            <w:r>
              <w:t>0.0000</w:t>
            </w:r>
          </w:p>
        </w:tc>
        <w:tc>
          <w:tcPr>
            <w:tcW w:type="dxa" w:w="2160"/>
          </w:tcPr>
          <w:p>
            <w:r>
              <w:t>1928</w:t>
            </w:r>
          </w:p>
        </w:tc>
      </w:tr>
      <w:tr>
        <w:tc>
          <w:tcPr>
            <w:tcW w:type="dxa" w:w="2160"/>
          </w:tcPr>
          <w:p>
            <w:r>
              <w:t>Worth Premium</w:t>
            </w:r>
          </w:p>
        </w:tc>
        <w:tc>
          <w:tcPr>
            <w:tcW w:type="dxa" w:w="2160"/>
          </w:tcPr>
          <w:p>
            <w:r>
              <w:t>-0.164</w:t>
            </w:r>
          </w:p>
        </w:tc>
        <w:tc>
          <w:tcPr>
            <w:tcW w:type="dxa" w:w="2160"/>
          </w:tcPr>
          <w:p>
            <w:r>
              <w:t>0.0000</w:t>
            </w:r>
          </w:p>
        </w:tc>
        <w:tc>
          <w:tcPr>
            <w:tcW w:type="dxa" w:w="2160"/>
          </w:tcPr>
          <w:p>
            <w:r>
              <w:t>1801</w:t>
            </w:r>
          </w:p>
        </w:tc>
      </w:tr>
      <w:tr>
        <w:tc>
          <w:tcPr>
            <w:tcW w:type="dxa" w:w="2160"/>
          </w:tcPr>
          <w:p>
            <w:r>
              <w:t>Confidence in Payout</w:t>
            </w:r>
          </w:p>
        </w:tc>
        <w:tc>
          <w:tcPr>
            <w:tcW w:type="dxa" w:w="2160"/>
          </w:tcPr>
          <w:p>
            <w:r>
              <w:t>-0.162</w:t>
            </w:r>
          </w:p>
        </w:tc>
        <w:tc>
          <w:tcPr>
            <w:tcW w:type="dxa" w:w="2160"/>
          </w:tcPr>
          <w:p>
            <w:r>
              <w:t>0.0000</w:t>
            </w:r>
          </w:p>
        </w:tc>
        <w:tc>
          <w:tcPr>
            <w:tcW w:type="dxa" w:w="2160"/>
          </w:tcPr>
          <w:p>
            <w:r>
              <w:t>1928</w:t>
            </w:r>
          </w:p>
        </w:tc>
      </w:tr>
      <w:tr>
        <w:tc>
          <w:tcPr>
            <w:tcW w:type="dxa" w:w="2160"/>
          </w:tcPr>
          <w:p>
            <w:r>
              <w:t>Claim Process Understanding</w:t>
            </w:r>
          </w:p>
        </w:tc>
        <w:tc>
          <w:tcPr>
            <w:tcW w:type="dxa" w:w="2160"/>
          </w:tcPr>
          <w:p>
            <w:r>
              <w:t>-0.154</w:t>
            </w:r>
          </w:p>
        </w:tc>
        <w:tc>
          <w:tcPr>
            <w:tcW w:type="dxa" w:w="2160"/>
          </w:tcPr>
          <w:p>
            <w:r>
              <w:t>0.0000</w:t>
            </w:r>
          </w:p>
        </w:tc>
        <w:tc>
          <w:tcPr>
            <w:tcW w:type="dxa" w:w="2160"/>
          </w:tcPr>
          <w:p>
            <w:r>
              <w:t>1928</w:t>
            </w:r>
          </w:p>
        </w:tc>
      </w:tr>
    </w:tbl>
    <w:p>
      <w:r>
        <w:rPr>
          <w:i/>
        </w:rPr>
        <w:t>[VISUAL PENDING: part5_drivers.png — Child Wellbeing Drivers (Spearman Correlation)]</w:t>
      </w:r>
    </w:p>
    <w:p>
      <w:pPr>
        <w:pStyle w:val="Heading2"/>
      </w:pPr>
      <w:r>
        <w:t>Healthcare Access and Medical Cost</w:t>
      </w:r>
    </w:p>
    <w:p>
      <w:r>
        <w:t>Regarding healthcare access, 15.8% of clients who needed care (n=1672) reported improved access. This indicates a modest positive impact on the ability of clients to obtain necessary medical services. Furthermore, among claimants who incurred medical costs (n=926), a significant 54.0% reported that their medical costs decreased after making a claim. This finding highlights the insurance program's role in mitigating the financial burden of healthcare expenses for beneficiaries, directly contributing to financial resilience.</w:t>
      </w:r>
    </w:p>
    <w:p>
      <w:r>
        <w:rPr>
          <w:i/>
        </w:rPr>
        <w:t>[VISUAL PENDING: part5_healthcare.png — Healthcare Access and Medical Cost Impact]</w:t>
      </w:r>
    </w:p>
    <w:p>
      <w:pPr>
        <w:pStyle w:val="Heading3"/>
      </w:pPr>
      <w:r>
        <w:t>Key Insight</w:t>
      </w:r>
    </w:p>
    <w:p>
      <w:r>
        <w:t>The CWB score of 35.0% suggests room for improvement, with financial stress being a significant barrier. The counter-intuitive negative correlations between positive client experiences (like renewal intent, coverage understanding, and perceived value) and CWB warrant deeper investigation. It is crucial to understand if these correlations reflect underlying complexities in client perception, program design, or external factors. While the program effectively reduced medical costs for 54.0% of claimants, the modest 15.8% improvement in healthcare access indicates a need to explore how insurance translates into tangible access to services. Future qualitative research, including client verbatims, will be essential to uncover the nuances behind these quantitative findings and inform targeted interventions to enhance child wellbeing outcomes.</w:t>
      </w:r>
    </w:p>
    <w:p>
      <w:r>
        <w:br w:type="page"/>
      </w:r>
    </w:p>
    <w:p>
      <w:pPr>
        <w:pStyle w:val="Heading1"/>
      </w:pPr>
      <w:r>
        <w:t>Part 6: Claimant vs. Non-Claimant Outcomes</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rPr>
              <w:t>Metric</w:t>
            </w:r>
          </w:p>
        </w:tc>
        <w:tc>
          <w:tcPr>
            <w:tcW w:type="dxa" w:w="2160"/>
          </w:tcPr>
          <w:p>
            <w:r>
              <w:rPr>
                <w:b/>
              </w:rPr>
              <w:t>Claimant</w:t>
            </w:r>
          </w:p>
        </w:tc>
        <w:tc>
          <w:tcPr>
            <w:tcW w:type="dxa" w:w="2160"/>
          </w:tcPr>
          <w:p>
            <w:r>
              <w:rPr>
                <w:b/>
              </w:rPr>
              <w:t>Non-Claimant</w:t>
            </w:r>
          </w:p>
        </w:tc>
        <w:tc>
          <w:tcPr>
            <w:tcW w:type="dxa" w:w="2160"/>
          </w:tcPr>
          <w:p>
            <w:r>
              <w:rPr>
                <w:b/>
              </w:rPr>
              <w:t>Sig.*</w:t>
            </w:r>
          </w:p>
        </w:tc>
      </w:tr>
      <w:tr>
        <w:tc>
          <w:tcPr>
            <w:tcW w:type="dxa" w:w="2160"/>
          </w:tcPr>
          <w:p>
            <w:r>
              <w:t>Coverage Understanding</w:t>
            </w:r>
          </w:p>
        </w:tc>
        <w:tc>
          <w:tcPr>
            <w:tcW w:type="dxa" w:w="2160"/>
          </w:tcPr>
          <w:p>
            <w:r>
              <w:t>94.8%</w:t>
            </w:r>
          </w:p>
        </w:tc>
        <w:tc>
          <w:tcPr>
            <w:tcW w:type="dxa" w:w="2160"/>
          </w:tcPr>
          <w:p>
            <w:r>
              <w:t>61.9%</w:t>
            </w:r>
          </w:p>
        </w:tc>
        <w:tc>
          <w:tcPr>
            <w:tcW w:type="dxa" w:w="2160"/>
          </w:tcPr>
          <w:p>
            <w:r>
              <w:t>*</w:t>
            </w:r>
          </w:p>
        </w:tc>
      </w:tr>
      <w:tr>
        <w:tc>
          <w:tcPr>
            <w:tcW w:type="dxa" w:w="2160"/>
          </w:tcPr>
          <w:p>
            <w:r>
              <w:t>Claim Process Understanding</w:t>
            </w:r>
          </w:p>
        </w:tc>
        <w:tc>
          <w:tcPr>
            <w:tcW w:type="dxa" w:w="2160"/>
          </w:tcPr>
          <w:p>
            <w:r>
              <w:t>90.2%</w:t>
            </w:r>
          </w:p>
        </w:tc>
        <w:tc>
          <w:tcPr>
            <w:tcW w:type="dxa" w:w="2160"/>
          </w:tcPr>
          <w:p>
            <w:r>
              <w:t>49.0%</w:t>
            </w:r>
          </w:p>
        </w:tc>
        <w:tc>
          <w:tcPr>
            <w:tcW w:type="dxa" w:w="2160"/>
          </w:tcPr>
          <w:p>
            <w:r>
              <w:t>*</w:t>
            </w:r>
          </w:p>
        </w:tc>
      </w:tr>
      <w:tr>
        <w:tc>
          <w:tcPr>
            <w:tcW w:type="dxa" w:w="2160"/>
          </w:tcPr>
          <w:p>
            <w:r>
              <w:t>Worth Premium</w:t>
            </w:r>
          </w:p>
        </w:tc>
        <w:tc>
          <w:tcPr>
            <w:tcW w:type="dxa" w:w="2160"/>
          </w:tcPr>
          <w:p>
            <w:r>
              <w:t>85.6%</w:t>
            </w:r>
          </w:p>
        </w:tc>
        <w:tc>
          <w:tcPr>
            <w:tcW w:type="dxa" w:w="2160"/>
          </w:tcPr>
          <w:p>
            <w:r>
              <w:t>87.1%</w:t>
            </w:r>
          </w:p>
        </w:tc>
        <w:tc>
          <w:tcPr>
            <w:tcW w:type="dxa" w:w="2160"/>
          </w:tcPr>
          <w:p>
            <w:r/>
          </w:p>
        </w:tc>
      </w:tr>
      <w:tr>
        <w:tc>
          <w:tcPr>
            <w:tcW w:type="dxa" w:w="2160"/>
          </w:tcPr>
          <w:p>
            <w:r>
              <w:t>Renewal Intent</w:t>
            </w:r>
          </w:p>
        </w:tc>
        <w:tc>
          <w:tcPr>
            <w:tcW w:type="dxa" w:w="2160"/>
          </w:tcPr>
          <w:p>
            <w:r>
              <w:t>SUPPRESSED</w:t>
            </w:r>
          </w:p>
        </w:tc>
        <w:tc>
          <w:tcPr>
            <w:tcW w:type="dxa" w:w="2160"/>
          </w:tcPr>
          <w:p>
            <w:r>
              <w:t>SUPPRESSED</w:t>
            </w:r>
          </w:p>
        </w:tc>
        <w:tc>
          <w:tcPr>
            <w:tcW w:type="dxa" w:w="2160"/>
          </w:tcPr>
          <w:p>
            <w:r/>
          </w:p>
        </w:tc>
      </w:tr>
      <w:tr>
        <w:tc>
          <w:tcPr>
            <w:tcW w:type="dxa" w:w="2160"/>
          </w:tcPr>
          <w:p>
            <w:r>
              <w:t>Negative Coping (↓ better)</w:t>
            </w:r>
          </w:p>
        </w:tc>
        <w:tc>
          <w:tcPr>
            <w:tcW w:type="dxa" w:w="2160"/>
          </w:tcPr>
          <w:p>
            <w:r>
              <w:t>11.8%</w:t>
            </w:r>
          </w:p>
        </w:tc>
        <w:tc>
          <w:tcPr>
            <w:tcW w:type="dxa" w:w="2160"/>
          </w:tcPr>
          <w:p>
            <w:r>
              <w:t>26.2%</w:t>
            </w:r>
          </w:p>
        </w:tc>
        <w:tc>
          <w:tcPr>
            <w:tcW w:type="dxa" w:w="2160"/>
          </w:tcPr>
          <w:p>
            <w:r>
              <w:t>*</w:t>
            </w:r>
          </w:p>
        </w:tc>
      </w:tr>
      <w:tr>
        <w:tc>
          <w:tcPr>
            <w:tcW w:type="dxa" w:w="2160"/>
          </w:tcPr>
          <w:p>
            <w:r>
              <w:t>High Financial Stress (↓ better)</w:t>
            </w:r>
          </w:p>
        </w:tc>
        <w:tc>
          <w:tcPr>
            <w:tcW w:type="dxa" w:w="2160"/>
          </w:tcPr>
          <w:p>
            <w:r>
              <w:t>5.2%</w:t>
            </w:r>
          </w:p>
        </w:tc>
        <w:tc>
          <w:tcPr>
            <w:tcW w:type="dxa" w:w="2160"/>
          </w:tcPr>
          <w:p>
            <w:r>
              <w:t>1.9%</w:t>
            </w:r>
          </w:p>
        </w:tc>
        <w:tc>
          <w:tcPr>
            <w:tcW w:type="dxa" w:w="2160"/>
          </w:tcPr>
          <w:p>
            <w:r/>
          </w:p>
        </w:tc>
      </w:tr>
      <w:tr>
        <w:tc>
          <w:tcPr>
            <w:tcW w:type="dxa" w:w="2160"/>
          </w:tcPr>
          <w:p>
            <w:r>
              <w:t>Confidence in Next Premium Payment</w:t>
            </w:r>
          </w:p>
        </w:tc>
        <w:tc>
          <w:tcPr>
            <w:tcW w:type="dxa" w:w="2160"/>
          </w:tcPr>
          <w:p>
            <w:r>
              <w:t>86.3%</w:t>
            </w:r>
          </w:p>
        </w:tc>
        <w:tc>
          <w:tcPr>
            <w:tcW w:type="dxa" w:w="2160"/>
          </w:tcPr>
          <w:p>
            <w:r>
              <w:t>83.8%</w:t>
            </w:r>
          </w:p>
        </w:tc>
        <w:tc>
          <w:tcPr>
            <w:tcW w:type="dxa" w:w="2160"/>
          </w:tcPr>
          <w:p>
            <w:r/>
          </w:p>
        </w:tc>
      </w:tr>
    </w:tbl>
    <w:p>
      <w:r>
        <w:t>* p &lt; 0.05 (chi-squared or Fisher's exact test)</w:t>
      </w:r>
    </w:p>
    <w:p>
      <w:r>
        <w:rPr>
          <w:i/>
        </w:rPr>
        <w:t>[VISUAL PENDING: part6_scorecard.png — Key Metrics: Claimants vs. Non-Claimants]</w:t>
      </w:r>
    </w:p>
    <w:p>
      <w:pPr>
        <w:pStyle w:val="Heading2"/>
      </w:pPr>
      <w:r>
        <w:t>Findings</w:t>
      </w:r>
    </w:p>
    <w:p>
      <w:r>
        <w:t>Analysis of client outcomes revealed marked differences between claimants and non-claimants. Claimants demonstrated a substantially higher understanding of their insurance coverage (94.8% compared to 61.9%) and the claim process (90.2% versus 49.0%), with these differences being highly meaningful (p=0.0000). Furthermore, claimants reported significantly less reliance on negative coping strategies (11.8% versus 26.2%, p=0.0007). No meaningful differences were observed regarding premium worth, high financial stress, or confidence in future payments. Data for renewal intent was suppressed due to small sample size.</w:t>
      </w:r>
    </w:p>
    <w:p>
      <w:pPr>
        <w:pStyle w:val="Heading3"/>
      </w:pPr>
      <w:r>
        <w:t>Key Insight</w:t>
      </w:r>
    </w:p>
    <w:p>
      <w:r>
        <w:t>The significant disparities in understanding and coping mechanisms underscore the transformative role of the claims experience. Clients who have successfully navigated a claim process gain profound clarity on their insurance benefits and operational procedures, which is crucial for building trust and long-term engagement. The substantial reduction in negative coping strategies among claimants indicates that insurance effectively mitigates financial shocks, preventing vulnerable households from resorting to detrimental measures. While the direct financial stress levels did not show a meaningful difference, the improved understanding and reduced negative coping suggest a stronger sense of security and preparedness. This highlights the importance of efficient claim processing as a critical driver of client education and resilience, reinforcing the value proposition of microinsurance.</w:t>
      </w:r>
    </w:p>
    <w:p>
      <w:r>
        <w:br w:type="page"/>
      </w:r>
    </w:p>
    <w:p>
      <w:pPr>
        <w:pStyle w:val="Heading1"/>
      </w:pPr>
      <w:r>
        <w:t>Part 7: Gender Analysis</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rPr>
              <w:t>Metric</w:t>
            </w:r>
          </w:p>
        </w:tc>
        <w:tc>
          <w:tcPr>
            <w:tcW w:type="dxa" w:w="2160"/>
          </w:tcPr>
          <w:p>
            <w:r>
              <w:rPr>
                <w:b/>
              </w:rPr>
              <w:t>Female</w:t>
            </w:r>
          </w:p>
        </w:tc>
        <w:tc>
          <w:tcPr>
            <w:tcW w:type="dxa" w:w="2160"/>
          </w:tcPr>
          <w:p>
            <w:r>
              <w:rPr>
                <w:b/>
              </w:rPr>
              <w:t>Male</w:t>
            </w:r>
          </w:p>
        </w:tc>
        <w:tc>
          <w:tcPr>
            <w:tcW w:type="dxa" w:w="2160"/>
          </w:tcPr>
          <w:p>
            <w:r>
              <w:rPr>
                <w:b/>
              </w:rPr>
              <w:t>Sig.*</w:t>
            </w:r>
          </w:p>
        </w:tc>
      </w:tr>
      <w:tr>
        <w:tc>
          <w:tcPr>
            <w:tcW w:type="dxa" w:w="2160"/>
          </w:tcPr>
          <w:p>
            <w:r>
              <w:t>Coverage Understanding</w:t>
            </w:r>
          </w:p>
        </w:tc>
        <w:tc>
          <w:tcPr>
            <w:tcW w:type="dxa" w:w="2160"/>
          </w:tcPr>
          <w:p>
            <w:r>
              <w:t>75.5%</w:t>
            </w:r>
          </w:p>
        </w:tc>
        <w:tc>
          <w:tcPr>
            <w:tcW w:type="dxa" w:w="2160"/>
          </w:tcPr>
          <w:p>
            <w:r>
              <w:t>79.4%</w:t>
            </w:r>
          </w:p>
        </w:tc>
        <w:tc>
          <w:tcPr>
            <w:tcW w:type="dxa" w:w="2160"/>
          </w:tcPr>
          <w:p>
            <w:r/>
          </w:p>
        </w:tc>
      </w:tr>
      <w:tr>
        <w:tc>
          <w:tcPr>
            <w:tcW w:type="dxa" w:w="2160"/>
          </w:tcPr>
          <w:p>
            <w:r>
              <w:t>Claim Process Understanding</w:t>
            </w:r>
          </w:p>
        </w:tc>
        <w:tc>
          <w:tcPr>
            <w:tcW w:type="dxa" w:w="2160"/>
          </w:tcPr>
          <w:p>
            <w:r>
              <w:t>67.9%</w:t>
            </w:r>
          </w:p>
        </w:tc>
        <w:tc>
          <w:tcPr>
            <w:tcW w:type="dxa" w:w="2160"/>
          </w:tcPr>
          <w:p>
            <w:r>
              <w:t>68.9%</w:t>
            </w:r>
          </w:p>
        </w:tc>
        <w:tc>
          <w:tcPr>
            <w:tcW w:type="dxa" w:w="2160"/>
          </w:tcPr>
          <w:p>
            <w:r/>
          </w:p>
        </w:tc>
      </w:tr>
      <w:tr>
        <w:tc>
          <w:tcPr>
            <w:tcW w:type="dxa" w:w="2160"/>
          </w:tcPr>
          <w:p>
            <w:r>
              <w:t>Worth Premium</w:t>
            </w:r>
          </w:p>
        </w:tc>
        <w:tc>
          <w:tcPr>
            <w:tcW w:type="dxa" w:w="2160"/>
          </w:tcPr>
          <w:p>
            <w:r>
              <w:t>88.9%</w:t>
            </w:r>
          </w:p>
        </w:tc>
        <w:tc>
          <w:tcPr>
            <w:tcW w:type="dxa" w:w="2160"/>
          </w:tcPr>
          <w:p>
            <w:r>
              <w:t>90.8%</w:t>
            </w:r>
          </w:p>
        </w:tc>
        <w:tc>
          <w:tcPr>
            <w:tcW w:type="dxa" w:w="2160"/>
          </w:tcPr>
          <w:p>
            <w:r/>
          </w:p>
        </w:tc>
      </w:tr>
      <w:tr>
        <w:tc>
          <w:tcPr>
            <w:tcW w:type="dxa" w:w="2160"/>
          </w:tcPr>
          <w:p>
            <w:r>
              <w:t>Renewal Intent</w:t>
            </w:r>
          </w:p>
        </w:tc>
        <w:tc>
          <w:tcPr>
            <w:tcW w:type="dxa" w:w="2160"/>
          </w:tcPr>
          <w:p>
            <w:r>
              <w:t>57.9%</w:t>
            </w:r>
          </w:p>
        </w:tc>
        <w:tc>
          <w:tcPr>
            <w:tcW w:type="dxa" w:w="2160"/>
          </w:tcPr>
          <w:p>
            <w:r>
              <w:t>SUPPRESSED</w:t>
            </w:r>
          </w:p>
        </w:tc>
        <w:tc>
          <w:tcPr>
            <w:tcW w:type="dxa" w:w="2160"/>
          </w:tcPr>
          <w:p>
            <w:r/>
          </w:p>
        </w:tc>
      </w:tr>
      <w:tr>
        <w:tc>
          <w:tcPr>
            <w:tcW w:type="dxa" w:w="2160"/>
          </w:tcPr>
          <w:p>
            <w:r>
              <w:t>Negative Coping (↓ better)</w:t>
            </w:r>
          </w:p>
        </w:tc>
        <w:tc>
          <w:tcPr>
            <w:tcW w:type="dxa" w:w="2160"/>
          </w:tcPr>
          <w:p>
            <w:r>
              <w:t>17.9%</w:t>
            </w:r>
          </w:p>
        </w:tc>
        <w:tc>
          <w:tcPr>
            <w:tcW w:type="dxa" w:w="2160"/>
          </w:tcPr>
          <w:p>
            <w:r>
              <w:t>24.8%</w:t>
            </w:r>
          </w:p>
        </w:tc>
        <w:tc>
          <w:tcPr>
            <w:tcW w:type="dxa" w:w="2160"/>
          </w:tcPr>
          <w:p>
            <w:r/>
          </w:p>
        </w:tc>
      </w:tr>
      <w:tr>
        <w:tc>
          <w:tcPr>
            <w:tcW w:type="dxa" w:w="2160"/>
          </w:tcPr>
          <w:p>
            <w:r>
              <w:t>Child Wellbeing Improved</w:t>
            </w:r>
          </w:p>
        </w:tc>
        <w:tc>
          <w:tcPr>
            <w:tcW w:type="dxa" w:w="2160"/>
          </w:tcPr>
          <w:p>
            <w:r>
              <w:t>34.7%</w:t>
            </w:r>
          </w:p>
        </w:tc>
        <w:tc>
          <w:tcPr>
            <w:tcW w:type="dxa" w:w="2160"/>
          </w:tcPr>
          <w:p>
            <w:r>
              <w:t>35.9%</w:t>
            </w:r>
          </w:p>
        </w:tc>
        <w:tc>
          <w:tcPr>
            <w:tcW w:type="dxa" w:w="2160"/>
          </w:tcPr>
          <w:p>
            <w:r/>
          </w:p>
        </w:tc>
      </w:tr>
      <w:tr>
        <w:tc>
          <w:tcPr>
            <w:tcW w:type="dxa" w:w="2160"/>
          </w:tcPr>
          <w:p>
            <w:r>
              <w:t>Confidence in Next Premium Payment</w:t>
            </w:r>
          </w:p>
        </w:tc>
        <w:tc>
          <w:tcPr>
            <w:tcW w:type="dxa" w:w="2160"/>
          </w:tcPr>
          <w:p>
            <w:r>
              <w:t>87.1%</w:t>
            </w:r>
          </w:p>
        </w:tc>
        <w:tc>
          <w:tcPr>
            <w:tcW w:type="dxa" w:w="2160"/>
          </w:tcPr>
          <w:p>
            <w:r>
              <w:t>89.4%</w:t>
            </w:r>
          </w:p>
        </w:tc>
        <w:tc>
          <w:tcPr>
            <w:tcW w:type="dxa" w:w="2160"/>
          </w:tcPr>
          <w:p>
            <w:r/>
          </w:p>
        </w:tc>
      </w:tr>
    </w:tbl>
    <w:p>
      <w:r>
        <w:t>* p &lt; 0.05 (chi-squared or Fisher's exact test)</w:t>
      </w:r>
    </w:p>
    <w:p>
      <w:r>
        <w:rPr>
          <w:i/>
        </w:rPr>
        <w:t>[VISUAL PENDING: part7_scorecard.png — Key Metrics by Gender]</w:t>
      </w:r>
    </w:p>
    <w:p>
      <w:pPr>
        <w:pStyle w:val="Heading2"/>
      </w:pPr>
      <w:r>
        <w:t>Findings</w:t>
      </w:r>
    </w:p>
    <w:p>
      <w:r>
        <w:t>The gender analysis revealed no statistically significant differences in key impact metrics between female and male clients at the p &lt; 0.05 threshold. For instance, coverage understanding was 75.5% for women and 79.4% for men (p=0.0611), and both groups showed similar understanding of the claim process. While men reported a higher incidence of negative coping strategies at 24.8% compared to 17.9% for women, this difference did not meet the significance threshold (p=0.1253). Data for male renewal intent was suppressed due to small sample size. Despite the larger female sample (n≈1,518 vs male n≈586), these findings suggest a largely equitable experience across genders in most areas.</w:t>
      </w:r>
    </w:p>
    <w:p>
      <w:pPr>
        <w:pStyle w:val="Heading3"/>
      </w:pPr>
      <w:r>
        <w:t>Key Insight</w:t>
      </w:r>
    </w:p>
    <w:p>
      <w:r>
        <w:t>The absence of statistically significant gender disparities across most measured indicators is an encouraging finding, suggesting that the insurance program is largely reaching and serving both women and men equitably in Vietnam. This indicates that current program design may not require immediate gender-specific adjustments based on these quantitative metrics alone. However, the observed difference in negative coping strategies, where men reported higher rates (24.8% vs 17.9%), warrants further qualitative exploration, even though it did not meet the p &lt; 0.05 significance threshold. Understanding the underlying reasons for this trend could inform targeted support. Future monitoring should continue to track these metrics, especially as the male client base potentially grows, to ensure continued equitable impact and identify any emerging gender-specific needs or barriers.</w:t>
      </w:r>
    </w:p>
    <w:p>
      <w:r>
        <w:br w:type="page"/>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