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4990B" w14:textId="55F5DA90" w:rsidR="00D448C1" w:rsidRPr="00142B7A" w:rsidRDefault="00D448C1" w:rsidP="006C4E4D">
      <w:pPr>
        <w:ind w:left="720" w:hanging="720"/>
        <w:rPr>
          <w:rFonts w:ascii="Times New Roman" w:hAnsi="Times New Roman"/>
          <w:sz w:val="32"/>
          <w:szCs w:val="32"/>
        </w:rPr>
      </w:pPr>
      <w:r w:rsidRPr="00142B7A">
        <w:rPr>
          <w:rFonts w:ascii="Times New Roman" w:hAnsi="Times New Roman"/>
          <w:sz w:val="32"/>
          <w:szCs w:val="32"/>
        </w:rPr>
        <w:t xml:space="preserve">Finance I – Econ 233 </w:t>
      </w:r>
    </w:p>
    <w:p w14:paraId="556FF06B" w14:textId="77777777" w:rsidR="00D448C1" w:rsidRPr="00142B7A" w:rsidRDefault="00D448C1" w:rsidP="006C4E4D">
      <w:pPr>
        <w:ind w:left="720" w:hanging="720"/>
        <w:rPr>
          <w:rFonts w:ascii="Times New Roman" w:hAnsi="Times New Roman"/>
          <w:sz w:val="32"/>
          <w:szCs w:val="32"/>
        </w:rPr>
      </w:pPr>
    </w:p>
    <w:p w14:paraId="42672644" w14:textId="77777777" w:rsidR="00D448C1" w:rsidRPr="00142B7A" w:rsidRDefault="00D448C1" w:rsidP="006C4E4D">
      <w:pPr>
        <w:ind w:left="720" w:hanging="720"/>
        <w:rPr>
          <w:rFonts w:ascii="Times New Roman" w:hAnsi="Times New Roman"/>
          <w:sz w:val="32"/>
          <w:szCs w:val="32"/>
        </w:rPr>
      </w:pPr>
    </w:p>
    <w:p w14:paraId="0A33E00A" w14:textId="77777777" w:rsidR="00D448C1" w:rsidRPr="00142B7A" w:rsidRDefault="00D448C1" w:rsidP="006C4E4D">
      <w:pPr>
        <w:ind w:left="720" w:hanging="720"/>
        <w:rPr>
          <w:rFonts w:ascii="Times New Roman" w:hAnsi="Times New Roman"/>
          <w:color w:val="FF0000"/>
        </w:rPr>
      </w:pPr>
      <w:r w:rsidRPr="00142B7A">
        <w:rPr>
          <w:rFonts w:ascii="Times New Roman" w:hAnsi="Times New Roman"/>
          <w:color w:val="FF0000"/>
        </w:rPr>
        <w:t>Data Case 1</w:t>
      </w:r>
    </w:p>
    <w:p w14:paraId="0326913D" w14:textId="77777777" w:rsidR="00D448C1" w:rsidRPr="00142B7A" w:rsidRDefault="00D448C1" w:rsidP="006C4E4D">
      <w:pPr>
        <w:ind w:left="720" w:hanging="720"/>
        <w:rPr>
          <w:rFonts w:ascii="Times New Roman" w:hAnsi="Times New Roman"/>
          <w:sz w:val="32"/>
          <w:szCs w:val="32"/>
        </w:rPr>
      </w:pPr>
    </w:p>
    <w:p w14:paraId="799E8E13" w14:textId="77777777" w:rsidR="00D448C1" w:rsidRPr="00142B7A" w:rsidRDefault="00D448C1" w:rsidP="006C4E4D">
      <w:pPr>
        <w:ind w:left="720" w:hanging="720"/>
        <w:rPr>
          <w:rFonts w:ascii="Times New Roman" w:hAnsi="Times New Roman"/>
          <w:sz w:val="32"/>
          <w:szCs w:val="32"/>
        </w:rPr>
      </w:pPr>
    </w:p>
    <w:p w14:paraId="4FDD9397" w14:textId="77777777" w:rsidR="00D448C1" w:rsidRPr="00142B7A" w:rsidRDefault="00D448C1" w:rsidP="00330D7E">
      <w:pPr>
        <w:rPr>
          <w:rFonts w:ascii="Times New Roman" w:hAnsi="Times New Roman"/>
          <w:sz w:val="16"/>
          <w:szCs w:val="16"/>
        </w:rPr>
      </w:pPr>
    </w:p>
    <w:p w14:paraId="0273E093" w14:textId="77777777" w:rsidR="00D448C1" w:rsidRPr="00142B7A" w:rsidRDefault="00D448C1" w:rsidP="006C4E4D">
      <w:pPr>
        <w:ind w:left="720" w:hanging="720"/>
        <w:rPr>
          <w:rFonts w:ascii="Times New Roman" w:hAnsi="Times New Roman"/>
        </w:rPr>
      </w:pPr>
      <w:r w:rsidRPr="00142B7A">
        <w:rPr>
          <w:rFonts w:ascii="Times New Roman" w:hAnsi="Times New Roman"/>
        </w:rPr>
        <w:t>Tuncay Dogan</w:t>
      </w:r>
    </w:p>
    <w:p w14:paraId="327B1D47" w14:textId="77777777" w:rsidR="00D448C1" w:rsidRDefault="00D448C1" w:rsidP="006C4E4D">
      <w:pPr>
        <w:ind w:left="720" w:hanging="720"/>
      </w:pPr>
    </w:p>
    <w:p w14:paraId="381EF746" w14:textId="77777777" w:rsidR="00D448C1" w:rsidRDefault="00D448C1" w:rsidP="006C4E4D">
      <w:pPr>
        <w:ind w:left="720" w:hanging="720"/>
      </w:pPr>
    </w:p>
    <w:p w14:paraId="1701180A" w14:textId="77777777" w:rsidR="00D448C1" w:rsidRDefault="00D448C1" w:rsidP="006C4E4D">
      <w:pPr>
        <w:ind w:left="720" w:hanging="720"/>
      </w:pPr>
    </w:p>
    <w:p w14:paraId="200408C8" w14:textId="77777777" w:rsidR="00D448C1" w:rsidRDefault="00D448C1" w:rsidP="006C4E4D">
      <w:pPr>
        <w:ind w:left="720" w:hanging="720"/>
      </w:pPr>
    </w:p>
    <w:p w14:paraId="55D1AFA1" w14:textId="77777777" w:rsidR="00D448C1" w:rsidRDefault="00D448C1" w:rsidP="006C4E4D">
      <w:pPr>
        <w:ind w:left="720" w:hanging="720"/>
      </w:pPr>
    </w:p>
    <w:p w14:paraId="684B9E8F" w14:textId="77777777" w:rsidR="00D448C1" w:rsidRDefault="00D448C1" w:rsidP="006C4E4D">
      <w:pPr>
        <w:ind w:left="720" w:hanging="720"/>
      </w:pPr>
    </w:p>
    <w:p w14:paraId="380EC371" w14:textId="77777777" w:rsidR="00D448C1" w:rsidRDefault="00D448C1" w:rsidP="006C4E4D">
      <w:pPr>
        <w:ind w:left="720" w:hanging="720"/>
      </w:pPr>
    </w:p>
    <w:p w14:paraId="296CAAAE" w14:textId="77777777" w:rsidR="00D448C1" w:rsidRDefault="00D448C1" w:rsidP="006C4E4D">
      <w:pPr>
        <w:ind w:left="720" w:hanging="720"/>
      </w:pPr>
    </w:p>
    <w:p w14:paraId="48DCACE0" w14:textId="77777777" w:rsidR="00D448C1" w:rsidRDefault="00D448C1" w:rsidP="006C4E4D">
      <w:pPr>
        <w:ind w:left="720" w:hanging="720"/>
      </w:pPr>
    </w:p>
    <w:p w14:paraId="54E0FB25" w14:textId="77777777" w:rsidR="00D448C1" w:rsidRDefault="00D448C1" w:rsidP="006C4E4D">
      <w:pPr>
        <w:ind w:left="720" w:hanging="720"/>
      </w:pPr>
    </w:p>
    <w:p w14:paraId="560F9840" w14:textId="77777777" w:rsidR="00D448C1" w:rsidRDefault="00D448C1" w:rsidP="006C4E4D">
      <w:pPr>
        <w:ind w:left="720" w:hanging="720"/>
      </w:pPr>
    </w:p>
    <w:p w14:paraId="2F50B8FA" w14:textId="77777777" w:rsidR="00D448C1" w:rsidRDefault="00D448C1" w:rsidP="006C4E4D">
      <w:pPr>
        <w:ind w:left="720" w:hanging="720"/>
      </w:pPr>
    </w:p>
    <w:p w14:paraId="46D50D9C" w14:textId="77777777" w:rsidR="00D448C1" w:rsidRDefault="00D448C1" w:rsidP="006C4E4D">
      <w:pPr>
        <w:ind w:left="720" w:hanging="720"/>
      </w:pPr>
    </w:p>
    <w:p w14:paraId="7677FBC0" w14:textId="5C917204" w:rsidR="00D448C1" w:rsidRDefault="00D448C1" w:rsidP="006C4E4D">
      <w:pPr>
        <w:ind w:left="720" w:hanging="720"/>
      </w:pPr>
    </w:p>
    <w:p w14:paraId="52CFF498" w14:textId="77777777" w:rsidR="006432A0" w:rsidRDefault="006432A0" w:rsidP="006C4E4D">
      <w:pPr>
        <w:ind w:left="720" w:hanging="720"/>
      </w:pPr>
      <w:bookmarkStart w:id="0" w:name="_GoBack"/>
      <w:bookmarkEnd w:id="0"/>
    </w:p>
    <w:p w14:paraId="7401EC08" w14:textId="77777777" w:rsidR="00D448C1" w:rsidRDefault="00D448C1" w:rsidP="006C4E4D">
      <w:pPr>
        <w:ind w:left="720" w:hanging="720"/>
      </w:pPr>
    </w:p>
    <w:p w14:paraId="08C8F5B5" w14:textId="77777777" w:rsidR="00D448C1" w:rsidRDefault="00D448C1" w:rsidP="006C4E4D">
      <w:pPr>
        <w:ind w:left="720" w:hanging="720"/>
      </w:pPr>
    </w:p>
    <w:p w14:paraId="2086CB8A" w14:textId="77777777" w:rsidR="00D448C1" w:rsidRDefault="00D448C1" w:rsidP="006C4E4D">
      <w:pPr>
        <w:ind w:left="720" w:hanging="720"/>
      </w:pPr>
    </w:p>
    <w:p w14:paraId="6E3B3C1B" w14:textId="77777777" w:rsidR="00D448C1" w:rsidRDefault="00D448C1" w:rsidP="006C4E4D">
      <w:pPr>
        <w:ind w:left="720" w:hanging="720"/>
      </w:pPr>
    </w:p>
    <w:p w14:paraId="717DC2E1" w14:textId="77777777" w:rsidR="00D448C1" w:rsidRDefault="00D448C1" w:rsidP="006C4E4D">
      <w:pPr>
        <w:ind w:left="720" w:hanging="720"/>
      </w:pPr>
    </w:p>
    <w:p w14:paraId="00AA2150" w14:textId="77777777" w:rsidR="00D448C1" w:rsidRDefault="00D448C1" w:rsidP="006C4E4D">
      <w:pPr>
        <w:ind w:left="720" w:hanging="720"/>
      </w:pPr>
    </w:p>
    <w:p w14:paraId="19CC9903" w14:textId="77777777" w:rsidR="00D448C1" w:rsidRDefault="00D448C1" w:rsidP="006C4E4D">
      <w:pPr>
        <w:ind w:left="720" w:hanging="720"/>
      </w:pPr>
    </w:p>
    <w:p w14:paraId="5916BC3D" w14:textId="77777777" w:rsidR="00D448C1" w:rsidRDefault="00D448C1" w:rsidP="006C4E4D">
      <w:pPr>
        <w:ind w:left="720" w:hanging="720"/>
      </w:pPr>
    </w:p>
    <w:p w14:paraId="584065AF" w14:textId="77777777" w:rsidR="00D448C1" w:rsidRDefault="00D448C1" w:rsidP="006C4E4D">
      <w:pPr>
        <w:ind w:left="720" w:hanging="720"/>
      </w:pPr>
    </w:p>
    <w:p w14:paraId="3989D3ED" w14:textId="77777777" w:rsidR="00D448C1" w:rsidRDefault="00D448C1" w:rsidP="006C4E4D">
      <w:pPr>
        <w:ind w:left="720" w:hanging="720"/>
      </w:pPr>
    </w:p>
    <w:p w14:paraId="7793ED68" w14:textId="77777777" w:rsidR="00D448C1" w:rsidRDefault="00D448C1" w:rsidP="006C4E4D">
      <w:pPr>
        <w:ind w:left="720" w:hanging="720"/>
      </w:pPr>
    </w:p>
    <w:p w14:paraId="0107A579" w14:textId="77777777" w:rsidR="00D448C1" w:rsidRDefault="00D448C1" w:rsidP="006C4E4D">
      <w:pPr>
        <w:ind w:left="720" w:hanging="720"/>
      </w:pPr>
    </w:p>
    <w:p w14:paraId="1D63BBA5" w14:textId="77777777" w:rsidR="00D448C1" w:rsidRDefault="00D448C1" w:rsidP="006C4E4D">
      <w:pPr>
        <w:ind w:left="720" w:hanging="720"/>
      </w:pPr>
    </w:p>
    <w:p w14:paraId="1622749F" w14:textId="77777777" w:rsidR="00D448C1" w:rsidRDefault="00D448C1" w:rsidP="006C4E4D">
      <w:pPr>
        <w:ind w:left="720" w:hanging="720"/>
      </w:pPr>
    </w:p>
    <w:p w14:paraId="42E0C846" w14:textId="77777777" w:rsidR="00D448C1" w:rsidRDefault="00D448C1" w:rsidP="006C4E4D">
      <w:pPr>
        <w:ind w:left="720" w:hanging="720"/>
      </w:pPr>
    </w:p>
    <w:p w14:paraId="446FF2B8" w14:textId="77777777" w:rsidR="00D448C1" w:rsidRDefault="00D448C1" w:rsidP="006C4E4D">
      <w:pPr>
        <w:ind w:left="720" w:hanging="720"/>
      </w:pPr>
    </w:p>
    <w:p w14:paraId="15BF515E" w14:textId="77777777" w:rsidR="00D448C1" w:rsidRDefault="00D448C1" w:rsidP="006C4E4D">
      <w:pPr>
        <w:ind w:left="720" w:hanging="720"/>
      </w:pPr>
    </w:p>
    <w:p w14:paraId="67A1326D" w14:textId="77777777" w:rsidR="00D448C1" w:rsidRDefault="00D448C1" w:rsidP="006C4E4D">
      <w:pPr>
        <w:ind w:left="720" w:hanging="720"/>
      </w:pPr>
    </w:p>
    <w:p w14:paraId="2E18710A" w14:textId="77777777" w:rsidR="00D448C1" w:rsidRDefault="00D448C1" w:rsidP="006C4E4D">
      <w:pPr>
        <w:ind w:left="720" w:hanging="720"/>
      </w:pPr>
    </w:p>
    <w:p w14:paraId="7AB5669E" w14:textId="77777777" w:rsidR="00D448C1" w:rsidRDefault="00D448C1" w:rsidP="0049705B"/>
    <w:p w14:paraId="1C2EC15F" w14:textId="77777777" w:rsidR="00D448C1" w:rsidRDefault="00D448C1" w:rsidP="006C4E4D">
      <w:pPr>
        <w:ind w:left="720" w:hanging="720"/>
      </w:pPr>
      <w:r>
        <w:lastRenderedPageBreak/>
        <w:t>1.</w:t>
      </w:r>
      <w:r>
        <w:tab/>
        <w:t>The annualized standard deviation for the S&amp;P 500 is 29.11% when daily data is used. On the other hand, the annualized standard deviation for the S&amp;P 500 is 21.01% when monthly data is used. The difference is large, and reflects the fact that we have less information when using monthly data.</w:t>
      </w:r>
    </w:p>
    <w:p w14:paraId="48BD2AA9" w14:textId="77777777" w:rsidR="00D448C1" w:rsidRDefault="00D448C1" w:rsidP="006C4E4D">
      <w:pPr>
        <w:ind w:left="720"/>
      </w:pPr>
    </w:p>
    <w:p w14:paraId="1C1A645F" w14:textId="77777777" w:rsidR="00D448C1" w:rsidRDefault="00D448C1" w:rsidP="004B0912">
      <w:pPr>
        <w:ind w:left="720"/>
      </w:pPr>
      <w:r>
        <w:t xml:space="preserve">With daily data, the </w:t>
      </w:r>
      <w:r w:rsidRPr="00CA7DC9">
        <w:t xml:space="preserve">annualized arithmetic return for the S&amp;P 500 is 3.40% and the annualized geometric return is </w:t>
      </w:r>
      <w:r w:rsidRPr="00CA7DC9">
        <w:rPr>
          <w:b/>
        </w:rPr>
        <w:t>-</w:t>
      </w:r>
      <w:r w:rsidRPr="00CA7DC9">
        <w:t xml:space="preserve">0.82%. With monthly data, the annualized </w:t>
      </w:r>
      <w:r>
        <w:t xml:space="preserve">arithmetic </w:t>
      </w:r>
      <w:r w:rsidRPr="00CA7DC9">
        <w:t xml:space="preserve">return for the S&amp;P 500 is 3.04% and the annualized geometric return is </w:t>
      </w:r>
      <w:r w:rsidRPr="00CA7DC9">
        <w:rPr>
          <w:b/>
        </w:rPr>
        <w:t>+</w:t>
      </w:r>
      <w:r w:rsidRPr="00CA7DC9">
        <w:t>0.82%.</w:t>
      </w:r>
    </w:p>
    <w:p w14:paraId="3B895539" w14:textId="77777777" w:rsidR="00D448C1" w:rsidRDefault="00D448C1"/>
    <w:p w14:paraId="1E9734D7" w14:textId="77777777" w:rsidR="00D448C1" w:rsidRDefault="00D448C1">
      <w:r>
        <w:t>2.</w:t>
      </w:r>
      <w:r>
        <w:tab/>
        <w:t>The optimal risky-portfolio using the Markowitz model and excess return is:</w:t>
      </w:r>
    </w:p>
    <w:p w14:paraId="29D2DA5F" w14:textId="77777777" w:rsidR="00D448C1" w:rsidRDefault="00D448C1"/>
    <w:p w14:paraId="1910462E" w14:textId="77777777" w:rsidR="00D448C1" w:rsidRDefault="00D448C1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A4149B">
        <w:rPr>
          <w:b/>
        </w:rPr>
        <w:t>NO</w:t>
      </w:r>
      <w:r w:rsidRPr="003C0834">
        <w:rPr>
          <w:b/>
        </w:rPr>
        <w:t xml:space="preserve"> shorting</w:t>
      </w:r>
      <w:r>
        <w:tab/>
      </w:r>
      <w:r>
        <w:tab/>
      </w:r>
      <w:r w:rsidR="00A4149B">
        <w:rPr>
          <w:b/>
        </w:rPr>
        <w:t xml:space="preserve">YES </w:t>
      </w:r>
      <w:r w:rsidRPr="003C0834">
        <w:rPr>
          <w:b/>
        </w:rPr>
        <w:t>shorting</w:t>
      </w:r>
    </w:p>
    <w:p w14:paraId="20611A1F" w14:textId="77777777" w:rsidR="00D448C1" w:rsidRDefault="00D448C1"/>
    <w:p w14:paraId="4833CEB5" w14:textId="77777777" w:rsidR="00D448C1" w:rsidRDefault="00D448C1">
      <w:r>
        <w:tab/>
      </w:r>
      <w:r>
        <w:tab/>
        <w:t>S&amp;P 500:</w:t>
      </w:r>
      <w:r>
        <w:tab/>
      </w:r>
      <w:r>
        <w:tab/>
        <w:t>69.93%</w:t>
      </w:r>
      <w:r>
        <w:tab/>
      </w:r>
      <w:r>
        <w:tab/>
        <w:t>79.42%</w:t>
      </w:r>
    </w:p>
    <w:p w14:paraId="068DDF7B" w14:textId="77777777" w:rsidR="00D448C1" w:rsidRDefault="00D448C1">
      <w:r>
        <w:tab/>
      </w:r>
      <w:r>
        <w:tab/>
        <w:t>Google:</w:t>
      </w:r>
      <w:r>
        <w:tab/>
      </w:r>
      <w:r>
        <w:tab/>
        <w:t>3.99%</w:t>
      </w:r>
      <w:r>
        <w:tab/>
      </w:r>
      <w:r>
        <w:tab/>
      </w:r>
      <w:r>
        <w:tab/>
        <w:t>7.65%</w:t>
      </w:r>
    </w:p>
    <w:p w14:paraId="0BC3307A" w14:textId="77777777" w:rsidR="00D448C1" w:rsidRDefault="00D448C1">
      <w:r>
        <w:tab/>
      </w:r>
      <w:r>
        <w:tab/>
        <w:t>Apple:</w:t>
      </w:r>
      <w:r>
        <w:tab/>
      </w:r>
      <w:r>
        <w:tab/>
      </w:r>
      <w:r>
        <w:tab/>
        <w:t>0.00%</w:t>
      </w:r>
      <w:r>
        <w:tab/>
      </w:r>
      <w:r>
        <w:tab/>
      </w:r>
      <w:r>
        <w:tab/>
        <w:t>-10.58%</w:t>
      </w:r>
    </w:p>
    <w:p w14:paraId="5A277409" w14:textId="77777777" w:rsidR="00D448C1" w:rsidRDefault="00D448C1">
      <w:r>
        <w:tab/>
      </w:r>
      <w:r>
        <w:tab/>
        <w:t>Exxon Mobile:</w:t>
      </w:r>
      <w:r>
        <w:tab/>
        <w:t>16.57%</w:t>
      </w:r>
      <w:r>
        <w:tab/>
      </w:r>
      <w:r>
        <w:tab/>
        <w:t>14.61%</w:t>
      </w:r>
    </w:p>
    <w:p w14:paraId="369B748E" w14:textId="77777777" w:rsidR="00D448C1" w:rsidRDefault="00D448C1">
      <w:r>
        <w:tab/>
      </w:r>
      <w:r>
        <w:tab/>
        <w:t>Walmart:</w:t>
      </w:r>
      <w:r>
        <w:tab/>
      </w:r>
      <w:r>
        <w:tab/>
        <w:t>9.51%</w:t>
      </w:r>
      <w:r>
        <w:tab/>
      </w:r>
      <w:r>
        <w:tab/>
      </w:r>
      <w:r>
        <w:tab/>
        <w:t>8.90%</w:t>
      </w:r>
    </w:p>
    <w:p w14:paraId="04D34C06" w14:textId="77777777" w:rsidR="00D448C1" w:rsidRDefault="00D448C1"/>
    <w:p w14:paraId="39182CE4" w14:textId="77777777" w:rsidR="00D448C1" w:rsidRDefault="00D448C1">
      <w:r>
        <w:tab/>
      </w:r>
      <w:r>
        <w:tab/>
        <w:t>Sharpe Ratio:</w:t>
      </w:r>
      <w:r>
        <w:tab/>
      </w:r>
      <w:r>
        <w:tab/>
        <w:t>0.1783</w:t>
      </w:r>
      <w:r>
        <w:tab/>
      </w:r>
      <w:r>
        <w:tab/>
      </w:r>
      <w:r>
        <w:tab/>
        <w:t>0.1794</w:t>
      </w:r>
    </w:p>
    <w:p w14:paraId="6F7EEED5" w14:textId="77777777" w:rsidR="00D448C1" w:rsidRDefault="00D448C1"/>
    <w:p w14:paraId="739D5092" w14:textId="77777777" w:rsidR="00D448C1" w:rsidRDefault="00D448C1" w:rsidP="006C4E4D">
      <w:pPr>
        <w:ind w:left="720"/>
      </w:pPr>
      <w:r>
        <w:t xml:space="preserve">We note that all of our assets have a high positive correlation with the S&amp;P 500. Thus, we will invest mostly in the S&amp;P 500 because it has the highest </w:t>
      </w:r>
      <w:proofErr w:type="spellStart"/>
      <w:r>
        <w:t>sharpe</w:t>
      </w:r>
      <w:proofErr w:type="spellEnd"/>
      <w:r>
        <w:t xml:space="preserve"> ratio. If we allow short selling we see that we short Apple. This is because Google dominates Apple and they both are equally correlated with the S&amp;P 500.</w:t>
      </w:r>
    </w:p>
    <w:p w14:paraId="7528E028" w14:textId="77777777" w:rsidR="00D448C1" w:rsidRDefault="00D448C1"/>
    <w:p w14:paraId="3C2C46C2" w14:textId="77777777" w:rsidR="00D448C1" w:rsidRDefault="00D448C1">
      <w:r>
        <w:t>3.</w:t>
      </w:r>
      <w:r>
        <w:tab/>
        <w:t>The optimal risky-portfolio using the index model and the total return:</w:t>
      </w:r>
    </w:p>
    <w:p w14:paraId="09A34D6E" w14:textId="77777777" w:rsidR="00D448C1" w:rsidRDefault="00D448C1"/>
    <w:p w14:paraId="58DE3D57" w14:textId="77777777" w:rsidR="00D448C1" w:rsidRDefault="00D448C1" w:rsidP="00581A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A4149B">
        <w:rPr>
          <w:b/>
        </w:rPr>
        <w:t>NO</w:t>
      </w:r>
      <w:r w:rsidRPr="003C0834">
        <w:rPr>
          <w:b/>
        </w:rPr>
        <w:t xml:space="preserve"> shorting</w:t>
      </w:r>
      <w:r>
        <w:tab/>
      </w:r>
      <w:r>
        <w:tab/>
      </w:r>
      <w:r w:rsidR="00A4149B">
        <w:rPr>
          <w:b/>
        </w:rPr>
        <w:t xml:space="preserve">YES </w:t>
      </w:r>
      <w:r w:rsidRPr="003C0834">
        <w:rPr>
          <w:b/>
        </w:rPr>
        <w:t>shorting</w:t>
      </w:r>
    </w:p>
    <w:p w14:paraId="60E41E47" w14:textId="77777777" w:rsidR="00D448C1" w:rsidRDefault="00D448C1"/>
    <w:p w14:paraId="2A6A644F" w14:textId="77777777" w:rsidR="00D448C1" w:rsidRDefault="00D448C1" w:rsidP="00581A8E">
      <w:r>
        <w:tab/>
      </w:r>
      <w:r>
        <w:tab/>
        <w:t>S&amp;P 500:</w:t>
      </w:r>
      <w:r>
        <w:tab/>
      </w:r>
      <w:r>
        <w:tab/>
        <w:t>70.81%</w:t>
      </w:r>
      <w:r>
        <w:tab/>
      </w:r>
      <w:r>
        <w:tab/>
        <w:t>80.55%</w:t>
      </w:r>
    </w:p>
    <w:p w14:paraId="4E96EE5C" w14:textId="77777777" w:rsidR="00D448C1" w:rsidRDefault="00D448C1" w:rsidP="00581A8E">
      <w:r>
        <w:tab/>
      </w:r>
      <w:r>
        <w:tab/>
        <w:t>Google:</w:t>
      </w:r>
      <w:r>
        <w:tab/>
      </w:r>
      <w:r>
        <w:tab/>
        <w:t>2.67%</w:t>
      </w:r>
      <w:r>
        <w:tab/>
      </w:r>
      <w:r>
        <w:tab/>
      </w:r>
      <w:r>
        <w:tab/>
        <w:t>2.69%</w:t>
      </w:r>
    </w:p>
    <w:p w14:paraId="0F431A17" w14:textId="77777777" w:rsidR="00D448C1" w:rsidRDefault="00D448C1" w:rsidP="00581A8E">
      <w:r>
        <w:tab/>
      </w:r>
      <w:r>
        <w:tab/>
        <w:t>Apple:</w:t>
      </w:r>
      <w:r>
        <w:tab/>
      </w:r>
      <w:r>
        <w:tab/>
      </w:r>
      <w:r>
        <w:tab/>
        <w:t>0.00%</w:t>
      </w:r>
      <w:r>
        <w:tab/>
      </w:r>
      <w:r>
        <w:tab/>
      </w:r>
      <w:r>
        <w:tab/>
        <w:t>-9.91%</w:t>
      </w:r>
    </w:p>
    <w:p w14:paraId="1C4C8F97" w14:textId="77777777" w:rsidR="00D448C1" w:rsidRDefault="00D448C1" w:rsidP="00581A8E">
      <w:r>
        <w:tab/>
      </w:r>
      <w:r>
        <w:tab/>
        <w:t>Exxon Mobile:</w:t>
      </w:r>
      <w:r>
        <w:tab/>
        <w:t>16.28%</w:t>
      </w:r>
      <w:r>
        <w:tab/>
      </w:r>
      <w:r>
        <w:tab/>
        <w:t>16.37%</w:t>
      </w:r>
    </w:p>
    <w:p w14:paraId="402D6647" w14:textId="77777777" w:rsidR="00D448C1" w:rsidRDefault="00D448C1" w:rsidP="00581A8E">
      <w:r>
        <w:tab/>
      </w:r>
      <w:r>
        <w:tab/>
        <w:t>Walmart:</w:t>
      </w:r>
      <w:r>
        <w:tab/>
      </w:r>
      <w:r>
        <w:tab/>
        <w:t>10.24%</w:t>
      </w:r>
      <w:r>
        <w:tab/>
      </w:r>
      <w:r>
        <w:tab/>
        <w:t>10.30%</w:t>
      </w:r>
    </w:p>
    <w:p w14:paraId="28B98424" w14:textId="77777777" w:rsidR="00D448C1" w:rsidRDefault="00D448C1"/>
    <w:p w14:paraId="700F2474" w14:textId="77777777" w:rsidR="00D448C1" w:rsidRDefault="00D448C1" w:rsidP="00925D1A">
      <w:pPr>
        <w:ind w:left="720"/>
      </w:pPr>
      <w:r>
        <w:t>In order to do this we needed: (1) the beta of each asset, which we obtained using a linear regression of each asset with the S&amp;P 500 and (2) the firm-specific risk, which we obtained by squaring the standard error of the residuals for each asset. Then, using the observed variance of the market (S&amp;P 500) and the above two values, we calculated the covariance matrix.</w:t>
      </w:r>
    </w:p>
    <w:p w14:paraId="0FF66C02" w14:textId="77777777" w:rsidR="00D448C1" w:rsidRDefault="00D448C1"/>
    <w:p w14:paraId="7B9A318F" w14:textId="77777777" w:rsidR="00D448C1" w:rsidRDefault="00D448C1" w:rsidP="008B6F65">
      <w:pPr>
        <w:ind w:left="720" w:hanging="720"/>
      </w:pPr>
      <w:r>
        <w:lastRenderedPageBreak/>
        <w:t>4.</w:t>
      </w:r>
      <w:r>
        <w:tab/>
        <w:t>Calculated variance (e.g. Google: 15.03% annualized) is an approximation of observed variance (e.g. Google: 15.02% annualized) and stems from assumptions about returns provided by the single factor model.</w:t>
      </w:r>
    </w:p>
    <w:p w14:paraId="656C3AED" w14:textId="77777777" w:rsidR="00D448C1" w:rsidRDefault="00D448C1" w:rsidP="008B6F65">
      <w:pPr>
        <w:ind w:left="720" w:hanging="720"/>
      </w:pPr>
    </w:p>
    <w:p w14:paraId="041D793B" w14:textId="77777777" w:rsidR="00D448C1" w:rsidRDefault="00D448C1" w:rsidP="008B6F65">
      <w:pPr>
        <w:ind w:left="720" w:hanging="720"/>
      </w:pPr>
      <w:r>
        <w:t>5/6.</w:t>
      </w:r>
      <w:r>
        <w:tab/>
        <w:t xml:space="preserve">The optimal risky-portfolio using the Treynor-Black model and excess returns is: </w:t>
      </w:r>
    </w:p>
    <w:p w14:paraId="79C08BD2" w14:textId="77777777" w:rsidR="00D448C1" w:rsidRDefault="00D448C1" w:rsidP="008B6F65">
      <w:pPr>
        <w:ind w:left="720" w:hanging="720"/>
      </w:pPr>
    </w:p>
    <w:p w14:paraId="6AC0EAC0" w14:textId="77777777" w:rsidR="00D448C1" w:rsidRPr="00951720" w:rsidRDefault="00D448C1" w:rsidP="00F8314C">
      <w:pPr>
        <w:rPr>
          <w:b/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 w:rsidR="00A4149B" w:rsidRPr="00A4149B">
        <w:rPr>
          <w:b/>
        </w:rPr>
        <w:t>(α≠0)</w:t>
      </w:r>
      <w:r w:rsidRPr="00951720">
        <w:rPr>
          <w:lang w:val="pt-BR"/>
        </w:rPr>
        <w:tab/>
      </w:r>
      <w:r w:rsidR="00A4149B">
        <w:rPr>
          <w:lang w:val="pt-BR"/>
        </w:rPr>
        <w:tab/>
      </w:r>
      <w:r w:rsidR="00A4149B">
        <w:rPr>
          <w:lang w:val="pt-BR"/>
        </w:rPr>
        <w:tab/>
      </w:r>
      <w:r w:rsidR="00A4149B" w:rsidRPr="00A4149B">
        <w:rPr>
          <w:b/>
        </w:rPr>
        <w:t>(α=0)</w:t>
      </w:r>
    </w:p>
    <w:p w14:paraId="05FAC482" w14:textId="77777777" w:rsidR="00D448C1" w:rsidRPr="00951720" w:rsidRDefault="00D448C1" w:rsidP="00EB39DC">
      <w:pPr>
        <w:rPr>
          <w:lang w:val="pt-BR"/>
        </w:rPr>
      </w:pPr>
      <w:r w:rsidRPr="00951720">
        <w:rPr>
          <w:lang w:val="pt-BR"/>
        </w:rPr>
        <w:tab/>
      </w:r>
      <w:r w:rsidRPr="00951720">
        <w:rPr>
          <w:lang w:val="pt-BR"/>
        </w:rPr>
        <w:tab/>
      </w:r>
      <w:r w:rsidRPr="00951720">
        <w:rPr>
          <w:lang w:val="pt-BR"/>
        </w:rPr>
        <w:tab/>
      </w:r>
      <w:r w:rsidRPr="00951720">
        <w:rPr>
          <w:lang w:val="pt-BR"/>
        </w:rPr>
        <w:tab/>
      </w:r>
      <w:r w:rsidRPr="00951720">
        <w:rPr>
          <w:lang w:val="pt-BR"/>
        </w:rPr>
        <w:tab/>
      </w:r>
    </w:p>
    <w:p w14:paraId="00517344" w14:textId="77777777" w:rsidR="00D448C1" w:rsidRDefault="00D448C1" w:rsidP="00EB39DC">
      <w:r w:rsidRPr="00951720">
        <w:rPr>
          <w:lang w:val="pt-BR"/>
        </w:rPr>
        <w:tab/>
      </w:r>
      <w:r w:rsidRPr="00951720">
        <w:rPr>
          <w:lang w:val="pt-BR"/>
        </w:rPr>
        <w:tab/>
      </w:r>
      <w:r>
        <w:t>S&amp;P 500:</w:t>
      </w:r>
      <w:r>
        <w:tab/>
      </w:r>
      <w:r>
        <w:tab/>
        <w:t>97.20%</w:t>
      </w:r>
      <w:r>
        <w:tab/>
      </w:r>
      <w:r>
        <w:tab/>
        <w:t>100%</w:t>
      </w:r>
    </w:p>
    <w:p w14:paraId="4FBFA87B" w14:textId="77777777" w:rsidR="00D448C1" w:rsidRDefault="00D448C1" w:rsidP="00EB39DC">
      <w:r>
        <w:tab/>
      </w:r>
      <w:r>
        <w:tab/>
        <w:t>Google:</w:t>
      </w:r>
      <w:r>
        <w:tab/>
      </w:r>
      <w:r>
        <w:tab/>
        <w:t>-0.27%</w:t>
      </w:r>
      <w:r>
        <w:tab/>
      </w:r>
      <w:r>
        <w:tab/>
        <w:t>0.00%</w:t>
      </w:r>
    </w:p>
    <w:p w14:paraId="06AF5A0B" w14:textId="77777777" w:rsidR="00D448C1" w:rsidRDefault="00D448C1" w:rsidP="00EB39DC">
      <w:r>
        <w:tab/>
      </w:r>
      <w:r>
        <w:tab/>
        <w:t>Apple:</w:t>
      </w:r>
      <w:r>
        <w:tab/>
      </w:r>
      <w:r>
        <w:tab/>
      </w:r>
      <w:r>
        <w:tab/>
        <w:t>1.51%</w:t>
      </w:r>
      <w:r>
        <w:tab/>
      </w:r>
      <w:r>
        <w:tab/>
      </w:r>
      <w:r>
        <w:tab/>
        <w:t>0.00%</w:t>
      </w:r>
    </w:p>
    <w:p w14:paraId="101E1451" w14:textId="77777777" w:rsidR="00D448C1" w:rsidRDefault="00D448C1" w:rsidP="00550F05">
      <w:r>
        <w:tab/>
      </w:r>
      <w:r>
        <w:tab/>
        <w:t>Exxon Mobile:</w:t>
      </w:r>
      <w:r>
        <w:tab/>
        <w:t>0.26%</w:t>
      </w:r>
      <w:r>
        <w:tab/>
      </w:r>
      <w:r>
        <w:tab/>
      </w:r>
      <w:r>
        <w:tab/>
        <w:t>0.00%</w:t>
      </w:r>
    </w:p>
    <w:p w14:paraId="6CFE235E" w14:textId="77777777" w:rsidR="00D448C1" w:rsidRDefault="00D448C1" w:rsidP="00550F05">
      <w:r>
        <w:tab/>
      </w:r>
      <w:r>
        <w:tab/>
        <w:t>Walmart:</w:t>
      </w:r>
      <w:r>
        <w:tab/>
      </w:r>
      <w:r>
        <w:tab/>
        <w:t>1.30%</w:t>
      </w:r>
      <w:r>
        <w:tab/>
      </w:r>
      <w:r>
        <w:tab/>
      </w:r>
      <w:r>
        <w:tab/>
        <w:t>0.00%</w:t>
      </w:r>
    </w:p>
    <w:p w14:paraId="6C9FB2F9" w14:textId="77777777" w:rsidR="00D448C1" w:rsidRDefault="00D448C1" w:rsidP="00F8314C"/>
    <w:p w14:paraId="45A1F4F7" w14:textId="77777777" w:rsidR="00D448C1" w:rsidRDefault="00D448C1" w:rsidP="00BF1634">
      <w:pPr>
        <w:ind w:left="720"/>
      </w:pPr>
      <w:r>
        <w:t>In this model short selling and buying on margin is dictated by the value of alpha. Thus, the only asset we short sell is Google since it has a slightly negative alpha value.</w:t>
      </w:r>
    </w:p>
    <w:p w14:paraId="713F80F8" w14:textId="77777777" w:rsidR="00D448C1" w:rsidRDefault="00D448C1" w:rsidP="00BF1634">
      <w:pPr>
        <w:ind w:left="720"/>
      </w:pPr>
    </w:p>
    <w:p w14:paraId="2C4390BF" w14:textId="77777777" w:rsidR="00D448C1" w:rsidRDefault="00D448C1" w:rsidP="00BF1634">
      <w:pPr>
        <w:ind w:left="720"/>
      </w:pPr>
      <w:r>
        <w:t>When the alpha values are all zero the optimal risky-portfolio becomes the market (S&amp;P 500).</w:t>
      </w:r>
    </w:p>
    <w:p w14:paraId="3714C388" w14:textId="77777777" w:rsidR="00D448C1" w:rsidRDefault="00D448C1" w:rsidP="00BF1634"/>
    <w:p w14:paraId="329E1192" w14:textId="77777777" w:rsidR="00D448C1" w:rsidRDefault="00D448C1" w:rsidP="00C36CD5">
      <w:pPr>
        <w:ind w:left="720" w:hanging="720"/>
      </w:pPr>
      <w:r>
        <w:t>7.</w:t>
      </w:r>
      <w:r>
        <w:tab/>
      </w:r>
      <w:r w:rsidR="00C36CD5">
        <w:t xml:space="preserve">We see that the expected returns, standard </w:t>
      </w:r>
      <w:r w:rsidR="00A4149B">
        <w:t>deviations, and S</w:t>
      </w:r>
      <w:r w:rsidR="00C36CD5">
        <w:t xml:space="preserve">harpe ratios across the first three </w:t>
      </w:r>
      <w:r w:rsidR="00A4149B">
        <w:t xml:space="preserve">portfolios are all very similar. </w:t>
      </w:r>
    </w:p>
    <w:p w14:paraId="7514EDB8" w14:textId="77777777" w:rsidR="00D0136C" w:rsidRDefault="00D0136C" w:rsidP="00C36CD5">
      <w:pPr>
        <w:ind w:left="720" w:hanging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254"/>
        <w:gridCol w:w="1254"/>
        <w:gridCol w:w="1254"/>
        <w:gridCol w:w="1254"/>
        <w:gridCol w:w="1255"/>
        <w:gridCol w:w="1255"/>
      </w:tblGrid>
      <w:tr w:rsidR="00E73575" w14:paraId="7C5D7528" w14:textId="77777777" w:rsidTr="00E73575">
        <w:trPr>
          <w:jc w:val="center"/>
        </w:trPr>
        <w:tc>
          <w:tcPr>
            <w:tcW w:w="1254" w:type="dxa"/>
            <w:shd w:val="clear" w:color="auto" w:fill="auto"/>
          </w:tcPr>
          <w:p w14:paraId="3EF0AA53" w14:textId="77777777" w:rsidR="00D0136C" w:rsidRDefault="00D0136C" w:rsidP="00E73575">
            <w:pPr>
              <w:jc w:val="center"/>
            </w:pPr>
          </w:p>
        </w:tc>
        <w:tc>
          <w:tcPr>
            <w:tcW w:w="1254" w:type="dxa"/>
            <w:shd w:val="clear" w:color="auto" w:fill="auto"/>
          </w:tcPr>
          <w:p w14:paraId="31C2FD02" w14:textId="77777777" w:rsidR="00D0136C" w:rsidRDefault="00D0136C" w:rsidP="00E73575">
            <w:pPr>
              <w:jc w:val="center"/>
            </w:pPr>
            <w:r>
              <w:t>Expected Returns</w:t>
            </w:r>
          </w:p>
        </w:tc>
        <w:tc>
          <w:tcPr>
            <w:tcW w:w="1254" w:type="dxa"/>
            <w:shd w:val="clear" w:color="auto" w:fill="auto"/>
          </w:tcPr>
          <w:p w14:paraId="2070FAD0" w14:textId="77777777" w:rsidR="00D0136C" w:rsidRDefault="00D0136C" w:rsidP="00E73575">
            <w:pPr>
              <w:jc w:val="center"/>
            </w:pPr>
            <w:r>
              <w:t>S&amp;P500</w:t>
            </w:r>
          </w:p>
        </w:tc>
        <w:tc>
          <w:tcPr>
            <w:tcW w:w="1254" w:type="dxa"/>
            <w:shd w:val="clear" w:color="auto" w:fill="auto"/>
          </w:tcPr>
          <w:p w14:paraId="2952C32C" w14:textId="77777777" w:rsidR="00D0136C" w:rsidRDefault="00D0136C" w:rsidP="00E73575">
            <w:pPr>
              <w:jc w:val="center"/>
            </w:pPr>
            <w:r>
              <w:t>Google</w:t>
            </w:r>
          </w:p>
        </w:tc>
        <w:tc>
          <w:tcPr>
            <w:tcW w:w="1254" w:type="dxa"/>
            <w:shd w:val="clear" w:color="auto" w:fill="auto"/>
          </w:tcPr>
          <w:p w14:paraId="67163F01" w14:textId="77777777" w:rsidR="00D0136C" w:rsidRDefault="00D0136C" w:rsidP="00E73575">
            <w:pPr>
              <w:jc w:val="center"/>
            </w:pPr>
            <w:r>
              <w:t>Apple</w:t>
            </w:r>
          </w:p>
        </w:tc>
        <w:tc>
          <w:tcPr>
            <w:tcW w:w="1255" w:type="dxa"/>
            <w:shd w:val="clear" w:color="auto" w:fill="auto"/>
          </w:tcPr>
          <w:p w14:paraId="5B7C0944" w14:textId="77777777" w:rsidR="00D0136C" w:rsidRDefault="00D0136C" w:rsidP="00E73575">
            <w:pPr>
              <w:jc w:val="center"/>
            </w:pPr>
            <w:r>
              <w:t>Exxon Mobil</w:t>
            </w:r>
          </w:p>
        </w:tc>
        <w:tc>
          <w:tcPr>
            <w:tcW w:w="1255" w:type="dxa"/>
            <w:shd w:val="clear" w:color="auto" w:fill="auto"/>
          </w:tcPr>
          <w:p w14:paraId="407C51DD" w14:textId="77777777" w:rsidR="00D0136C" w:rsidRDefault="00D0136C" w:rsidP="00E73575">
            <w:pPr>
              <w:jc w:val="center"/>
            </w:pPr>
            <w:r>
              <w:t>Walmart</w:t>
            </w:r>
          </w:p>
        </w:tc>
      </w:tr>
      <w:tr w:rsidR="00E73575" w14:paraId="57E55627" w14:textId="77777777" w:rsidTr="00E73575">
        <w:trPr>
          <w:jc w:val="center"/>
        </w:trPr>
        <w:tc>
          <w:tcPr>
            <w:tcW w:w="1254" w:type="dxa"/>
            <w:shd w:val="clear" w:color="auto" w:fill="auto"/>
          </w:tcPr>
          <w:p w14:paraId="2864729F" w14:textId="77777777" w:rsidR="00D0136C" w:rsidRDefault="00D0136C" w:rsidP="00E73575">
            <w:pPr>
              <w:jc w:val="center"/>
            </w:pPr>
            <w:r>
              <w:t>Markowitz</w:t>
            </w:r>
          </w:p>
        </w:tc>
        <w:tc>
          <w:tcPr>
            <w:tcW w:w="1254" w:type="dxa"/>
            <w:shd w:val="clear" w:color="auto" w:fill="auto"/>
          </w:tcPr>
          <w:p w14:paraId="308E179A" w14:textId="77777777" w:rsidR="00D0136C" w:rsidRDefault="001415FC" w:rsidP="00E73575">
            <w:pPr>
              <w:jc w:val="center"/>
            </w:pPr>
            <w:r>
              <w:t>5.23%</w:t>
            </w:r>
          </w:p>
        </w:tc>
        <w:tc>
          <w:tcPr>
            <w:tcW w:w="1254" w:type="dxa"/>
            <w:shd w:val="clear" w:color="auto" w:fill="auto"/>
          </w:tcPr>
          <w:p w14:paraId="562C409E" w14:textId="77777777" w:rsidR="00D0136C" w:rsidRDefault="001415FC" w:rsidP="00E73575">
            <w:pPr>
              <w:jc w:val="center"/>
            </w:pPr>
            <w:r>
              <w:t>79.42%</w:t>
            </w:r>
          </w:p>
        </w:tc>
        <w:tc>
          <w:tcPr>
            <w:tcW w:w="1254" w:type="dxa"/>
            <w:shd w:val="clear" w:color="auto" w:fill="auto"/>
          </w:tcPr>
          <w:p w14:paraId="7AB7C6C9" w14:textId="77777777" w:rsidR="00D0136C" w:rsidRDefault="001415FC" w:rsidP="00E73575">
            <w:pPr>
              <w:jc w:val="center"/>
            </w:pPr>
            <w:r>
              <w:t>7.65%</w:t>
            </w:r>
          </w:p>
        </w:tc>
        <w:tc>
          <w:tcPr>
            <w:tcW w:w="1254" w:type="dxa"/>
            <w:shd w:val="clear" w:color="auto" w:fill="auto"/>
          </w:tcPr>
          <w:p w14:paraId="7752019B" w14:textId="77777777" w:rsidR="00D0136C" w:rsidRDefault="001415FC" w:rsidP="00E73575">
            <w:pPr>
              <w:jc w:val="center"/>
            </w:pPr>
            <w:r>
              <w:t>-10.58%</w:t>
            </w:r>
          </w:p>
        </w:tc>
        <w:tc>
          <w:tcPr>
            <w:tcW w:w="1255" w:type="dxa"/>
            <w:shd w:val="clear" w:color="auto" w:fill="auto"/>
          </w:tcPr>
          <w:p w14:paraId="2014896D" w14:textId="77777777" w:rsidR="00D0136C" w:rsidRDefault="001415FC" w:rsidP="00E73575">
            <w:pPr>
              <w:jc w:val="center"/>
            </w:pPr>
            <w:r>
              <w:t>14.61%</w:t>
            </w:r>
          </w:p>
        </w:tc>
        <w:tc>
          <w:tcPr>
            <w:tcW w:w="1255" w:type="dxa"/>
            <w:shd w:val="clear" w:color="auto" w:fill="auto"/>
          </w:tcPr>
          <w:p w14:paraId="4EE8E6A6" w14:textId="77777777" w:rsidR="00D0136C" w:rsidRDefault="001415FC" w:rsidP="00E73575">
            <w:pPr>
              <w:jc w:val="center"/>
            </w:pPr>
            <w:r>
              <w:t>8.90%</w:t>
            </w:r>
          </w:p>
        </w:tc>
      </w:tr>
      <w:tr w:rsidR="00E73575" w14:paraId="05D537F7" w14:textId="77777777" w:rsidTr="00E73575">
        <w:trPr>
          <w:jc w:val="center"/>
        </w:trPr>
        <w:tc>
          <w:tcPr>
            <w:tcW w:w="1254" w:type="dxa"/>
            <w:shd w:val="clear" w:color="auto" w:fill="auto"/>
          </w:tcPr>
          <w:p w14:paraId="14270CEF" w14:textId="77777777" w:rsidR="00D0136C" w:rsidRDefault="001415FC" w:rsidP="00E73575">
            <w:pPr>
              <w:jc w:val="center"/>
            </w:pPr>
            <w:r>
              <w:t>Index</w:t>
            </w:r>
          </w:p>
        </w:tc>
        <w:tc>
          <w:tcPr>
            <w:tcW w:w="1254" w:type="dxa"/>
            <w:shd w:val="clear" w:color="auto" w:fill="auto"/>
          </w:tcPr>
          <w:p w14:paraId="3927DC7B" w14:textId="77777777" w:rsidR="00D0136C" w:rsidRDefault="001415FC" w:rsidP="00E73575">
            <w:pPr>
              <w:jc w:val="center"/>
            </w:pPr>
            <w:r>
              <w:t>5.22%</w:t>
            </w:r>
          </w:p>
        </w:tc>
        <w:tc>
          <w:tcPr>
            <w:tcW w:w="1254" w:type="dxa"/>
            <w:shd w:val="clear" w:color="auto" w:fill="auto"/>
          </w:tcPr>
          <w:p w14:paraId="4942223D" w14:textId="77777777" w:rsidR="00D0136C" w:rsidRDefault="001415FC" w:rsidP="00E73575">
            <w:pPr>
              <w:jc w:val="center"/>
            </w:pPr>
            <w:r>
              <w:t>80.55%</w:t>
            </w:r>
          </w:p>
        </w:tc>
        <w:tc>
          <w:tcPr>
            <w:tcW w:w="1254" w:type="dxa"/>
            <w:shd w:val="clear" w:color="auto" w:fill="auto"/>
          </w:tcPr>
          <w:p w14:paraId="092869E9" w14:textId="77777777" w:rsidR="00D0136C" w:rsidRDefault="001415FC" w:rsidP="00E73575">
            <w:pPr>
              <w:jc w:val="center"/>
            </w:pPr>
            <w:r>
              <w:t>2.69%</w:t>
            </w:r>
          </w:p>
        </w:tc>
        <w:tc>
          <w:tcPr>
            <w:tcW w:w="1254" w:type="dxa"/>
            <w:shd w:val="clear" w:color="auto" w:fill="auto"/>
          </w:tcPr>
          <w:p w14:paraId="6E73CAC3" w14:textId="77777777" w:rsidR="00D0136C" w:rsidRDefault="001415FC" w:rsidP="00E73575">
            <w:pPr>
              <w:jc w:val="center"/>
            </w:pPr>
            <w:r>
              <w:t>-9.91%</w:t>
            </w:r>
          </w:p>
        </w:tc>
        <w:tc>
          <w:tcPr>
            <w:tcW w:w="1255" w:type="dxa"/>
            <w:shd w:val="clear" w:color="auto" w:fill="auto"/>
          </w:tcPr>
          <w:p w14:paraId="6B3680BD" w14:textId="77777777" w:rsidR="00D0136C" w:rsidRDefault="001415FC" w:rsidP="00E73575">
            <w:pPr>
              <w:jc w:val="center"/>
            </w:pPr>
            <w:r>
              <w:t>16.37%</w:t>
            </w:r>
          </w:p>
        </w:tc>
        <w:tc>
          <w:tcPr>
            <w:tcW w:w="1255" w:type="dxa"/>
            <w:shd w:val="clear" w:color="auto" w:fill="auto"/>
          </w:tcPr>
          <w:p w14:paraId="24F5D410" w14:textId="77777777" w:rsidR="00D0136C" w:rsidRDefault="001415FC" w:rsidP="00E73575">
            <w:pPr>
              <w:jc w:val="center"/>
            </w:pPr>
            <w:r>
              <w:t>10.30%</w:t>
            </w:r>
          </w:p>
        </w:tc>
      </w:tr>
      <w:tr w:rsidR="00E73575" w14:paraId="6FB22FFD" w14:textId="77777777" w:rsidTr="00E73575">
        <w:trPr>
          <w:jc w:val="center"/>
        </w:trPr>
        <w:tc>
          <w:tcPr>
            <w:tcW w:w="1254" w:type="dxa"/>
            <w:shd w:val="clear" w:color="auto" w:fill="auto"/>
          </w:tcPr>
          <w:p w14:paraId="5FD0C383" w14:textId="77777777" w:rsidR="00D0136C" w:rsidRDefault="001415FC" w:rsidP="00E73575">
            <w:pPr>
              <w:jc w:val="center"/>
            </w:pPr>
            <w:r>
              <w:t>TB (α≠0)</w:t>
            </w:r>
          </w:p>
        </w:tc>
        <w:tc>
          <w:tcPr>
            <w:tcW w:w="1254" w:type="dxa"/>
            <w:shd w:val="clear" w:color="auto" w:fill="auto"/>
          </w:tcPr>
          <w:p w14:paraId="66E96F0D" w14:textId="77777777" w:rsidR="00D0136C" w:rsidRDefault="001415FC" w:rsidP="00E73575">
            <w:pPr>
              <w:jc w:val="center"/>
            </w:pPr>
            <w:r>
              <w:t>5.10%</w:t>
            </w:r>
          </w:p>
        </w:tc>
        <w:tc>
          <w:tcPr>
            <w:tcW w:w="1254" w:type="dxa"/>
            <w:shd w:val="clear" w:color="auto" w:fill="auto"/>
          </w:tcPr>
          <w:p w14:paraId="2456263B" w14:textId="77777777" w:rsidR="00D0136C" w:rsidRDefault="001415FC" w:rsidP="00E73575">
            <w:pPr>
              <w:jc w:val="center"/>
            </w:pPr>
            <w:r>
              <w:t>97.20%</w:t>
            </w:r>
          </w:p>
        </w:tc>
        <w:tc>
          <w:tcPr>
            <w:tcW w:w="1254" w:type="dxa"/>
            <w:shd w:val="clear" w:color="auto" w:fill="auto"/>
          </w:tcPr>
          <w:p w14:paraId="18057D7A" w14:textId="77777777" w:rsidR="00D0136C" w:rsidRDefault="001415FC" w:rsidP="00E73575">
            <w:pPr>
              <w:jc w:val="center"/>
            </w:pPr>
            <w:r>
              <w:t>-0.27%</w:t>
            </w:r>
          </w:p>
        </w:tc>
        <w:tc>
          <w:tcPr>
            <w:tcW w:w="1254" w:type="dxa"/>
            <w:shd w:val="clear" w:color="auto" w:fill="auto"/>
          </w:tcPr>
          <w:p w14:paraId="25AB7535" w14:textId="77777777" w:rsidR="00D0136C" w:rsidRDefault="001415FC" w:rsidP="00E73575">
            <w:pPr>
              <w:jc w:val="center"/>
            </w:pPr>
            <w:r>
              <w:t>1.51%</w:t>
            </w:r>
          </w:p>
        </w:tc>
        <w:tc>
          <w:tcPr>
            <w:tcW w:w="1255" w:type="dxa"/>
            <w:shd w:val="clear" w:color="auto" w:fill="auto"/>
          </w:tcPr>
          <w:p w14:paraId="3DBC3B76" w14:textId="77777777" w:rsidR="00D0136C" w:rsidRDefault="001415FC" w:rsidP="00E73575">
            <w:pPr>
              <w:jc w:val="center"/>
            </w:pPr>
            <w:r>
              <w:t>0.26%</w:t>
            </w:r>
          </w:p>
        </w:tc>
        <w:tc>
          <w:tcPr>
            <w:tcW w:w="1255" w:type="dxa"/>
            <w:shd w:val="clear" w:color="auto" w:fill="auto"/>
          </w:tcPr>
          <w:p w14:paraId="7941E319" w14:textId="77777777" w:rsidR="00D0136C" w:rsidRDefault="001415FC" w:rsidP="00E73575">
            <w:pPr>
              <w:jc w:val="center"/>
            </w:pPr>
            <w:r>
              <w:t>1.30%</w:t>
            </w:r>
          </w:p>
        </w:tc>
      </w:tr>
      <w:tr w:rsidR="00E73575" w14:paraId="08F68666" w14:textId="77777777" w:rsidTr="00E73575">
        <w:trPr>
          <w:jc w:val="center"/>
        </w:trPr>
        <w:tc>
          <w:tcPr>
            <w:tcW w:w="1254" w:type="dxa"/>
            <w:shd w:val="clear" w:color="auto" w:fill="auto"/>
          </w:tcPr>
          <w:p w14:paraId="21E7EB22" w14:textId="77777777" w:rsidR="00D0136C" w:rsidRDefault="001415FC" w:rsidP="00E73575">
            <w:pPr>
              <w:jc w:val="center"/>
            </w:pPr>
            <w:r>
              <w:t>TB (α=0)</w:t>
            </w:r>
          </w:p>
        </w:tc>
        <w:tc>
          <w:tcPr>
            <w:tcW w:w="1254" w:type="dxa"/>
            <w:shd w:val="clear" w:color="auto" w:fill="auto"/>
          </w:tcPr>
          <w:p w14:paraId="59343252" w14:textId="77777777" w:rsidR="00D0136C" w:rsidRDefault="001415FC" w:rsidP="00E73575">
            <w:pPr>
              <w:jc w:val="center"/>
            </w:pPr>
            <w:r>
              <w:t>5.14%</w:t>
            </w:r>
          </w:p>
        </w:tc>
        <w:tc>
          <w:tcPr>
            <w:tcW w:w="1254" w:type="dxa"/>
            <w:shd w:val="clear" w:color="auto" w:fill="auto"/>
          </w:tcPr>
          <w:p w14:paraId="427B4BC1" w14:textId="77777777" w:rsidR="00D0136C" w:rsidRDefault="004D0844" w:rsidP="00E73575">
            <w:pPr>
              <w:jc w:val="center"/>
            </w:pPr>
            <w:r>
              <w:t>10</w:t>
            </w:r>
            <w:r w:rsidR="001415FC">
              <w:t>0%</w:t>
            </w:r>
          </w:p>
        </w:tc>
        <w:tc>
          <w:tcPr>
            <w:tcW w:w="1254" w:type="dxa"/>
            <w:shd w:val="clear" w:color="auto" w:fill="auto"/>
          </w:tcPr>
          <w:p w14:paraId="0F160E66" w14:textId="77777777" w:rsidR="00D0136C" w:rsidRDefault="001415FC" w:rsidP="00E73575">
            <w:pPr>
              <w:jc w:val="center"/>
            </w:pPr>
            <w:r>
              <w:t>0%</w:t>
            </w:r>
          </w:p>
        </w:tc>
        <w:tc>
          <w:tcPr>
            <w:tcW w:w="1254" w:type="dxa"/>
            <w:shd w:val="clear" w:color="auto" w:fill="auto"/>
          </w:tcPr>
          <w:p w14:paraId="5C330604" w14:textId="77777777" w:rsidR="00D0136C" w:rsidRDefault="001415FC" w:rsidP="00E73575">
            <w:pPr>
              <w:jc w:val="center"/>
            </w:pPr>
            <w:r>
              <w:t>0%</w:t>
            </w:r>
          </w:p>
        </w:tc>
        <w:tc>
          <w:tcPr>
            <w:tcW w:w="1255" w:type="dxa"/>
            <w:shd w:val="clear" w:color="auto" w:fill="auto"/>
          </w:tcPr>
          <w:p w14:paraId="2C7AB2AD" w14:textId="77777777" w:rsidR="00D0136C" w:rsidRDefault="001415FC" w:rsidP="00E73575">
            <w:pPr>
              <w:jc w:val="center"/>
            </w:pPr>
            <w:r>
              <w:t>0%</w:t>
            </w:r>
          </w:p>
        </w:tc>
        <w:tc>
          <w:tcPr>
            <w:tcW w:w="1255" w:type="dxa"/>
            <w:shd w:val="clear" w:color="auto" w:fill="auto"/>
          </w:tcPr>
          <w:p w14:paraId="7A256DE9" w14:textId="77777777" w:rsidR="00D0136C" w:rsidRDefault="001415FC" w:rsidP="00E73575">
            <w:pPr>
              <w:jc w:val="center"/>
            </w:pPr>
            <w:r>
              <w:t>0%</w:t>
            </w:r>
          </w:p>
        </w:tc>
      </w:tr>
    </w:tbl>
    <w:p w14:paraId="748EA92E" w14:textId="77777777" w:rsidR="00D0136C" w:rsidRDefault="00D0136C" w:rsidP="00C36CD5">
      <w:pPr>
        <w:ind w:left="720" w:hanging="720"/>
      </w:pPr>
    </w:p>
    <w:p w14:paraId="1FFD3769" w14:textId="77777777" w:rsidR="00D448C1" w:rsidRDefault="00D448C1" w:rsidP="00BF163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2127"/>
        <w:gridCol w:w="2126"/>
      </w:tblGrid>
      <w:tr w:rsidR="00E73575" w14:paraId="63EB0098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5043679F" w14:textId="77777777" w:rsidR="00D0136C" w:rsidRDefault="00D0136C" w:rsidP="004079A0"/>
        </w:tc>
        <w:tc>
          <w:tcPr>
            <w:tcW w:w="2127" w:type="dxa"/>
            <w:shd w:val="clear" w:color="auto" w:fill="auto"/>
          </w:tcPr>
          <w:p w14:paraId="44EB2C9B" w14:textId="77777777" w:rsidR="00D0136C" w:rsidRDefault="00D0136C" w:rsidP="00E73575">
            <w:pPr>
              <w:jc w:val="center"/>
            </w:pPr>
            <w:r>
              <w:t>Standard Deviation</w:t>
            </w:r>
          </w:p>
        </w:tc>
        <w:tc>
          <w:tcPr>
            <w:tcW w:w="2126" w:type="dxa"/>
            <w:shd w:val="clear" w:color="auto" w:fill="auto"/>
          </w:tcPr>
          <w:p w14:paraId="0D1B1B17" w14:textId="77777777" w:rsidR="00D0136C" w:rsidRDefault="00D0136C" w:rsidP="00E73575">
            <w:pPr>
              <w:jc w:val="center"/>
            </w:pPr>
            <w:r>
              <w:t>Sharpe Ratio</w:t>
            </w:r>
          </w:p>
        </w:tc>
      </w:tr>
      <w:tr w:rsidR="00E73575" w14:paraId="496BF886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4982ACBF" w14:textId="77777777" w:rsidR="00D0136C" w:rsidRDefault="00D0136C" w:rsidP="00E73575">
            <w:pPr>
              <w:jc w:val="both"/>
            </w:pPr>
            <w:r>
              <w:t>S&amp;P500</w:t>
            </w:r>
          </w:p>
        </w:tc>
        <w:tc>
          <w:tcPr>
            <w:tcW w:w="2127" w:type="dxa"/>
            <w:shd w:val="clear" w:color="auto" w:fill="auto"/>
          </w:tcPr>
          <w:p w14:paraId="3529F9F2" w14:textId="77777777" w:rsidR="00D0136C" w:rsidRDefault="00116F3F" w:rsidP="00E73575">
            <w:pPr>
              <w:jc w:val="center"/>
            </w:pPr>
            <w:r>
              <w:t>29.11</w:t>
            </w:r>
            <w:r w:rsidR="00615044">
              <w:t>%</w:t>
            </w:r>
          </w:p>
        </w:tc>
        <w:tc>
          <w:tcPr>
            <w:tcW w:w="2126" w:type="dxa"/>
            <w:shd w:val="clear" w:color="auto" w:fill="auto"/>
          </w:tcPr>
          <w:p w14:paraId="26669B99" w14:textId="77777777" w:rsidR="00116F3F" w:rsidRDefault="00116F3F" w:rsidP="00E73575">
            <w:pPr>
              <w:jc w:val="center"/>
            </w:pPr>
            <w:r>
              <w:t>0.1766</w:t>
            </w:r>
          </w:p>
        </w:tc>
      </w:tr>
      <w:tr w:rsidR="00E73575" w14:paraId="5D6864A4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4E2A1282" w14:textId="77777777" w:rsidR="00D0136C" w:rsidRDefault="00D0136C" w:rsidP="00E73575">
            <w:pPr>
              <w:jc w:val="both"/>
            </w:pPr>
            <w:r>
              <w:t>Google</w:t>
            </w:r>
          </w:p>
        </w:tc>
        <w:tc>
          <w:tcPr>
            <w:tcW w:w="2127" w:type="dxa"/>
            <w:shd w:val="clear" w:color="auto" w:fill="auto"/>
          </w:tcPr>
          <w:p w14:paraId="3F14D94C" w14:textId="77777777" w:rsidR="00D0136C" w:rsidRDefault="00615044" w:rsidP="00E73575">
            <w:pPr>
              <w:jc w:val="center"/>
            </w:pPr>
            <w:r>
              <w:t>38.76%</w:t>
            </w:r>
          </w:p>
        </w:tc>
        <w:tc>
          <w:tcPr>
            <w:tcW w:w="2126" w:type="dxa"/>
            <w:shd w:val="clear" w:color="auto" w:fill="auto"/>
          </w:tcPr>
          <w:p w14:paraId="1DE10ACF" w14:textId="77777777" w:rsidR="00D0136C" w:rsidRDefault="00116F3F" w:rsidP="00E73575">
            <w:pPr>
              <w:jc w:val="center"/>
            </w:pPr>
            <w:r>
              <w:t>0.1233</w:t>
            </w:r>
          </w:p>
        </w:tc>
      </w:tr>
      <w:tr w:rsidR="00E73575" w14:paraId="34B1D503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08E9BF53" w14:textId="77777777" w:rsidR="00D0136C" w:rsidRDefault="00D0136C" w:rsidP="00E73575">
            <w:pPr>
              <w:jc w:val="both"/>
            </w:pPr>
            <w:r>
              <w:t>Apple</w:t>
            </w:r>
          </w:p>
        </w:tc>
        <w:tc>
          <w:tcPr>
            <w:tcW w:w="2127" w:type="dxa"/>
            <w:shd w:val="clear" w:color="auto" w:fill="auto"/>
          </w:tcPr>
          <w:p w14:paraId="0A5D7B2B" w14:textId="77777777" w:rsidR="00D0136C" w:rsidRDefault="00615044" w:rsidP="00E73575">
            <w:pPr>
              <w:jc w:val="center"/>
            </w:pPr>
            <w:r>
              <w:t>40.70%</w:t>
            </w:r>
          </w:p>
        </w:tc>
        <w:tc>
          <w:tcPr>
            <w:tcW w:w="2126" w:type="dxa"/>
            <w:shd w:val="clear" w:color="auto" w:fill="auto"/>
          </w:tcPr>
          <w:p w14:paraId="3F4AD3F3" w14:textId="77777777" w:rsidR="00D0136C" w:rsidRDefault="00116F3F" w:rsidP="00E73575">
            <w:pPr>
              <w:jc w:val="center"/>
            </w:pPr>
            <w:r>
              <w:t>0.1051</w:t>
            </w:r>
          </w:p>
        </w:tc>
      </w:tr>
      <w:tr w:rsidR="00E73575" w14:paraId="5A962669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2545B5B9" w14:textId="77777777" w:rsidR="00D0136C" w:rsidRDefault="001415FC" w:rsidP="00E73575">
            <w:pPr>
              <w:jc w:val="both"/>
            </w:pPr>
            <w:r>
              <w:t>Exxon Mobil</w:t>
            </w:r>
          </w:p>
        </w:tc>
        <w:tc>
          <w:tcPr>
            <w:tcW w:w="2127" w:type="dxa"/>
            <w:shd w:val="clear" w:color="auto" w:fill="auto"/>
          </w:tcPr>
          <w:p w14:paraId="7E5947AE" w14:textId="77777777" w:rsidR="00D0136C" w:rsidRDefault="00615044" w:rsidP="00E73575">
            <w:pPr>
              <w:jc w:val="center"/>
            </w:pPr>
            <w:r>
              <w:t>33.84%</w:t>
            </w:r>
          </w:p>
        </w:tc>
        <w:tc>
          <w:tcPr>
            <w:tcW w:w="2126" w:type="dxa"/>
            <w:shd w:val="clear" w:color="auto" w:fill="auto"/>
          </w:tcPr>
          <w:p w14:paraId="421FD75F" w14:textId="77777777" w:rsidR="00D0136C" w:rsidRDefault="00116F3F" w:rsidP="00E73575">
            <w:pPr>
              <w:jc w:val="center"/>
            </w:pPr>
            <w:r>
              <w:t>0.1560</w:t>
            </w:r>
          </w:p>
        </w:tc>
      </w:tr>
      <w:tr w:rsidR="00D0136C" w14:paraId="0352FB4E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4D4C6E40" w14:textId="77777777" w:rsidR="00D0136C" w:rsidRDefault="001415FC" w:rsidP="00E73575">
            <w:pPr>
              <w:jc w:val="both"/>
            </w:pPr>
            <w:r>
              <w:t>Walmart</w:t>
            </w:r>
          </w:p>
        </w:tc>
        <w:tc>
          <w:tcPr>
            <w:tcW w:w="2127" w:type="dxa"/>
            <w:shd w:val="clear" w:color="auto" w:fill="auto"/>
          </w:tcPr>
          <w:p w14:paraId="082E5A81" w14:textId="77777777" w:rsidR="00D0136C" w:rsidRDefault="00615044" w:rsidP="00E73575">
            <w:pPr>
              <w:jc w:val="center"/>
            </w:pPr>
            <w:r>
              <w:t>23.84%</w:t>
            </w:r>
          </w:p>
        </w:tc>
        <w:tc>
          <w:tcPr>
            <w:tcW w:w="2126" w:type="dxa"/>
            <w:shd w:val="clear" w:color="auto" w:fill="auto"/>
          </w:tcPr>
          <w:p w14:paraId="7552C4C0" w14:textId="77777777" w:rsidR="00D0136C" w:rsidRDefault="00116F3F" w:rsidP="00E73575">
            <w:pPr>
              <w:jc w:val="center"/>
            </w:pPr>
            <w:r>
              <w:t>0.1166</w:t>
            </w:r>
          </w:p>
        </w:tc>
      </w:tr>
      <w:tr w:rsidR="00D0136C" w14:paraId="5031780B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217F9510" w14:textId="77777777" w:rsidR="00D0136C" w:rsidRDefault="001415FC" w:rsidP="00E73575">
            <w:pPr>
              <w:jc w:val="both"/>
            </w:pPr>
            <w:r>
              <w:t>Markowitz</w:t>
            </w:r>
          </w:p>
        </w:tc>
        <w:tc>
          <w:tcPr>
            <w:tcW w:w="2127" w:type="dxa"/>
            <w:shd w:val="clear" w:color="auto" w:fill="auto"/>
          </w:tcPr>
          <w:p w14:paraId="3686435C" w14:textId="77777777" w:rsidR="00D0136C" w:rsidRDefault="00116F3F" w:rsidP="00E73575">
            <w:pPr>
              <w:jc w:val="center"/>
            </w:pPr>
            <w:r>
              <w:t>27.95%</w:t>
            </w:r>
          </w:p>
        </w:tc>
        <w:tc>
          <w:tcPr>
            <w:tcW w:w="2126" w:type="dxa"/>
            <w:shd w:val="clear" w:color="auto" w:fill="auto"/>
          </w:tcPr>
          <w:p w14:paraId="57D2E1E8" w14:textId="77777777" w:rsidR="00D0136C" w:rsidRDefault="00116F3F" w:rsidP="00E73575">
            <w:pPr>
              <w:jc w:val="center"/>
            </w:pPr>
            <w:r>
              <w:t>0.1794</w:t>
            </w:r>
          </w:p>
        </w:tc>
      </w:tr>
      <w:tr w:rsidR="001415FC" w14:paraId="4E2DE870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14D71404" w14:textId="77777777" w:rsidR="001415FC" w:rsidRDefault="001415FC" w:rsidP="00E73575">
            <w:pPr>
              <w:jc w:val="both"/>
            </w:pPr>
            <w:r>
              <w:t>Index</w:t>
            </w:r>
          </w:p>
        </w:tc>
        <w:tc>
          <w:tcPr>
            <w:tcW w:w="2127" w:type="dxa"/>
            <w:shd w:val="clear" w:color="auto" w:fill="auto"/>
          </w:tcPr>
          <w:p w14:paraId="1A27A503" w14:textId="77777777" w:rsidR="001415FC" w:rsidRDefault="001415FC" w:rsidP="00E73575">
            <w:pPr>
              <w:jc w:val="center"/>
            </w:pPr>
            <w:r>
              <w:t>27.86%</w:t>
            </w:r>
          </w:p>
        </w:tc>
        <w:tc>
          <w:tcPr>
            <w:tcW w:w="2126" w:type="dxa"/>
            <w:shd w:val="clear" w:color="auto" w:fill="auto"/>
          </w:tcPr>
          <w:p w14:paraId="7DF22978" w14:textId="77777777" w:rsidR="001415FC" w:rsidRDefault="001415FC" w:rsidP="00E73575">
            <w:pPr>
              <w:jc w:val="center"/>
            </w:pPr>
            <w:r>
              <w:t>0.1793</w:t>
            </w:r>
          </w:p>
        </w:tc>
      </w:tr>
      <w:tr w:rsidR="001415FC" w14:paraId="301D0916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523AF6AA" w14:textId="77777777" w:rsidR="001415FC" w:rsidRDefault="001415FC" w:rsidP="00E73575">
            <w:pPr>
              <w:jc w:val="both"/>
            </w:pPr>
            <w:r>
              <w:t>TB (α≠0)</w:t>
            </w:r>
          </w:p>
        </w:tc>
        <w:tc>
          <w:tcPr>
            <w:tcW w:w="2127" w:type="dxa"/>
            <w:shd w:val="clear" w:color="auto" w:fill="auto"/>
          </w:tcPr>
          <w:p w14:paraId="3B15B9C4" w14:textId="77777777" w:rsidR="001415FC" w:rsidRDefault="001415FC" w:rsidP="00E73575">
            <w:pPr>
              <w:jc w:val="center"/>
            </w:pPr>
            <w:r>
              <w:t>28.90%</w:t>
            </w:r>
          </w:p>
        </w:tc>
        <w:tc>
          <w:tcPr>
            <w:tcW w:w="2126" w:type="dxa"/>
            <w:shd w:val="clear" w:color="auto" w:fill="auto"/>
          </w:tcPr>
          <w:p w14:paraId="4B845E28" w14:textId="77777777" w:rsidR="001415FC" w:rsidRDefault="001415FC" w:rsidP="00E73575">
            <w:pPr>
              <w:jc w:val="center"/>
            </w:pPr>
            <w:r>
              <w:t>0.1766</w:t>
            </w:r>
          </w:p>
        </w:tc>
      </w:tr>
      <w:tr w:rsidR="001415FC" w14:paraId="29908106" w14:textId="77777777" w:rsidTr="00E73575">
        <w:trPr>
          <w:jc w:val="center"/>
        </w:trPr>
        <w:tc>
          <w:tcPr>
            <w:tcW w:w="1656" w:type="dxa"/>
            <w:shd w:val="clear" w:color="auto" w:fill="auto"/>
          </w:tcPr>
          <w:p w14:paraId="64F261B0" w14:textId="77777777" w:rsidR="001415FC" w:rsidRDefault="001415FC" w:rsidP="00E73575">
            <w:pPr>
              <w:jc w:val="both"/>
            </w:pPr>
            <w:r>
              <w:t>TB (α=0)</w:t>
            </w:r>
          </w:p>
        </w:tc>
        <w:tc>
          <w:tcPr>
            <w:tcW w:w="2127" w:type="dxa"/>
            <w:shd w:val="clear" w:color="auto" w:fill="auto"/>
          </w:tcPr>
          <w:p w14:paraId="419A8ED4" w14:textId="77777777" w:rsidR="001415FC" w:rsidRDefault="001415FC" w:rsidP="00E73575">
            <w:pPr>
              <w:jc w:val="center"/>
            </w:pPr>
            <w:r>
              <w:t>29.91%</w:t>
            </w:r>
          </w:p>
        </w:tc>
        <w:tc>
          <w:tcPr>
            <w:tcW w:w="2126" w:type="dxa"/>
            <w:shd w:val="clear" w:color="auto" w:fill="auto"/>
          </w:tcPr>
          <w:p w14:paraId="61663873" w14:textId="77777777" w:rsidR="001415FC" w:rsidRDefault="001415FC" w:rsidP="00E73575">
            <w:pPr>
              <w:jc w:val="center"/>
            </w:pPr>
            <w:r>
              <w:t>0.1766</w:t>
            </w:r>
          </w:p>
        </w:tc>
      </w:tr>
    </w:tbl>
    <w:p w14:paraId="27B29694" w14:textId="77777777" w:rsidR="00D0136C" w:rsidRDefault="00D0136C" w:rsidP="00BF1634"/>
    <w:p w14:paraId="0947659D" w14:textId="77777777" w:rsidR="00042850" w:rsidRDefault="00042850" w:rsidP="00BF1634">
      <w:r>
        <w:lastRenderedPageBreak/>
        <w:t>We don’t report each security’s Sharpe ratio across the 4 model because they are very close.</w:t>
      </w:r>
    </w:p>
    <w:p w14:paraId="1311F435" w14:textId="77777777" w:rsidR="00042850" w:rsidRDefault="00042850" w:rsidP="00BF1634"/>
    <w:p w14:paraId="32D24343" w14:textId="77777777" w:rsidR="00D448C1" w:rsidRDefault="00D448C1" w:rsidP="00BF1634">
      <w:pPr>
        <w:ind w:left="720" w:hanging="720"/>
      </w:pPr>
      <w:r>
        <w:t>8.</w:t>
      </w:r>
      <w:r>
        <w:tab/>
        <w:t>We allocate 21.</w:t>
      </w:r>
      <w:r w:rsidR="000A33BC">
        <w:t>4</w:t>
      </w:r>
      <w:r>
        <w:t>5% of our investment into the optimal risky-portfolio and the other 78.5% into treasury bills. Given the $5 million we have to invest, these weights translate into $1,07</w:t>
      </w:r>
      <w:r w:rsidR="000A33BC">
        <w:t>2,706</w:t>
      </w:r>
      <w:r>
        <w:t xml:space="preserve"> in our optimal risky-portfolio and $3,92</w:t>
      </w:r>
      <w:r w:rsidR="000A33BC">
        <w:t>7</w:t>
      </w:r>
      <w:r>
        <w:t>,</w:t>
      </w:r>
      <w:r w:rsidR="000A33BC">
        <w:t>294</w:t>
      </w:r>
      <w:r>
        <w:t xml:space="preserve"> in treasury bills. This is because our coefficient of risk aversion is high and positive (A=3), which implies that we are risk averse.</w:t>
      </w:r>
    </w:p>
    <w:p w14:paraId="476B290C" w14:textId="77777777" w:rsidR="00D448C1" w:rsidRDefault="00D448C1" w:rsidP="00BF1634">
      <w:pPr>
        <w:ind w:left="720" w:hanging="720"/>
      </w:pPr>
    </w:p>
    <w:p w14:paraId="751284AD" w14:textId="77777777" w:rsidR="00D448C1" w:rsidRDefault="00D448C1" w:rsidP="00951720">
      <w:pPr>
        <w:ind w:left="720" w:hanging="720"/>
      </w:pPr>
      <w:r>
        <w:t>9.</w:t>
      </w:r>
      <w:r>
        <w:tab/>
        <w:t>Here we are assuming that the returns in our complete portfolio using the index model follow a normal distribution. We have an annualized expected total return of 1.29% and a standard deviation of 5.98% on the complete portfolio. The probability that we will have a negative total return over a one y</w:t>
      </w:r>
      <w:r w:rsidR="000F2724">
        <w:t xml:space="preserve">ear period is </w:t>
      </w:r>
      <w:r>
        <w:t>41.44%</w:t>
      </w:r>
    </w:p>
    <w:sectPr w:rsidR="00D448C1" w:rsidSect="00220FD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7A7"/>
    <w:rsid w:val="000030EA"/>
    <w:rsid w:val="000357A7"/>
    <w:rsid w:val="00042850"/>
    <w:rsid w:val="000A33BC"/>
    <w:rsid w:val="000A69D7"/>
    <w:rsid w:val="000C322B"/>
    <w:rsid w:val="000F2724"/>
    <w:rsid w:val="00116F3F"/>
    <w:rsid w:val="001415FC"/>
    <w:rsid w:val="00142B7A"/>
    <w:rsid w:val="001B1B32"/>
    <w:rsid w:val="001C46D3"/>
    <w:rsid w:val="001E3B59"/>
    <w:rsid w:val="00220FD9"/>
    <w:rsid w:val="00330D7E"/>
    <w:rsid w:val="003C0834"/>
    <w:rsid w:val="0049705B"/>
    <w:rsid w:val="004B0912"/>
    <w:rsid w:val="004D0844"/>
    <w:rsid w:val="004F5361"/>
    <w:rsid w:val="00550F05"/>
    <w:rsid w:val="00581A8E"/>
    <w:rsid w:val="00584CF0"/>
    <w:rsid w:val="00615044"/>
    <w:rsid w:val="006432A0"/>
    <w:rsid w:val="006C4E4D"/>
    <w:rsid w:val="006F12B1"/>
    <w:rsid w:val="007129AB"/>
    <w:rsid w:val="007F0E4C"/>
    <w:rsid w:val="00890585"/>
    <w:rsid w:val="008B6F65"/>
    <w:rsid w:val="00902C3F"/>
    <w:rsid w:val="00920C79"/>
    <w:rsid w:val="00925D1A"/>
    <w:rsid w:val="00951720"/>
    <w:rsid w:val="00964D19"/>
    <w:rsid w:val="009E7521"/>
    <w:rsid w:val="00A10D45"/>
    <w:rsid w:val="00A4149B"/>
    <w:rsid w:val="00A44B58"/>
    <w:rsid w:val="00AD3935"/>
    <w:rsid w:val="00AD43A3"/>
    <w:rsid w:val="00AF09A2"/>
    <w:rsid w:val="00BF1634"/>
    <w:rsid w:val="00C36CD5"/>
    <w:rsid w:val="00C546F9"/>
    <w:rsid w:val="00CA5F72"/>
    <w:rsid w:val="00CA7DC9"/>
    <w:rsid w:val="00D0136C"/>
    <w:rsid w:val="00D448C1"/>
    <w:rsid w:val="00DA2B5A"/>
    <w:rsid w:val="00DB1B8F"/>
    <w:rsid w:val="00DE7C07"/>
    <w:rsid w:val="00E30D5D"/>
    <w:rsid w:val="00E73575"/>
    <w:rsid w:val="00EA48CC"/>
    <w:rsid w:val="00EB39DC"/>
    <w:rsid w:val="00F069C6"/>
    <w:rsid w:val="00F81767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78281"/>
  <w15:docId w15:val="{9A082166-E327-4106-9F24-66A86A7F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B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20FD9"/>
    <w:pPr>
      <w:ind w:left="720"/>
      <w:contextualSpacing/>
    </w:pPr>
  </w:style>
  <w:style w:type="table" w:styleId="TableGrid">
    <w:name w:val="Table Grid"/>
    <w:basedOn w:val="TableNormal"/>
    <w:locked/>
    <w:rsid w:val="00D01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ucsc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McHenry Library</dc:creator>
  <cp:keywords/>
  <dc:description/>
  <cp:lastModifiedBy>tuncay dogan</cp:lastModifiedBy>
  <cp:revision>41</cp:revision>
  <dcterms:created xsi:type="dcterms:W3CDTF">2011-04-24T23:50:00Z</dcterms:created>
  <dcterms:modified xsi:type="dcterms:W3CDTF">2019-04-23T03:28:00Z</dcterms:modified>
</cp:coreProperties>
</file>