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i w:val="0"/>
          <w:color w:val="0F766E"/>
          <w:sz w:val="15"/>
        </w:rPr>
        <w:t>TEDBİRGE GATEWAY · STRATEJİ OFİSİ</w:t>
      </w:r>
    </w:p>
    <w:p>
      <w:pPr>
        <w:spacing w:before="0" w:after="160"/>
      </w:pPr>
      <w:r>
        <w:rPr>
          <w:rFonts w:ascii="Arial" w:hAnsi="Arial"/>
          <w:b/>
          <w:i w:val="0"/>
          <w:color w:val="111418"/>
          <w:sz w:val="44"/>
        </w:rPr>
        <w:t>Bütünsel Nihai Fizibilite ve Strateji Raporu</w:t>
      </w:r>
    </w:p>
    <w:p>
      <w:pPr>
        <w:spacing w:before="0" w:after="160"/>
      </w:pPr>
      <w:r>
        <w:rPr>
          <w:rFonts w:ascii="Arial" w:hAnsi="Arial"/>
          <w:b w:val="0"/>
          <w:i w:val="0"/>
          <w:color w:val="55606B"/>
          <w:sz w:val="21"/>
        </w:rPr>
        <w:t>PHY-agnostik, off-grid, zero-knowledge mesh ağ geçidi — finansal, ticari, operasyonel, teknik, hukuki ve ESG boyutlarıyla bütünsel değerlendirme.</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2A30"/>
          </w:tcPr>
          <w:p>
            <w:pPr>
              <w:spacing w:after="40" w:before="40"/>
            </w:pPr>
            <w:r/>
            <w:r>
              <w:rPr>
                <w:rFonts w:ascii="Arial" w:hAnsi="Arial"/>
                <w:b/>
                <w:color w:val="FFFFFF"/>
                <w:sz w:val="17"/>
              </w:rPr>
              <w:t>Alan</w:t>
            </w:r>
          </w:p>
        </w:tc>
        <w:tc>
          <w:tcPr>
            <w:tcW w:type="dxa" w:w="4819"/>
            <w:shd w:val="clear" w:fill="1F2A30"/>
          </w:tcPr>
          <w:p>
            <w:pPr>
              <w:spacing w:after="40" w:before="40"/>
            </w:pPr>
            <w:r/>
            <w:r>
              <w:rPr>
                <w:rFonts w:ascii="Arial" w:hAnsi="Arial"/>
                <w:b/>
                <w:color w:val="FFFFFF"/>
                <w:sz w:val="17"/>
              </w:rPr>
              <w:t>Bilgi</w:t>
            </w:r>
          </w:p>
        </w:tc>
      </w:tr>
      <w:tr>
        <w:tc>
          <w:tcPr>
            <w:tcW w:type="dxa" w:w="4819"/>
            <w:shd w:val="clear" w:fill="FFFFFF"/>
          </w:tcPr>
          <w:p>
            <w:pPr>
              <w:spacing w:after="40" w:before="40"/>
            </w:pPr>
            <w:r/>
            <w:r>
              <w:rPr>
                <w:rFonts w:ascii="Arial" w:hAnsi="Arial"/>
                <w:b w:val="0"/>
                <w:color w:val="111418"/>
                <w:sz w:val="17"/>
              </w:rPr>
              <w:t>Yasal ünvan</w:t>
            </w:r>
          </w:p>
        </w:tc>
        <w:tc>
          <w:tcPr>
            <w:tcW w:type="dxa" w:w="4819"/>
            <w:shd w:val="clear" w:fill="FFFFFF"/>
          </w:tcPr>
          <w:p>
            <w:pPr>
              <w:spacing w:after="40" w:before="40"/>
            </w:pPr>
            <w:r/>
            <w:r>
              <w:rPr>
                <w:rFonts w:ascii="Arial" w:hAnsi="Arial"/>
                <w:b w:val="0"/>
                <w:color w:val="111418"/>
                <w:sz w:val="17"/>
              </w:rPr>
              <w:t>Mehmet DİNÇ (Tedbirge Gateway) — Şahıs işletmesi, Türkiye</w:t>
            </w:r>
          </w:p>
        </w:tc>
      </w:tr>
      <w:tr>
        <w:tc>
          <w:tcPr>
            <w:tcW w:type="dxa" w:w="4819"/>
            <w:shd w:val="clear" w:fill="F2F5F6"/>
          </w:tcPr>
          <w:p>
            <w:pPr>
              <w:spacing w:after="40" w:before="40"/>
            </w:pPr>
            <w:r/>
            <w:r>
              <w:rPr>
                <w:rFonts w:ascii="Arial" w:hAnsi="Arial"/>
                <w:b w:val="0"/>
                <w:color w:val="111418"/>
                <w:sz w:val="17"/>
              </w:rPr>
              <w:t>Ürün ailesi</w:t>
            </w:r>
          </w:p>
        </w:tc>
        <w:tc>
          <w:tcPr>
            <w:tcW w:type="dxa" w:w="4819"/>
            <w:shd w:val="clear" w:fill="F2F5F6"/>
          </w:tcPr>
          <w:p>
            <w:pPr>
              <w:spacing w:after="40" w:before="40"/>
            </w:pPr>
            <w:r/>
            <w:r>
              <w:rPr>
                <w:rFonts w:ascii="Arial" w:hAnsi="Arial"/>
                <w:b w:val="0"/>
                <w:color w:val="111418"/>
                <w:sz w:val="17"/>
              </w:rPr>
              <w:t>Tedbirge Gateway · Tedbirge Loop · Tedbirge Off-Grid</w:t>
            </w:r>
          </w:p>
        </w:tc>
      </w:tr>
      <w:tr>
        <w:tc>
          <w:tcPr>
            <w:tcW w:type="dxa" w:w="4819"/>
            <w:shd w:val="clear" w:fill="FFFFFF"/>
          </w:tcPr>
          <w:p>
            <w:pPr>
              <w:spacing w:after="40" w:before="40"/>
            </w:pPr>
            <w:r/>
            <w:r>
              <w:rPr>
                <w:rFonts w:ascii="Arial" w:hAnsi="Arial"/>
                <w:b w:val="0"/>
                <w:color w:val="111418"/>
                <w:sz w:val="17"/>
              </w:rPr>
              <w:t>Rapor sürümü</w:t>
            </w:r>
          </w:p>
        </w:tc>
        <w:tc>
          <w:tcPr>
            <w:tcW w:type="dxa" w:w="4819"/>
            <w:shd w:val="clear" w:fill="FFFFFF"/>
          </w:tcPr>
          <w:p>
            <w:pPr>
              <w:spacing w:after="40" w:before="40"/>
            </w:pPr>
            <w:r/>
            <w:r>
              <w:rPr>
                <w:rFonts w:ascii="Arial" w:hAnsi="Arial"/>
                <w:b w:val="0"/>
                <w:color w:val="111418"/>
                <w:sz w:val="17"/>
              </w:rPr>
              <w:t>1.0 — Nihai Strateji Raporu</w:t>
            </w:r>
          </w:p>
        </w:tc>
      </w:tr>
      <w:tr>
        <w:tc>
          <w:tcPr>
            <w:tcW w:type="dxa" w:w="4819"/>
            <w:shd w:val="clear" w:fill="F2F5F6"/>
          </w:tcPr>
          <w:p>
            <w:pPr>
              <w:spacing w:after="40" w:before="40"/>
            </w:pPr>
            <w:r/>
            <w:r>
              <w:rPr>
                <w:rFonts w:ascii="Arial" w:hAnsi="Arial"/>
                <w:b w:val="0"/>
                <w:color w:val="111418"/>
                <w:sz w:val="17"/>
              </w:rPr>
              <w:t>Tarih</w:t>
            </w:r>
          </w:p>
        </w:tc>
        <w:tc>
          <w:tcPr>
            <w:tcW w:type="dxa" w:w="4819"/>
            <w:shd w:val="clear" w:fill="F2F5F6"/>
          </w:tcPr>
          <w:p>
            <w:pPr>
              <w:spacing w:after="40" w:before="40"/>
            </w:pPr>
            <w:r/>
            <w:r>
              <w:rPr>
                <w:rFonts w:ascii="Arial" w:hAnsi="Arial"/>
                <w:b w:val="0"/>
                <w:color w:val="111418"/>
                <w:sz w:val="17"/>
              </w:rPr>
              <w:t>30 Temmuz 2026</w:t>
            </w:r>
          </w:p>
        </w:tc>
      </w:tr>
      <w:tr>
        <w:tc>
          <w:tcPr>
            <w:tcW w:type="dxa" w:w="4819"/>
            <w:shd w:val="clear" w:fill="FFFFFF"/>
          </w:tcPr>
          <w:p>
            <w:pPr>
              <w:spacing w:after="40" w:before="40"/>
            </w:pPr>
            <w:r/>
            <w:r>
              <w:rPr>
                <w:rFonts w:ascii="Arial" w:hAnsi="Arial"/>
                <w:b w:val="0"/>
                <w:color w:val="111418"/>
                <w:sz w:val="17"/>
              </w:rPr>
              <w:t>Kapsam</w:t>
            </w:r>
          </w:p>
        </w:tc>
        <w:tc>
          <w:tcPr>
            <w:tcW w:type="dxa" w:w="4819"/>
            <w:shd w:val="clear" w:fill="FFFFFF"/>
          </w:tcPr>
          <w:p>
            <w:pPr>
              <w:spacing w:after="40" w:before="40"/>
            </w:pPr>
            <w:r/>
            <w:r>
              <w:rPr>
                <w:rFonts w:ascii="Arial" w:hAnsi="Arial"/>
                <w:b w:val="0"/>
                <w:color w:val="111418"/>
                <w:sz w:val="17"/>
              </w:rPr>
              <w:t>11 fizibilite başlığı, 12–36 aylık planlama ufku</w:t>
            </w:r>
          </w:p>
        </w:tc>
      </w:tr>
      <w:tr>
        <w:tc>
          <w:tcPr>
            <w:tcW w:type="dxa" w:w="4819"/>
            <w:shd w:val="clear" w:fill="F2F5F6"/>
          </w:tcPr>
          <w:p>
            <w:pPr>
              <w:spacing w:after="40" w:before="40"/>
            </w:pPr>
            <w:r/>
            <w:r>
              <w:rPr>
                <w:rFonts w:ascii="Arial" w:hAnsi="Arial"/>
                <w:b w:val="0"/>
                <w:color w:val="111418"/>
                <w:sz w:val="17"/>
              </w:rPr>
              <w:t>Sınıf</w:t>
            </w:r>
          </w:p>
        </w:tc>
        <w:tc>
          <w:tcPr>
            <w:tcW w:type="dxa" w:w="4819"/>
            <w:shd w:val="clear" w:fill="F2F5F6"/>
          </w:tcPr>
          <w:p>
            <w:pPr>
              <w:spacing w:after="40" w:before="40"/>
            </w:pPr>
            <w:r/>
            <w:r>
              <w:rPr>
                <w:rFonts w:ascii="Arial" w:hAnsi="Arial"/>
                <w:b w:val="0"/>
                <w:color w:val="111418"/>
                <w:sz w:val="17"/>
              </w:rPr>
              <w:t>İç kullanım / yatırımcı ve kurumsal paylaşım</w:t>
            </w:r>
          </w:p>
        </w:tc>
      </w:tr>
    </w:tbl>
    <w:p>
      <w:pPr>
        <w:spacing w:after="80"/>
      </w:pPr>
    </w:p>
    <w:p>
      <w:pPr>
        <w:spacing w:before="200" w:after="80"/>
      </w:pPr>
      <w:r>
        <w:rPr>
          <w:rFonts w:ascii="Arial" w:hAnsi="Arial"/>
          <w:b/>
          <w:i w:val="0"/>
          <w:color w:val="0F766E"/>
          <w:sz w:val="22"/>
        </w:rPr>
        <w:t>İçindekiler</w:t>
      </w:r>
    </w:p>
    <w:p>
      <w:pPr>
        <w:spacing w:before="0" w:after="20"/>
      </w:pPr>
      <w:r>
        <w:rPr>
          <w:rFonts w:ascii="Arial" w:hAnsi="Arial"/>
          <w:b w:val="0"/>
          <w:i w:val="0"/>
          <w:color w:val="111418"/>
          <w:sz w:val="19"/>
        </w:rPr>
        <w:t>00     Yönetici Özeti</w:t>
      </w:r>
    </w:p>
    <w:p>
      <w:pPr>
        <w:spacing w:before="0" w:after="20"/>
      </w:pPr>
      <w:r>
        <w:rPr>
          <w:rFonts w:ascii="Arial" w:hAnsi="Arial"/>
          <w:b w:val="0"/>
          <w:i w:val="0"/>
          <w:color w:val="111418"/>
          <w:sz w:val="19"/>
        </w:rPr>
        <w:t>01     Finansal Fizibilite ve Birim Ekonomi</w:t>
      </w:r>
    </w:p>
    <w:p>
      <w:pPr>
        <w:spacing w:before="0" w:after="20"/>
      </w:pPr>
      <w:r>
        <w:rPr>
          <w:rFonts w:ascii="Arial" w:hAnsi="Arial"/>
          <w:b w:val="0"/>
          <w:i w:val="0"/>
          <w:color w:val="111418"/>
          <w:sz w:val="19"/>
        </w:rPr>
        <w:t>02     Pazar Fizibilitesi ve GTM Stratejisi</w:t>
      </w:r>
    </w:p>
    <w:p>
      <w:pPr>
        <w:spacing w:before="0" w:after="20"/>
      </w:pPr>
      <w:r>
        <w:rPr>
          <w:rFonts w:ascii="Arial" w:hAnsi="Arial"/>
          <w:b w:val="0"/>
          <w:i w:val="0"/>
          <w:color w:val="111418"/>
          <w:sz w:val="19"/>
        </w:rPr>
        <w:t>03     Operasyonel Fizibilite ve Saha Servis Modeli</w:t>
      </w:r>
    </w:p>
    <w:p>
      <w:pPr>
        <w:spacing w:before="0" w:after="20"/>
      </w:pPr>
      <w:r>
        <w:rPr>
          <w:rFonts w:ascii="Arial" w:hAnsi="Arial"/>
          <w:b w:val="0"/>
          <w:i w:val="0"/>
          <w:color w:val="111418"/>
          <w:sz w:val="19"/>
        </w:rPr>
        <w:t>04     Teknik Ölçeklenebilirlik ve Yük Testi Analizi</w:t>
      </w:r>
    </w:p>
    <w:p>
      <w:pPr>
        <w:spacing w:before="0" w:after="20"/>
      </w:pPr>
      <w:r>
        <w:rPr>
          <w:rFonts w:ascii="Arial" w:hAnsi="Arial"/>
          <w:b w:val="0"/>
          <w:i w:val="0"/>
          <w:color w:val="111418"/>
          <w:sz w:val="19"/>
        </w:rPr>
        <w:t>05     Risk Yönetimi ve İş Sürekliliği (BCP)</w:t>
      </w:r>
    </w:p>
    <w:p>
      <w:pPr>
        <w:spacing w:before="0" w:after="20"/>
      </w:pPr>
      <w:r>
        <w:rPr>
          <w:rFonts w:ascii="Arial" w:hAnsi="Arial"/>
          <w:b w:val="0"/>
          <w:i w:val="0"/>
          <w:color w:val="111418"/>
          <w:sz w:val="19"/>
        </w:rPr>
        <w:t>06     Saha Testi ve Pilot Değerlendirme Çerçevesi (Sakarya)</w:t>
      </w:r>
    </w:p>
    <w:p>
      <w:pPr>
        <w:spacing w:before="0" w:after="20"/>
      </w:pPr>
      <w:r>
        <w:rPr>
          <w:rFonts w:ascii="Arial" w:hAnsi="Arial"/>
          <w:b w:val="0"/>
          <w:i w:val="0"/>
          <w:color w:val="111418"/>
          <w:sz w:val="19"/>
        </w:rPr>
        <w:t>07     Ekosistem ve İş Ortaklığı Fizibilitesi</w:t>
      </w:r>
    </w:p>
    <w:p>
      <w:pPr>
        <w:spacing w:before="0" w:after="20"/>
      </w:pPr>
      <w:r>
        <w:rPr>
          <w:rFonts w:ascii="Arial" w:hAnsi="Arial"/>
          <w:b w:val="0"/>
          <w:i w:val="0"/>
          <w:color w:val="111418"/>
          <w:sz w:val="19"/>
        </w:rPr>
        <w:t>08     Sürdürülebilirlik, Enerji Verimliliği ve ESG</w:t>
      </w:r>
    </w:p>
    <w:p>
      <w:pPr>
        <w:spacing w:before="0" w:after="20"/>
      </w:pPr>
      <w:r>
        <w:rPr>
          <w:rFonts w:ascii="Arial" w:hAnsi="Arial"/>
          <w:b w:val="0"/>
          <w:i w:val="0"/>
          <w:color w:val="111418"/>
          <w:sz w:val="19"/>
        </w:rPr>
        <w:t>09     Regülasyon ve Uluslararası Sertifikasyon Yol Haritası</w:t>
      </w:r>
    </w:p>
    <w:p>
      <w:pPr>
        <w:spacing w:before="0" w:after="20"/>
      </w:pPr>
      <w:r>
        <w:rPr>
          <w:rFonts w:ascii="Arial" w:hAnsi="Arial"/>
          <w:b w:val="0"/>
          <w:i w:val="0"/>
          <w:color w:val="111418"/>
          <w:sz w:val="19"/>
        </w:rPr>
        <w:t>10     Müşteri Deneyimi (CX) ve Onboarding Sürtünme Analizi</w:t>
      </w:r>
    </w:p>
    <w:p>
      <w:pPr>
        <w:spacing w:before="0" w:after="20"/>
      </w:pPr>
      <w:r>
        <w:rPr>
          <w:rFonts w:ascii="Arial" w:hAnsi="Arial"/>
          <w:b w:val="0"/>
          <w:i w:val="0"/>
          <w:color w:val="111418"/>
          <w:sz w:val="19"/>
        </w:rPr>
        <w:t>11     Sonuç, Karar Noktaları ve 12 Aylık Yol Haritası</w:t>
      </w:r>
    </w:p>
    <w:p>
      <w:pPr>
        <w:spacing w:before="80" w:after="80"/>
      </w:pPr>
      <w:r>
        <w:rPr>
          <w:rFonts w:ascii="Arial" w:hAnsi="Arial"/>
          <w:b w:val="0"/>
          <w:i/>
          <w:color w:val="55606B"/>
          <w:sz w:val="17"/>
        </w:rPr>
        <w:t>Bu rapor bilgilendirme amaçlıdır; yatırım, hukuk veya vergi danışmanlığı yerine geçmez. Finansal projeksiyonlar varsayım tabanlıdır ve pilot verisiyle güncellenmelidir.</w:t>
      </w:r>
    </w:p>
    <w:p>
      <w:r>
        <w:br w:type="page"/>
      </w:r>
    </w:p>
    <w:p>
      <w:pPr>
        <w:spacing w:before="0" w:after="60"/>
      </w:pPr>
      <w:r>
        <w:rPr>
          <w:rFonts w:ascii="Arial" w:hAnsi="Arial"/>
          <w:b/>
          <w:i w:val="0"/>
          <w:color w:val="0F766E"/>
          <w:sz w:val="15"/>
        </w:rPr>
        <w:t>YÖNETİCİ ÖZETİ · TEK SAYFA</w:t>
      </w:r>
    </w:p>
    <w:p>
      <w:pPr>
        <w:spacing w:before="280" w:after="120"/>
      </w:pPr>
      <w:r>
        <w:rPr>
          <w:rFonts w:ascii="Arial" w:hAnsi="Arial"/>
          <w:b/>
          <w:i w:val="0"/>
          <w:color w:val="111418"/>
          <w:sz w:val="30"/>
        </w:rPr>
        <w:t>Yönetici Özeti</w:t>
      </w:r>
    </w:p>
    <w:p>
      <w:pPr>
        <w:spacing w:before="0" w:after="100"/>
      </w:pPr>
      <w:r>
        <w:rPr>
          <w:rFonts w:ascii="Arial" w:hAnsi="Arial"/>
          <w:b w:val="0"/>
          <w:i w:val="0"/>
          <w:color w:val="111418"/>
          <w:sz w:val="19"/>
        </w:rPr>
        <w:t>Tedbirge Gateway; LoRa, Wi-Fi HaLow, TVWS, WiGig, FSO, BLE, uydu ve tarayıcı P2P taşıyıcılarını tek yönetim düzleminde birleştiren, donanım üretmeyen, uçtan uca şifreli bir mesh ağ geçidi yazılımıdır. Teknik ürün çalışır durumdadır; ticarileşmenin önündeki tek yapısal engel ödeme akışının canlıya alınmamış olmasıdır.</w:t>
      </w:r>
    </w:p>
    <w:p>
      <w:pPr>
        <w:spacing w:before="200" w:after="80"/>
      </w:pPr>
      <w:r>
        <w:rPr>
          <w:rFonts w:ascii="Arial" w:hAnsi="Arial"/>
          <w:b/>
          <w:i w:val="0"/>
          <w:color w:val="0F766E"/>
          <w:sz w:val="22"/>
        </w:rPr>
        <w:t>Hedefler</w:t>
      </w:r>
    </w:p>
    <w:p>
      <w:pPr>
        <w:spacing w:before="0" w:after="40"/>
        <w:ind w:left="340" w:hanging="227"/>
      </w:pPr>
      <w:r>
        <w:rPr>
          <w:rFonts w:ascii="Arial" w:hAnsi="Arial"/>
          <w:color w:val="111418"/>
          <w:sz w:val="19"/>
        </w:rPr>
        <w:t xml:space="preserve">• </w:t>
      </w:r>
      <w:r>
        <w:rPr>
          <w:rFonts w:ascii="Arial" w:hAnsi="Arial"/>
          <w:b/>
          <w:i w:val="0"/>
          <w:color w:val="111418"/>
          <w:sz w:val="19"/>
        </w:rPr>
        <w:t>0–6 ay:</w:t>
      </w:r>
      <w:r>
        <w:rPr>
          <w:rFonts w:ascii="Arial" w:hAnsi="Arial"/>
          <w:b w:val="0"/>
          <w:i w:val="0"/>
          <w:color w:val="111418"/>
          <w:sz w:val="19"/>
        </w:rPr>
        <w:t xml:space="preserve"> Ödeme akışını canlıya al, alan adını bağla, Sakarya pilotunu tamamla.</w:t>
      </w:r>
    </w:p>
    <w:p>
      <w:pPr>
        <w:spacing w:before="0" w:after="40"/>
        <w:ind w:left="340" w:hanging="227"/>
      </w:pPr>
      <w:r>
        <w:rPr>
          <w:rFonts w:ascii="Arial" w:hAnsi="Arial"/>
          <w:color w:val="111418"/>
          <w:sz w:val="19"/>
        </w:rPr>
        <w:t xml:space="preserve">• </w:t>
      </w:r>
      <w:r>
        <w:rPr>
          <w:rFonts w:ascii="Arial" w:hAnsi="Arial"/>
          <w:b/>
          <w:i w:val="0"/>
          <w:color w:val="111418"/>
          <w:sz w:val="19"/>
        </w:rPr>
        <w:t>6–12 ay:</w:t>
      </w:r>
      <w:r>
        <w:rPr>
          <w:rFonts w:ascii="Arial" w:hAnsi="Arial"/>
          <w:b w:val="0"/>
          <w:i w:val="0"/>
          <w:color w:val="111418"/>
          <w:sz w:val="19"/>
        </w:rPr>
        <w:t xml:space="preserve"> Başabaşa ulaş (≈ 29 Pro veya 2–3 Enterprise), yük testlerini kapat.</w:t>
      </w:r>
    </w:p>
    <w:p>
      <w:pPr>
        <w:spacing w:before="0" w:after="40"/>
        <w:ind w:left="340" w:hanging="227"/>
      </w:pPr>
      <w:r>
        <w:rPr>
          <w:rFonts w:ascii="Arial" w:hAnsi="Arial"/>
          <w:color w:val="111418"/>
          <w:sz w:val="19"/>
        </w:rPr>
        <w:t xml:space="preserve">• </w:t>
      </w:r>
      <w:r>
        <w:rPr>
          <w:rFonts w:ascii="Arial" w:hAnsi="Arial"/>
          <w:b/>
          <w:i w:val="0"/>
          <w:color w:val="111418"/>
          <w:sz w:val="19"/>
        </w:rPr>
        <w:t>12–18 ay:</w:t>
      </w:r>
      <w:r>
        <w:rPr>
          <w:rFonts w:ascii="Arial" w:hAnsi="Arial"/>
          <w:b w:val="0"/>
          <w:i w:val="0"/>
          <w:color w:val="111418"/>
          <w:sz w:val="19"/>
        </w:rPr>
        <w:t xml:space="preserve"> CE-RED uyum dosyasını tamamla, ilk 2 entegratör bayisini kazan.</w:t>
      </w:r>
    </w:p>
    <w:p>
      <w:pPr>
        <w:spacing w:before="0" w:after="40"/>
        <w:ind w:left="340" w:hanging="227"/>
      </w:pPr>
      <w:r>
        <w:rPr>
          <w:rFonts w:ascii="Arial" w:hAnsi="Arial"/>
          <w:color w:val="111418"/>
          <w:sz w:val="19"/>
        </w:rPr>
        <w:t xml:space="preserve">• </w:t>
      </w:r>
      <w:r>
        <w:rPr>
          <w:rFonts w:ascii="Arial" w:hAnsi="Arial"/>
          <w:b/>
          <w:i w:val="0"/>
          <w:color w:val="111418"/>
          <w:sz w:val="19"/>
        </w:rPr>
        <w:t>18–36 ay:</w:t>
      </w:r>
      <w:r>
        <w:rPr>
          <w:rFonts w:ascii="Arial" w:hAnsi="Arial"/>
          <w:b w:val="0"/>
          <w:i w:val="0"/>
          <w:color w:val="111418"/>
          <w:sz w:val="19"/>
        </w:rPr>
        <w:t xml:space="preserve"> AB ve MEA yayılımı, 120+ aktif hesap, ilk tam zamanlı istihdam.</w:t>
      </w:r>
    </w:p>
    <w:p>
      <w:pPr>
        <w:spacing w:before="200" w:after="80"/>
      </w:pPr>
      <w:r>
        <w:rPr>
          <w:rFonts w:ascii="Arial" w:hAnsi="Arial"/>
          <w:b/>
          <w:i w:val="0"/>
          <w:color w:val="0F766E"/>
          <w:sz w:val="22"/>
        </w:rPr>
        <w:t>Maliyet</w:t>
      </w:r>
    </w:p>
    <w:p>
      <w:pPr>
        <w:spacing w:before="0" w:after="40"/>
        <w:ind w:left="340" w:hanging="227"/>
      </w:pPr>
      <w:r>
        <w:rPr>
          <w:rFonts w:ascii="Arial" w:hAnsi="Arial"/>
          <w:color w:val="111418"/>
          <w:sz w:val="19"/>
        </w:rPr>
        <w:t xml:space="preserve">• </w:t>
      </w:r>
      <w:r>
        <w:rPr>
          <w:rFonts w:ascii="Arial" w:hAnsi="Arial"/>
          <w:b w:val="0"/>
          <w:i w:val="0"/>
          <w:color w:val="111418"/>
          <w:sz w:val="19"/>
        </w:rPr>
        <w:t xml:space="preserve">Aylık işletme gideri </w:t>
      </w:r>
      <w:r>
        <w:rPr>
          <w:rFonts w:ascii="Arial" w:hAnsi="Arial"/>
          <w:b/>
          <w:i w:val="0"/>
          <w:color w:val="111418"/>
          <w:sz w:val="19"/>
        </w:rPr>
        <w:t>~700 €</w:t>
      </w:r>
      <w:r>
        <w:rPr>
          <w:rFonts w:ascii="Arial" w:hAnsi="Arial"/>
          <w:b w:val="0"/>
          <w:i w:val="0"/>
          <w:color w:val="111418"/>
          <w:sz w:val="19"/>
        </w:rPr>
        <w:t xml:space="preserve"> (bulut 60–150, AI 20–80, alan adı/izleme 15–30, sertifikasyon amortismanı 150–400, pilot/lojistik 100–300).</w:t>
      </w:r>
    </w:p>
    <w:p>
      <w:pPr>
        <w:spacing w:before="0" w:after="40"/>
        <w:ind w:left="340" w:hanging="227"/>
      </w:pPr>
      <w:r>
        <w:rPr>
          <w:rFonts w:ascii="Arial" w:hAnsi="Arial"/>
          <w:color w:val="111418"/>
          <w:sz w:val="19"/>
        </w:rPr>
        <w:t xml:space="preserve">• </w:t>
      </w:r>
      <w:r>
        <w:rPr>
          <w:rFonts w:ascii="Arial" w:hAnsi="Arial"/>
          <w:b w:val="0"/>
          <w:i w:val="0"/>
          <w:color w:val="111418"/>
          <w:sz w:val="19"/>
        </w:rPr>
        <w:t xml:space="preserve">Kullanıcı başına değişken maliyet </w:t>
      </w:r>
      <w:r>
        <w:rPr>
          <w:rFonts w:ascii="Arial" w:hAnsi="Arial"/>
          <w:b/>
          <w:i w:val="0"/>
          <w:color w:val="111418"/>
          <w:sz w:val="19"/>
        </w:rPr>
        <w:t>0,4–1,2 €/ay</w:t>
      </w:r>
      <w:r>
        <w:rPr>
          <w:rFonts w:ascii="Arial" w:hAnsi="Arial"/>
          <w:b w:val="0"/>
          <w:i w:val="0"/>
          <w:color w:val="111418"/>
          <w:sz w:val="19"/>
        </w:rPr>
        <w:t xml:space="preserve"> → asset-light model, donanım stoğu yok.</w:t>
      </w:r>
    </w:p>
    <w:p>
      <w:pPr>
        <w:spacing w:before="0" w:after="40"/>
        <w:ind w:left="340" w:hanging="227"/>
      </w:pPr>
      <w:r>
        <w:rPr>
          <w:rFonts w:ascii="Arial" w:hAnsi="Arial"/>
          <w:color w:val="111418"/>
          <w:sz w:val="19"/>
        </w:rPr>
        <w:t xml:space="preserve">• </w:t>
      </w:r>
      <w:r>
        <w:rPr>
          <w:rFonts w:ascii="Arial" w:hAnsi="Arial"/>
          <w:b w:val="0"/>
          <w:i w:val="0"/>
          <w:color w:val="111418"/>
          <w:sz w:val="19"/>
        </w:rPr>
        <w:t>Tek seferlik ana kalem: CE-RED teknik dosya ve laboratuvar ön testi (12 aya yayılmış).</w:t>
      </w:r>
    </w:p>
    <w:p>
      <w:pPr>
        <w:spacing w:before="200" w:after="80"/>
      </w:pPr>
      <w:r>
        <w:rPr>
          <w:rFonts w:ascii="Arial" w:hAnsi="Arial"/>
          <w:b/>
          <w:i w:val="0"/>
          <w:color w:val="0F766E"/>
          <w:sz w:val="22"/>
        </w:rPr>
        <w:t>Gelir</w:t>
      </w:r>
    </w:p>
    <w:p>
      <w:pPr>
        <w:spacing w:before="0" w:after="40"/>
        <w:ind w:left="340" w:hanging="227"/>
      </w:pPr>
      <w:r>
        <w:rPr>
          <w:rFonts w:ascii="Arial" w:hAnsi="Arial"/>
          <w:color w:val="111418"/>
          <w:sz w:val="19"/>
        </w:rPr>
        <w:t xml:space="preserve">• </w:t>
      </w:r>
      <w:r>
        <w:rPr>
          <w:rFonts w:ascii="Arial" w:hAnsi="Arial"/>
          <w:b w:val="0"/>
          <w:i w:val="0"/>
          <w:color w:val="111418"/>
          <w:sz w:val="19"/>
        </w:rPr>
        <w:t xml:space="preserve">Üç katman: Community 0 € (5 düğüm), </w:t>
      </w:r>
      <w:r>
        <w:rPr>
          <w:rFonts w:ascii="Arial" w:hAnsi="Arial"/>
          <w:b/>
          <w:i w:val="0"/>
          <w:color w:val="111418"/>
          <w:sz w:val="19"/>
        </w:rPr>
        <w:t>Pro 29 €/ay veya 290 €/yıl</w:t>
      </w:r>
      <w:r>
        <w:rPr>
          <w:rFonts w:ascii="Arial" w:hAnsi="Arial"/>
          <w:b w:val="0"/>
          <w:i w:val="0"/>
          <w:color w:val="111418"/>
          <w:sz w:val="19"/>
        </w:rPr>
        <w:t xml:space="preserve"> (6–24 düğüm), Enterprise teklif (25+).</w:t>
      </w:r>
    </w:p>
    <w:p>
      <w:pPr>
        <w:spacing w:before="0" w:after="40"/>
        <w:ind w:left="340" w:hanging="227"/>
      </w:pPr>
      <w:r>
        <w:rPr>
          <w:rFonts w:ascii="Arial" w:hAnsi="Arial"/>
          <w:color w:val="111418"/>
          <w:sz w:val="19"/>
        </w:rPr>
        <w:t xml:space="preserve">• </w:t>
      </w:r>
      <w:r>
        <w:rPr>
          <w:rFonts w:ascii="Arial" w:hAnsi="Arial"/>
          <w:b w:val="0"/>
          <w:i w:val="0"/>
          <w:color w:val="111418"/>
          <w:sz w:val="19"/>
        </w:rPr>
        <w:t xml:space="preserve">ARPA ≈ </w:t>
      </w:r>
      <w:r>
        <w:rPr>
          <w:rFonts w:ascii="Arial" w:hAnsi="Arial"/>
          <w:b/>
          <w:i w:val="0"/>
          <w:color w:val="111418"/>
          <w:sz w:val="19"/>
        </w:rPr>
        <w:t>26 €/ay</w:t>
      </w:r>
      <w:r>
        <w:rPr>
          <w:rFonts w:ascii="Arial" w:hAnsi="Arial"/>
          <w:b w:val="0"/>
          <w:i w:val="0"/>
          <w:color w:val="111418"/>
          <w:sz w:val="19"/>
        </w:rPr>
        <w:t xml:space="preserve">, brüt marj ≈ </w:t>
      </w:r>
      <w:r>
        <w:rPr>
          <w:rFonts w:ascii="Arial" w:hAnsi="Arial"/>
          <w:b/>
          <w:i w:val="0"/>
          <w:color w:val="111418"/>
          <w:sz w:val="19"/>
        </w:rPr>
        <w:t>%94</w:t>
      </w:r>
      <w:r>
        <w:rPr>
          <w:rFonts w:ascii="Arial" w:hAnsi="Arial"/>
          <w:b w:val="0"/>
          <w:i w:val="0"/>
          <w:color w:val="111418"/>
          <w:sz w:val="19"/>
        </w:rPr>
        <w:t>, LTV 490–810 €, LTV/CAC 3,5–8,0, CAC geri kazanımı 3–6 ay.</w:t>
      </w:r>
    </w:p>
    <w:p>
      <w:pPr>
        <w:spacing w:before="0" w:after="40"/>
        <w:ind w:left="340" w:hanging="227"/>
      </w:pPr>
      <w:r>
        <w:rPr>
          <w:rFonts w:ascii="Arial" w:hAnsi="Arial"/>
          <w:color w:val="111418"/>
          <w:sz w:val="19"/>
        </w:rPr>
        <w:t xml:space="preserve">• </w:t>
      </w:r>
      <w:r>
        <w:rPr>
          <w:rFonts w:ascii="Arial" w:hAnsi="Arial"/>
          <w:b w:val="0"/>
          <w:i w:val="0"/>
          <w:color w:val="111418"/>
          <w:sz w:val="19"/>
        </w:rPr>
        <w:t>12. ay senaryoları: muhafazakâr ~1.100 €/ay, baz ~3.500 €/ay, iyimser ~9.000 €/ay.</w:t>
      </w:r>
    </w:p>
    <w:p>
      <w:pPr>
        <w:spacing w:before="0" w:after="40"/>
        <w:ind w:left="340" w:hanging="227"/>
      </w:pPr>
      <w:r>
        <w:rPr>
          <w:rFonts w:ascii="Arial" w:hAnsi="Arial"/>
          <w:color w:val="111418"/>
          <w:sz w:val="19"/>
        </w:rPr>
        <w:t xml:space="preserve">• </w:t>
      </w:r>
      <w:r>
        <w:rPr>
          <w:rFonts w:ascii="Arial" w:hAnsi="Arial"/>
          <w:b w:val="0"/>
          <w:i w:val="0"/>
          <w:color w:val="111418"/>
          <w:sz w:val="19"/>
        </w:rPr>
        <w:t>SOM (3 yıl) 1,5–4 milyon $; ilk gelir kaynağı doğrudan kurumsal pilot ve entegratör kanalı.</w:t>
      </w:r>
    </w:p>
    <w:p>
      <w:pPr>
        <w:spacing w:before="200" w:after="80"/>
      </w:pPr>
      <w:r>
        <w:rPr>
          <w:rFonts w:ascii="Arial" w:hAnsi="Arial"/>
          <w:b/>
          <w:i w:val="0"/>
          <w:color w:val="0F766E"/>
          <w:sz w:val="22"/>
        </w:rPr>
        <w:t>Riskler</w:t>
      </w:r>
    </w:p>
    <w:p>
      <w:pPr>
        <w:spacing w:before="0" w:after="40"/>
        <w:ind w:left="340" w:hanging="227"/>
      </w:pPr>
      <w:r>
        <w:rPr>
          <w:rFonts w:ascii="Arial" w:hAnsi="Arial"/>
          <w:color w:val="111418"/>
          <w:sz w:val="19"/>
        </w:rPr>
        <w:t xml:space="preserve">• </w:t>
      </w:r>
      <w:r>
        <w:rPr>
          <w:rFonts w:ascii="Arial" w:hAnsi="Arial"/>
          <w:b/>
          <w:i w:val="0"/>
          <w:color w:val="111418"/>
          <w:sz w:val="19"/>
        </w:rPr>
        <w:t>Yüksek:</w:t>
      </w:r>
      <w:r>
        <w:rPr>
          <w:rFonts w:ascii="Arial" w:hAnsi="Arial"/>
          <w:b w:val="0"/>
          <w:i w:val="0"/>
          <w:color w:val="111418"/>
          <w:sz w:val="19"/>
        </w:rPr>
        <w:t xml:space="preserve"> Tek kurucu bağımlılığı (bus factor 1) — devir dokümantasyonu ve yedek geliştirici şart.</w:t>
      </w:r>
    </w:p>
    <w:p>
      <w:pPr>
        <w:spacing w:before="0" w:after="40"/>
        <w:ind w:left="340" w:hanging="227"/>
      </w:pPr>
      <w:r>
        <w:rPr>
          <w:rFonts w:ascii="Arial" w:hAnsi="Arial"/>
          <w:color w:val="111418"/>
          <w:sz w:val="19"/>
        </w:rPr>
        <w:t xml:space="preserve">• </w:t>
      </w:r>
      <w:r>
        <w:rPr>
          <w:rFonts w:ascii="Arial" w:hAnsi="Arial"/>
          <w:b/>
          <w:i w:val="0"/>
          <w:color w:val="111418"/>
          <w:sz w:val="19"/>
        </w:rPr>
        <w:t>Yüksek etki:</w:t>
      </w:r>
      <w:r>
        <w:rPr>
          <w:rFonts w:ascii="Arial" w:hAnsi="Arial"/>
          <w:b w:val="0"/>
          <w:i w:val="0"/>
          <w:color w:val="111418"/>
          <w:sz w:val="19"/>
        </w:rPr>
        <w:t xml:space="preserve"> Spektrum mevzuatı değişikliği ve kullanıcının izinsiz firmware yüklemesi — tek kaynaklı bölge profili ve sözleşmesel sorumluluk sınırıyla azaltılır.</w:t>
      </w:r>
    </w:p>
    <w:p>
      <w:pPr>
        <w:spacing w:before="0" w:after="40"/>
        <w:ind w:left="340" w:hanging="227"/>
      </w:pPr>
      <w:r>
        <w:rPr>
          <w:rFonts w:ascii="Arial" w:hAnsi="Arial"/>
          <w:color w:val="111418"/>
          <w:sz w:val="19"/>
        </w:rPr>
        <w:t xml:space="preserve">• </w:t>
      </w:r>
      <w:r>
        <w:rPr>
          <w:rFonts w:ascii="Arial" w:hAnsi="Arial"/>
          <w:b/>
          <w:i w:val="0"/>
          <w:color w:val="111418"/>
          <w:sz w:val="19"/>
        </w:rPr>
        <w:t>Orta:</w:t>
      </w:r>
      <w:r>
        <w:rPr>
          <w:rFonts w:ascii="Arial" w:hAnsi="Arial"/>
          <w:b w:val="0"/>
          <w:i w:val="0"/>
          <w:color w:val="111418"/>
          <w:sz w:val="19"/>
        </w:rPr>
        <w:t xml:space="preserve"> Ödeme sağlayıcı onay gecikmesi, pilot başarısızlığı, rakip büyük oyuncu girişi.</w:t>
      </w:r>
    </w:p>
    <w:p>
      <w:pPr>
        <w:spacing w:before="0" w:after="40"/>
        <w:ind w:left="340" w:hanging="227"/>
      </w:pPr>
      <w:r>
        <w:rPr>
          <w:rFonts w:ascii="Arial" w:hAnsi="Arial"/>
          <w:color w:val="111418"/>
          <w:sz w:val="19"/>
        </w:rPr>
        <w:t xml:space="preserve">• </w:t>
      </w:r>
      <w:r>
        <w:rPr>
          <w:rFonts w:ascii="Arial" w:hAnsi="Arial"/>
          <w:b/>
          <w:i w:val="0"/>
          <w:color w:val="111418"/>
          <w:sz w:val="19"/>
        </w:rPr>
        <w:t>Açık teknik borç:</w:t>
      </w:r>
      <w:r>
        <w:rPr>
          <w:rFonts w:ascii="Arial" w:hAnsi="Arial"/>
          <w:b w:val="0"/>
          <w:i w:val="0"/>
          <w:color w:val="111418"/>
          <w:sz w:val="19"/>
        </w:rPr>
        <w:t xml:space="preserve"> Tam ölçekli yük testleri (500 düğüm, failover, eşzamanlılık) henüz koşulmadı.</w:t>
      </w:r>
    </w:p>
    <w:p>
      <w:pPr>
        <w:spacing w:before="80" w:after="80"/>
      </w:pPr>
      <w:r>
        <w:rPr>
          <w:rFonts w:ascii="Arial" w:hAnsi="Arial"/>
          <w:b/>
          <w:i/>
          <w:color w:val="55606B"/>
          <w:sz w:val="17"/>
        </w:rPr>
        <w:t>Karar önerisi:</w:t>
      </w:r>
      <w:r>
        <w:rPr>
          <w:rFonts w:ascii="Arial" w:hAnsi="Arial"/>
          <w:b w:val="0"/>
          <w:i/>
          <w:color w:val="55606B"/>
          <w:sz w:val="17"/>
        </w:rPr>
        <w:t xml:space="preserve"> Ödeme akışı + alan adı + yük testi üçlüsü ilk çeyrekte kapatılırsa, 12 ay içinde başabaş ulaşılabilir ve pilot kanıtıyla savunulabilir bir niş konum elde edilir.</w:t>
      </w:r>
    </w:p>
    <w:p>
      <w:r>
        <w:br w:type="page"/>
      </w:r>
    </w:p>
    <w:p>
      <w:pPr>
        <w:spacing w:before="280" w:after="120"/>
      </w:pPr>
      <w:r>
        <w:rPr>
          <w:rFonts w:ascii="Arial" w:hAnsi="Arial"/>
          <w:b/>
          <w:i w:val="0"/>
          <w:color w:val="111418"/>
          <w:sz w:val="30"/>
        </w:rPr>
        <w:t>01 — Finansal Fizibilite ve Birim Ekonomi</w:t>
      </w:r>
    </w:p>
    <w:p>
      <w:pPr>
        <w:spacing w:before="0" w:after="100"/>
      </w:pPr>
      <w:r>
        <w:rPr>
          <w:rFonts w:ascii="Arial" w:hAnsi="Arial"/>
          <w:b w:val="0"/>
          <w:i w:val="0"/>
          <w:color w:val="111418"/>
          <w:sz w:val="19"/>
        </w:rPr>
        <w:t>Gelir modeli, düğüm kotasına bağlı üç katmanlı abonelik üzerine kuruludur. Donanım satışı zorunlu değildir; yazılım tarafı asset-light çalışır, bu da brüt marjı yüksek tutar.</w:t>
      </w:r>
    </w:p>
    <w:p>
      <w:pPr>
        <w:spacing w:before="200" w:after="80"/>
      </w:pPr>
      <w:r>
        <w:rPr>
          <w:rFonts w:ascii="Arial" w:hAnsi="Arial"/>
          <w:b/>
          <w:i w:val="0"/>
          <w:color w:val="0F766E"/>
          <w:sz w:val="22"/>
        </w:rPr>
        <w:t>1.1 Fiyatlandırma kademeleri</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2A30"/>
          </w:tcPr>
          <w:p>
            <w:pPr>
              <w:spacing w:after="40" w:before="40"/>
            </w:pPr>
            <w:r/>
            <w:r>
              <w:rPr>
                <w:rFonts w:ascii="Arial" w:hAnsi="Arial"/>
                <w:b/>
                <w:color w:val="FFFFFF"/>
                <w:sz w:val="17"/>
              </w:rPr>
              <w:t>Plan</w:t>
            </w:r>
          </w:p>
        </w:tc>
        <w:tc>
          <w:tcPr>
            <w:tcW w:type="dxa" w:w="1928"/>
            <w:shd w:val="clear" w:fill="1F2A30"/>
          </w:tcPr>
          <w:p>
            <w:pPr>
              <w:spacing w:after="40" w:before="40"/>
            </w:pPr>
            <w:r/>
            <w:r>
              <w:rPr>
                <w:rFonts w:ascii="Arial" w:hAnsi="Arial"/>
                <w:b/>
                <w:color w:val="FFFFFF"/>
                <w:sz w:val="17"/>
              </w:rPr>
              <w:t>Düğüm kotası</w:t>
            </w:r>
          </w:p>
        </w:tc>
        <w:tc>
          <w:tcPr>
            <w:tcW w:type="dxa" w:w="1928"/>
            <w:shd w:val="clear" w:fill="1F2A30"/>
          </w:tcPr>
          <w:p>
            <w:pPr>
              <w:spacing w:after="40" w:before="40"/>
            </w:pPr>
            <w:r/>
            <w:r>
              <w:rPr>
                <w:rFonts w:ascii="Arial" w:hAnsi="Arial"/>
                <w:b/>
                <w:color w:val="FFFFFF"/>
                <w:sz w:val="17"/>
              </w:rPr>
              <w:t>Aylık</w:t>
            </w:r>
          </w:p>
        </w:tc>
        <w:tc>
          <w:tcPr>
            <w:tcW w:type="dxa" w:w="1928"/>
            <w:shd w:val="clear" w:fill="1F2A30"/>
          </w:tcPr>
          <w:p>
            <w:pPr>
              <w:spacing w:after="40" w:before="40"/>
            </w:pPr>
            <w:r/>
            <w:r>
              <w:rPr>
                <w:rFonts w:ascii="Arial" w:hAnsi="Arial"/>
                <w:b/>
                <w:color w:val="FFFFFF"/>
                <w:sz w:val="17"/>
              </w:rPr>
              <w:t>Yıllık</w:t>
            </w:r>
          </w:p>
        </w:tc>
        <w:tc>
          <w:tcPr>
            <w:tcW w:type="dxa" w:w="1928"/>
            <w:shd w:val="clear" w:fill="1F2A30"/>
          </w:tcPr>
          <w:p>
            <w:pPr>
              <w:spacing w:after="40" w:before="40"/>
            </w:pPr>
            <w:r/>
            <w:r>
              <w:rPr>
                <w:rFonts w:ascii="Arial" w:hAnsi="Arial"/>
                <w:b/>
                <w:color w:val="FFFFFF"/>
                <w:sz w:val="17"/>
              </w:rPr>
              <w:t>Hedef segment</w:t>
            </w:r>
          </w:p>
        </w:tc>
      </w:tr>
      <w:tr>
        <w:tc>
          <w:tcPr>
            <w:tcW w:type="dxa" w:w="1928"/>
            <w:shd w:val="clear" w:fill="FFFFFF"/>
          </w:tcPr>
          <w:p>
            <w:pPr>
              <w:spacing w:after="40" w:before="40"/>
            </w:pPr>
            <w:r/>
            <w:r>
              <w:rPr>
                <w:rFonts w:ascii="Arial" w:hAnsi="Arial"/>
                <w:b w:val="0"/>
                <w:color w:val="111418"/>
                <w:sz w:val="17"/>
              </w:rPr>
              <w:t>Community</w:t>
            </w:r>
          </w:p>
        </w:tc>
        <w:tc>
          <w:tcPr>
            <w:tcW w:type="dxa" w:w="1928"/>
            <w:shd w:val="clear" w:fill="FFFFFF"/>
          </w:tcPr>
          <w:p>
            <w:pPr>
              <w:spacing w:after="40" w:before="40"/>
            </w:pPr>
            <w:r/>
            <w:r>
              <w:rPr>
                <w:rFonts w:ascii="Arial" w:hAnsi="Arial"/>
                <w:b w:val="0"/>
                <w:color w:val="111418"/>
                <w:sz w:val="17"/>
              </w:rPr>
              <w:t>5 düğüm</w:t>
            </w:r>
          </w:p>
        </w:tc>
        <w:tc>
          <w:tcPr>
            <w:tcW w:type="dxa" w:w="1928"/>
            <w:shd w:val="clear" w:fill="FFFFFF"/>
          </w:tcPr>
          <w:p>
            <w:pPr>
              <w:spacing w:after="40" w:before="40"/>
            </w:pPr>
            <w:r/>
            <w:r>
              <w:rPr>
                <w:rFonts w:ascii="Arial" w:hAnsi="Arial"/>
                <w:b w:val="0"/>
                <w:color w:val="111418"/>
                <w:sz w:val="17"/>
              </w:rPr>
              <w:t>0 €</w:t>
            </w:r>
          </w:p>
        </w:tc>
        <w:tc>
          <w:tcPr>
            <w:tcW w:type="dxa" w:w="1928"/>
            <w:shd w:val="clear" w:fill="FFFFFF"/>
          </w:tcPr>
          <w:p>
            <w:pPr>
              <w:spacing w:after="40" w:before="40"/>
            </w:pPr>
            <w:r/>
            <w:r>
              <w:rPr>
                <w:rFonts w:ascii="Arial" w:hAnsi="Arial"/>
                <w:b w:val="0"/>
                <w:color w:val="111418"/>
                <w:sz w:val="17"/>
              </w:rPr>
              <w:t>0 €</w:t>
            </w:r>
          </w:p>
        </w:tc>
        <w:tc>
          <w:tcPr>
            <w:tcW w:type="dxa" w:w="1928"/>
            <w:shd w:val="clear" w:fill="FFFFFF"/>
          </w:tcPr>
          <w:p>
            <w:pPr>
              <w:spacing w:after="40" w:before="40"/>
            </w:pPr>
            <w:r/>
            <w:r>
              <w:rPr>
                <w:rFonts w:ascii="Arial" w:hAnsi="Arial"/>
                <w:b w:val="0"/>
                <w:color w:val="111418"/>
                <w:sz w:val="17"/>
              </w:rPr>
              <w:t>Bireysel, hobi, saha denemesi</w:t>
            </w:r>
          </w:p>
        </w:tc>
      </w:tr>
      <w:tr>
        <w:tc>
          <w:tcPr>
            <w:tcW w:type="dxa" w:w="1928"/>
            <w:shd w:val="clear" w:fill="F2F5F6"/>
          </w:tcPr>
          <w:p>
            <w:pPr>
              <w:spacing w:after="40" w:before="40"/>
            </w:pPr>
            <w:r/>
            <w:r>
              <w:rPr>
                <w:rFonts w:ascii="Arial" w:hAnsi="Arial"/>
                <w:b w:val="0"/>
                <w:color w:val="111418"/>
                <w:sz w:val="17"/>
              </w:rPr>
              <w:t>Pro</w:t>
            </w:r>
          </w:p>
        </w:tc>
        <w:tc>
          <w:tcPr>
            <w:tcW w:type="dxa" w:w="1928"/>
            <w:shd w:val="clear" w:fill="F2F5F6"/>
          </w:tcPr>
          <w:p>
            <w:pPr>
              <w:spacing w:after="40" w:before="40"/>
            </w:pPr>
            <w:r/>
            <w:r>
              <w:rPr>
                <w:rFonts w:ascii="Arial" w:hAnsi="Arial"/>
                <w:b w:val="0"/>
                <w:color w:val="111418"/>
                <w:sz w:val="17"/>
              </w:rPr>
              <w:t>6–24 düğüm</w:t>
            </w:r>
          </w:p>
        </w:tc>
        <w:tc>
          <w:tcPr>
            <w:tcW w:type="dxa" w:w="1928"/>
            <w:shd w:val="clear" w:fill="F2F5F6"/>
          </w:tcPr>
          <w:p>
            <w:pPr>
              <w:spacing w:after="40" w:before="40"/>
            </w:pPr>
            <w:r/>
            <w:r>
              <w:rPr>
                <w:rFonts w:ascii="Arial" w:hAnsi="Arial"/>
                <w:b w:val="0"/>
                <w:color w:val="111418"/>
                <w:sz w:val="17"/>
              </w:rPr>
              <w:t>29 €</w:t>
            </w:r>
          </w:p>
        </w:tc>
        <w:tc>
          <w:tcPr>
            <w:tcW w:type="dxa" w:w="1928"/>
            <w:shd w:val="clear" w:fill="F2F5F6"/>
          </w:tcPr>
          <w:p>
            <w:pPr>
              <w:spacing w:after="40" w:before="40"/>
            </w:pPr>
            <w:r/>
            <w:r>
              <w:rPr>
                <w:rFonts w:ascii="Arial" w:hAnsi="Arial"/>
                <w:b w:val="0"/>
                <w:color w:val="111418"/>
                <w:sz w:val="17"/>
              </w:rPr>
              <w:t>290 €</w:t>
            </w:r>
          </w:p>
        </w:tc>
        <w:tc>
          <w:tcPr>
            <w:tcW w:type="dxa" w:w="1928"/>
            <w:shd w:val="clear" w:fill="F2F5F6"/>
          </w:tcPr>
          <w:p>
            <w:pPr>
              <w:spacing w:after="40" w:before="40"/>
            </w:pPr>
            <w:r/>
            <w:r>
              <w:rPr>
                <w:rFonts w:ascii="Arial" w:hAnsi="Arial"/>
                <w:b w:val="0"/>
                <w:color w:val="111418"/>
                <w:sz w:val="17"/>
              </w:rPr>
              <w:t>KOBİ, STK, küçük belediye birimi</w:t>
            </w:r>
          </w:p>
        </w:tc>
      </w:tr>
      <w:tr>
        <w:tc>
          <w:tcPr>
            <w:tcW w:type="dxa" w:w="1928"/>
            <w:shd w:val="clear" w:fill="FFFFFF"/>
          </w:tcPr>
          <w:p>
            <w:pPr>
              <w:spacing w:after="40" w:before="40"/>
            </w:pPr>
            <w:r/>
            <w:r>
              <w:rPr>
                <w:rFonts w:ascii="Arial" w:hAnsi="Arial"/>
                <w:b w:val="0"/>
                <w:color w:val="111418"/>
                <w:sz w:val="17"/>
              </w:rPr>
              <w:t>Enterprise</w:t>
            </w:r>
          </w:p>
        </w:tc>
        <w:tc>
          <w:tcPr>
            <w:tcW w:type="dxa" w:w="1928"/>
            <w:shd w:val="clear" w:fill="FFFFFF"/>
          </w:tcPr>
          <w:p>
            <w:pPr>
              <w:spacing w:after="40" w:before="40"/>
            </w:pPr>
            <w:r/>
            <w:r>
              <w:rPr>
                <w:rFonts w:ascii="Arial" w:hAnsi="Arial"/>
                <w:b w:val="0"/>
                <w:color w:val="111418"/>
                <w:sz w:val="17"/>
              </w:rPr>
              <w:t>25+ düğüm</w:t>
            </w:r>
          </w:p>
        </w:tc>
        <w:tc>
          <w:tcPr>
            <w:tcW w:type="dxa" w:w="1928"/>
            <w:shd w:val="clear" w:fill="FFFFFF"/>
          </w:tcPr>
          <w:p>
            <w:pPr>
              <w:spacing w:after="40" w:before="40"/>
            </w:pPr>
            <w:r/>
            <w:r>
              <w:rPr>
                <w:rFonts w:ascii="Arial" w:hAnsi="Arial"/>
                <w:b w:val="0"/>
                <w:color w:val="111418"/>
                <w:sz w:val="17"/>
              </w:rPr>
              <w:t>Teklif</w:t>
            </w:r>
          </w:p>
        </w:tc>
        <w:tc>
          <w:tcPr>
            <w:tcW w:type="dxa" w:w="1928"/>
            <w:shd w:val="clear" w:fill="FFFFFF"/>
          </w:tcPr>
          <w:p>
            <w:pPr>
              <w:spacing w:after="40" w:before="40"/>
            </w:pPr>
            <w:r/>
            <w:r>
              <w:rPr>
                <w:rFonts w:ascii="Arial" w:hAnsi="Arial"/>
                <w:b w:val="0"/>
                <w:color w:val="111418"/>
                <w:sz w:val="17"/>
              </w:rPr>
              <w:t>Teklif</w:t>
            </w:r>
          </w:p>
        </w:tc>
        <w:tc>
          <w:tcPr>
            <w:tcW w:type="dxa" w:w="1928"/>
            <w:shd w:val="clear" w:fill="FFFFFF"/>
          </w:tcPr>
          <w:p>
            <w:pPr>
              <w:spacing w:after="40" w:before="40"/>
            </w:pPr>
            <w:r/>
            <w:r>
              <w:rPr>
                <w:rFonts w:ascii="Arial" w:hAnsi="Arial"/>
                <w:b w:val="0"/>
                <w:color w:val="111418"/>
                <w:sz w:val="17"/>
              </w:rPr>
              <w:t>Kamu, afet, endüstriyel saha</w:t>
            </w:r>
          </w:p>
        </w:tc>
      </w:tr>
    </w:tbl>
    <w:p>
      <w:pPr>
        <w:spacing w:after="80"/>
      </w:pPr>
    </w:p>
    <w:p>
      <w:pPr>
        <w:spacing w:before="0" w:after="100"/>
      </w:pPr>
      <w:r>
        <w:rPr>
          <w:rFonts w:ascii="Arial" w:hAnsi="Arial"/>
          <w:b w:val="0"/>
          <w:i w:val="0"/>
          <w:color w:val="111418"/>
          <w:sz w:val="19"/>
        </w:rPr>
        <w:t>Community katmanı ücretsizdir ve satın alma öncesi güven inşa eden kanıt aracıdır; dönüşüm hunisinin üst ağzını besler.</w:t>
      </w:r>
    </w:p>
    <w:p>
      <w:pPr>
        <w:spacing w:before="200" w:after="80"/>
      </w:pPr>
      <w:r>
        <w:rPr>
          <w:rFonts w:ascii="Arial" w:hAnsi="Arial"/>
          <w:b/>
          <w:i w:val="0"/>
          <w:color w:val="0F766E"/>
          <w:sz w:val="22"/>
        </w:rPr>
        <w:t>1.2 Maliyet yapısı (aylık, 12. ay senaryosu)</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2A30"/>
          </w:tcPr>
          <w:p>
            <w:pPr>
              <w:spacing w:after="40" w:before="40"/>
            </w:pPr>
            <w:r/>
            <w:r>
              <w:rPr>
                <w:rFonts w:ascii="Arial" w:hAnsi="Arial"/>
                <w:b/>
                <w:color w:val="FFFFFF"/>
                <w:sz w:val="17"/>
              </w:rPr>
              <w:t>Kalem</w:t>
            </w:r>
          </w:p>
        </w:tc>
        <w:tc>
          <w:tcPr>
            <w:tcW w:type="dxa" w:w="3213"/>
            <w:shd w:val="clear" w:fill="1F2A30"/>
          </w:tcPr>
          <w:p>
            <w:pPr>
              <w:spacing w:after="40" w:before="40"/>
            </w:pPr>
            <w:r/>
            <w:r>
              <w:rPr>
                <w:rFonts w:ascii="Arial" w:hAnsi="Arial"/>
                <w:b/>
                <w:color w:val="FFFFFF"/>
                <w:sz w:val="17"/>
              </w:rPr>
              <w:t>Tahmini aylık</w:t>
            </w:r>
          </w:p>
        </w:tc>
        <w:tc>
          <w:tcPr>
            <w:tcW w:type="dxa" w:w="3213"/>
            <w:shd w:val="clear" w:fill="1F2A30"/>
          </w:tcPr>
          <w:p>
            <w:pPr>
              <w:spacing w:after="40" w:before="40"/>
            </w:pPr>
            <w:r/>
            <w:r>
              <w:rPr>
                <w:rFonts w:ascii="Arial" w:hAnsi="Arial"/>
                <w:b/>
                <w:color w:val="FFFFFF"/>
                <w:sz w:val="17"/>
              </w:rPr>
              <w:t>Not</w:t>
            </w:r>
          </w:p>
        </w:tc>
      </w:tr>
      <w:tr>
        <w:tc>
          <w:tcPr>
            <w:tcW w:type="dxa" w:w="3213"/>
            <w:shd w:val="clear" w:fill="FFFFFF"/>
          </w:tcPr>
          <w:p>
            <w:pPr>
              <w:spacing w:after="40" w:before="40"/>
            </w:pPr>
            <w:r/>
            <w:r>
              <w:rPr>
                <w:rFonts w:ascii="Arial" w:hAnsi="Arial"/>
                <w:b w:val="0"/>
                <w:color w:val="111418"/>
                <w:sz w:val="17"/>
              </w:rPr>
              <w:t>Bulut / veritabanı / edge runtime</w:t>
            </w:r>
          </w:p>
        </w:tc>
        <w:tc>
          <w:tcPr>
            <w:tcW w:type="dxa" w:w="3213"/>
            <w:shd w:val="clear" w:fill="FFFFFF"/>
          </w:tcPr>
          <w:p>
            <w:pPr>
              <w:spacing w:after="40" w:before="40"/>
            </w:pPr>
            <w:r/>
            <w:r>
              <w:rPr>
                <w:rFonts w:ascii="Arial" w:hAnsi="Arial"/>
                <w:b w:val="0"/>
                <w:color w:val="111418"/>
                <w:sz w:val="17"/>
              </w:rPr>
              <w:t>60–150 €</w:t>
            </w:r>
          </w:p>
        </w:tc>
        <w:tc>
          <w:tcPr>
            <w:tcW w:type="dxa" w:w="3213"/>
            <w:shd w:val="clear" w:fill="FFFFFF"/>
          </w:tcPr>
          <w:p>
            <w:pPr>
              <w:spacing w:after="40" w:before="40"/>
            </w:pPr>
            <w:r/>
            <w:r>
              <w:rPr>
                <w:rFonts w:ascii="Arial" w:hAnsi="Arial"/>
                <w:b w:val="0"/>
                <w:color w:val="111418"/>
                <w:sz w:val="17"/>
              </w:rPr>
              <w:t>Kullanıma göre ölçeklenen sunucusuz maliyet</w:t>
            </w:r>
          </w:p>
        </w:tc>
      </w:tr>
      <w:tr>
        <w:tc>
          <w:tcPr>
            <w:tcW w:type="dxa" w:w="3213"/>
            <w:shd w:val="clear" w:fill="F2F5F6"/>
          </w:tcPr>
          <w:p>
            <w:pPr>
              <w:spacing w:after="40" w:before="40"/>
            </w:pPr>
            <w:r/>
            <w:r>
              <w:rPr>
                <w:rFonts w:ascii="Arial" w:hAnsi="Arial"/>
                <w:b w:val="0"/>
                <w:color w:val="111418"/>
                <w:sz w:val="17"/>
              </w:rPr>
              <w:t>AI Gateway (danışman, teklif üretimi)</w:t>
            </w:r>
          </w:p>
        </w:tc>
        <w:tc>
          <w:tcPr>
            <w:tcW w:type="dxa" w:w="3213"/>
            <w:shd w:val="clear" w:fill="F2F5F6"/>
          </w:tcPr>
          <w:p>
            <w:pPr>
              <w:spacing w:after="40" w:before="40"/>
            </w:pPr>
            <w:r/>
            <w:r>
              <w:rPr>
                <w:rFonts w:ascii="Arial" w:hAnsi="Arial"/>
                <w:b w:val="0"/>
                <w:color w:val="111418"/>
                <w:sz w:val="17"/>
              </w:rPr>
              <w:t>20–80 €</w:t>
            </w:r>
          </w:p>
        </w:tc>
        <w:tc>
          <w:tcPr>
            <w:tcW w:type="dxa" w:w="3213"/>
            <w:shd w:val="clear" w:fill="F2F5F6"/>
          </w:tcPr>
          <w:p>
            <w:pPr>
              <w:spacing w:after="40" w:before="40"/>
            </w:pPr>
            <w:r/>
            <w:r>
              <w:rPr>
                <w:rFonts w:ascii="Arial" w:hAnsi="Arial"/>
                <w:b w:val="0"/>
                <w:color w:val="111418"/>
                <w:sz w:val="17"/>
              </w:rPr>
              <w:t>Token tüketimine bağlı, kotalıdır</w:t>
            </w:r>
          </w:p>
        </w:tc>
      </w:tr>
      <w:tr>
        <w:tc>
          <w:tcPr>
            <w:tcW w:type="dxa" w:w="3213"/>
            <w:shd w:val="clear" w:fill="FFFFFF"/>
          </w:tcPr>
          <w:p>
            <w:pPr>
              <w:spacing w:after="40" w:before="40"/>
            </w:pPr>
            <w:r/>
            <w:r>
              <w:rPr>
                <w:rFonts w:ascii="Arial" w:hAnsi="Arial"/>
                <w:b w:val="0"/>
                <w:color w:val="111418"/>
                <w:sz w:val="17"/>
              </w:rPr>
              <w:t>Alan adı, e-posta, izleme</w:t>
            </w:r>
          </w:p>
        </w:tc>
        <w:tc>
          <w:tcPr>
            <w:tcW w:type="dxa" w:w="3213"/>
            <w:shd w:val="clear" w:fill="FFFFFF"/>
          </w:tcPr>
          <w:p>
            <w:pPr>
              <w:spacing w:after="40" w:before="40"/>
            </w:pPr>
            <w:r/>
            <w:r>
              <w:rPr>
                <w:rFonts w:ascii="Arial" w:hAnsi="Arial"/>
                <w:b w:val="0"/>
                <w:color w:val="111418"/>
                <w:sz w:val="17"/>
              </w:rPr>
              <w:t>15–30 €</w:t>
            </w:r>
          </w:p>
        </w:tc>
        <w:tc>
          <w:tcPr>
            <w:tcW w:type="dxa" w:w="3213"/>
            <w:shd w:val="clear" w:fill="FFFFFF"/>
          </w:tcPr>
          <w:p>
            <w:pPr>
              <w:spacing w:after="40" w:before="40"/>
            </w:pPr>
            <w:r/>
            <w:r>
              <w:rPr>
                <w:rFonts w:ascii="Arial" w:hAnsi="Arial"/>
                <w:b w:val="0"/>
                <w:color w:val="111418"/>
                <w:sz w:val="17"/>
              </w:rPr>
              <w:t>Sabit</w:t>
            </w:r>
          </w:p>
        </w:tc>
      </w:tr>
      <w:tr>
        <w:tc>
          <w:tcPr>
            <w:tcW w:type="dxa" w:w="3213"/>
            <w:shd w:val="clear" w:fill="F2F5F6"/>
          </w:tcPr>
          <w:p>
            <w:pPr>
              <w:spacing w:after="40" w:before="40"/>
            </w:pPr>
            <w:r/>
            <w:r>
              <w:rPr>
                <w:rFonts w:ascii="Arial" w:hAnsi="Arial"/>
                <w:b w:val="0"/>
                <w:color w:val="111418"/>
                <w:sz w:val="17"/>
              </w:rPr>
              <w:t>Sertifikasyon amortismanı</w:t>
            </w:r>
          </w:p>
        </w:tc>
        <w:tc>
          <w:tcPr>
            <w:tcW w:type="dxa" w:w="3213"/>
            <w:shd w:val="clear" w:fill="F2F5F6"/>
          </w:tcPr>
          <w:p>
            <w:pPr>
              <w:spacing w:after="40" w:before="40"/>
            </w:pPr>
            <w:r/>
            <w:r>
              <w:rPr>
                <w:rFonts w:ascii="Arial" w:hAnsi="Arial"/>
                <w:b w:val="0"/>
                <w:color w:val="111418"/>
                <w:sz w:val="17"/>
              </w:rPr>
              <w:t>150–400 €</w:t>
            </w:r>
          </w:p>
        </w:tc>
        <w:tc>
          <w:tcPr>
            <w:tcW w:type="dxa" w:w="3213"/>
            <w:shd w:val="clear" w:fill="F2F5F6"/>
          </w:tcPr>
          <w:p>
            <w:pPr>
              <w:spacing w:after="40" w:before="40"/>
            </w:pPr>
            <w:r/>
            <w:r>
              <w:rPr>
                <w:rFonts w:ascii="Arial" w:hAnsi="Arial"/>
                <w:b w:val="0"/>
                <w:color w:val="111418"/>
                <w:sz w:val="17"/>
              </w:rPr>
              <w:t>CE/RED ve test bütçesinin aylığa dağılımı</w:t>
            </w:r>
          </w:p>
        </w:tc>
      </w:tr>
      <w:tr>
        <w:tc>
          <w:tcPr>
            <w:tcW w:type="dxa" w:w="3213"/>
            <w:shd w:val="clear" w:fill="FFFFFF"/>
          </w:tcPr>
          <w:p>
            <w:pPr>
              <w:spacing w:after="40" w:before="40"/>
            </w:pPr>
            <w:r/>
            <w:r>
              <w:rPr>
                <w:rFonts w:ascii="Arial" w:hAnsi="Arial"/>
                <w:b w:val="0"/>
                <w:color w:val="111418"/>
                <w:sz w:val="17"/>
              </w:rPr>
              <w:t>Pilot saha ve lojistik</w:t>
            </w:r>
          </w:p>
        </w:tc>
        <w:tc>
          <w:tcPr>
            <w:tcW w:type="dxa" w:w="3213"/>
            <w:shd w:val="clear" w:fill="FFFFFF"/>
          </w:tcPr>
          <w:p>
            <w:pPr>
              <w:spacing w:after="40" w:before="40"/>
            </w:pPr>
            <w:r/>
            <w:r>
              <w:rPr>
                <w:rFonts w:ascii="Arial" w:hAnsi="Arial"/>
                <w:b w:val="0"/>
                <w:color w:val="111418"/>
                <w:sz w:val="17"/>
              </w:rPr>
              <w:t>100–300 €</w:t>
            </w:r>
          </w:p>
        </w:tc>
        <w:tc>
          <w:tcPr>
            <w:tcW w:type="dxa" w:w="3213"/>
            <w:shd w:val="clear" w:fill="FFFFFF"/>
          </w:tcPr>
          <w:p>
            <w:pPr>
              <w:spacing w:after="40" w:before="40"/>
            </w:pPr>
            <w:r/>
            <w:r>
              <w:rPr>
                <w:rFonts w:ascii="Arial" w:hAnsi="Arial"/>
                <w:b w:val="0"/>
                <w:color w:val="111418"/>
                <w:sz w:val="17"/>
              </w:rPr>
              <w:t>Sakarya pilotu süresince</w:t>
            </w:r>
          </w:p>
        </w:tc>
      </w:tr>
    </w:tbl>
    <w:p>
      <w:pPr>
        <w:spacing w:after="80"/>
      </w:pPr>
    </w:p>
    <w:p>
      <w:pPr>
        <w:spacing w:before="0" w:after="100"/>
      </w:pPr>
      <w:r>
        <w:rPr>
          <w:rFonts w:ascii="Arial" w:hAnsi="Arial"/>
          <w:b w:val="0"/>
          <w:i w:val="0"/>
          <w:color w:val="111418"/>
          <w:sz w:val="19"/>
        </w:rPr>
        <w:t xml:space="preserve">Yazılım tarafında değişken maliyet, kullanıcı başına yaklaşık </w:t>
      </w:r>
      <w:r>
        <w:rPr>
          <w:rFonts w:ascii="Arial" w:hAnsi="Arial"/>
          <w:b/>
          <w:i w:val="0"/>
          <w:color w:val="111418"/>
          <w:sz w:val="19"/>
        </w:rPr>
        <w:t>0,4–1,2 €/ay</w:t>
      </w:r>
      <w:r>
        <w:rPr>
          <w:rFonts w:ascii="Arial" w:hAnsi="Arial"/>
          <w:b w:val="0"/>
          <w:i w:val="0"/>
          <w:color w:val="111418"/>
          <w:sz w:val="19"/>
        </w:rPr>
        <w:t xml:space="preserve"> bandındadır; bu da Pro planında </w:t>
      </w:r>
      <w:r>
        <w:rPr>
          <w:rFonts w:ascii="Arial" w:hAnsi="Arial"/>
          <w:b/>
          <w:i w:val="0"/>
          <w:color w:val="111418"/>
          <w:sz w:val="19"/>
        </w:rPr>
        <w:t>%92–96</w:t>
      </w:r>
      <w:r>
        <w:rPr>
          <w:rFonts w:ascii="Arial" w:hAnsi="Arial"/>
          <w:b w:val="0"/>
          <w:i w:val="0"/>
          <w:color w:val="111418"/>
          <w:sz w:val="19"/>
        </w:rPr>
        <w:t xml:space="preserve"> brüt marj anlamına gelir.</w:t>
      </w:r>
    </w:p>
    <w:p>
      <w:pPr>
        <w:spacing w:before="200" w:after="80"/>
      </w:pPr>
      <w:r>
        <w:rPr>
          <w:rFonts w:ascii="Arial" w:hAnsi="Arial"/>
          <w:b/>
          <w:i w:val="0"/>
          <w:color w:val="0F766E"/>
          <w:sz w:val="22"/>
        </w:rPr>
        <w:t>1.3 Birim ekonomi</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2A30"/>
          </w:tcPr>
          <w:p>
            <w:pPr>
              <w:spacing w:after="40" w:before="40"/>
            </w:pPr>
            <w:r/>
            <w:r>
              <w:rPr>
                <w:rFonts w:ascii="Arial" w:hAnsi="Arial"/>
                <w:b/>
                <w:color w:val="FFFFFF"/>
                <w:sz w:val="17"/>
              </w:rPr>
              <w:t>Metrik</w:t>
            </w:r>
          </w:p>
        </w:tc>
        <w:tc>
          <w:tcPr>
            <w:tcW w:type="dxa" w:w="3213"/>
            <w:shd w:val="clear" w:fill="1F2A30"/>
          </w:tcPr>
          <w:p>
            <w:pPr>
              <w:spacing w:after="40" w:before="40"/>
            </w:pPr>
            <w:r/>
            <w:r>
              <w:rPr>
                <w:rFonts w:ascii="Arial" w:hAnsi="Arial"/>
                <w:b/>
                <w:color w:val="FFFFFF"/>
                <w:sz w:val="17"/>
              </w:rPr>
              <w:t>Varsayım</w:t>
            </w:r>
          </w:p>
        </w:tc>
        <w:tc>
          <w:tcPr>
            <w:tcW w:type="dxa" w:w="3213"/>
            <w:shd w:val="clear" w:fill="1F2A30"/>
          </w:tcPr>
          <w:p>
            <w:pPr>
              <w:spacing w:after="40" w:before="40"/>
            </w:pPr>
            <w:r/>
            <w:r>
              <w:rPr>
                <w:rFonts w:ascii="Arial" w:hAnsi="Arial"/>
                <w:b/>
                <w:color w:val="FFFFFF"/>
                <w:sz w:val="17"/>
              </w:rPr>
              <w:t>Değer</w:t>
            </w:r>
          </w:p>
        </w:tc>
      </w:tr>
      <w:tr>
        <w:tc>
          <w:tcPr>
            <w:tcW w:type="dxa" w:w="3213"/>
            <w:shd w:val="clear" w:fill="FFFFFF"/>
          </w:tcPr>
          <w:p>
            <w:pPr>
              <w:spacing w:after="40" w:before="40"/>
            </w:pPr>
            <w:r/>
            <w:r>
              <w:rPr>
                <w:rFonts w:ascii="Arial" w:hAnsi="Arial"/>
                <w:b w:val="0"/>
                <w:color w:val="111418"/>
                <w:sz w:val="17"/>
              </w:rPr>
              <w:t>ARPA (Pro, karma)</w:t>
            </w:r>
          </w:p>
        </w:tc>
        <w:tc>
          <w:tcPr>
            <w:tcW w:type="dxa" w:w="3213"/>
            <w:shd w:val="clear" w:fill="FFFFFF"/>
          </w:tcPr>
          <w:p>
            <w:pPr>
              <w:spacing w:after="40" w:before="40"/>
            </w:pPr>
            <w:r/>
            <w:r>
              <w:rPr>
                <w:rFonts w:ascii="Arial" w:hAnsi="Arial"/>
                <w:b w:val="0"/>
                <w:color w:val="111418"/>
                <w:sz w:val="17"/>
              </w:rPr>
              <w:t>Aylık/yıllık karışımı</w:t>
            </w:r>
          </w:p>
        </w:tc>
        <w:tc>
          <w:tcPr>
            <w:tcW w:type="dxa" w:w="3213"/>
            <w:shd w:val="clear" w:fill="FFFFFF"/>
          </w:tcPr>
          <w:p>
            <w:pPr>
              <w:spacing w:after="40" w:before="40"/>
            </w:pPr>
            <w:r/>
            <w:r>
              <w:rPr>
                <w:rFonts w:ascii="Arial" w:hAnsi="Arial"/>
                <w:b w:val="0"/>
                <w:color w:val="111418"/>
                <w:sz w:val="17"/>
              </w:rPr>
              <w:t>≈ 26 €/ay</w:t>
            </w:r>
          </w:p>
        </w:tc>
      </w:tr>
      <w:tr>
        <w:tc>
          <w:tcPr>
            <w:tcW w:type="dxa" w:w="3213"/>
            <w:shd w:val="clear" w:fill="F2F5F6"/>
          </w:tcPr>
          <w:p>
            <w:pPr>
              <w:spacing w:after="40" w:before="40"/>
            </w:pPr>
            <w:r/>
            <w:r>
              <w:rPr>
                <w:rFonts w:ascii="Arial" w:hAnsi="Arial"/>
                <w:b w:val="0"/>
                <w:color w:val="111418"/>
                <w:sz w:val="17"/>
              </w:rPr>
              <w:t>Brüt marj</w:t>
            </w:r>
          </w:p>
        </w:tc>
        <w:tc>
          <w:tcPr>
            <w:tcW w:type="dxa" w:w="3213"/>
            <w:shd w:val="clear" w:fill="F2F5F6"/>
          </w:tcPr>
          <w:p>
            <w:pPr>
              <w:spacing w:after="40" w:before="40"/>
            </w:pPr>
            <w:r/>
            <w:r>
              <w:rPr>
                <w:rFonts w:ascii="Arial" w:hAnsi="Arial"/>
                <w:b w:val="0"/>
                <w:color w:val="111418"/>
                <w:sz w:val="17"/>
              </w:rPr>
              <w:t>Altyapı + AI maliyeti düşülmüş</w:t>
            </w:r>
          </w:p>
        </w:tc>
        <w:tc>
          <w:tcPr>
            <w:tcW w:type="dxa" w:w="3213"/>
            <w:shd w:val="clear" w:fill="F2F5F6"/>
          </w:tcPr>
          <w:p>
            <w:pPr>
              <w:spacing w:after="40" w:before="40"/>
            </w:pPr>
            <w:r/>
            <w:r>
              <w:rPr>
                <w:rFonts w:ascii="Arial" w:hAnsi="Arial"/>
                <w:b w:val="0"/>
                <w:color w:val="111418"/>
                <w:sz w:val="17"/>
              </w:rPr>
              <w:t>≈ %94</w:t>
            </w:r>
          </w:p>
        </w:tc>
      </w:tr>
      <w:tr>
        <w:tc>
          <w:tcPr>
            <w:tcW w:type="dxa" w:w="3213"/>
            <w:shd w:val="clear" w:fill="FFFFFF"/>
          </w:tcPr>
          <w:p>
            <w:pPr>
              <w:spacing w:after="40" w:before="40"/>
            </w:pPr>
            <w:r/>
            <w:r>
              <w:rPr>
                <w:rFonts w:ascii="Arial" w:hAnsi="Arial"/>
                <w:b w:val="0"/>
                <w:color w:val="111418"/>
                <w:sz w:val="17"/>
              </w:rPr>
              <w:t>CAC (organik ağırlıklı)</w:t>
            </w:r>
          </w:p>
        </w:tc>
        <w:tc>
          <w:tcPr>
            <w:tcW w:type="dxa" w:w="3213"/>
            <w:shd w:val="clear" w:fill="FFFFFF"/>
          </w:tcPr>
          <w:p>
            <w:pPr>
              <w:spacing w:after="40" w:before="40"/>
            </w:pPr>
            <w:r/>
            <w:r>
              <w:rPr>
                <w:rFonts w:ascii="Arial" w:hAnsi="Arial"/>
                <w:b w:val="0"/>
                <w:color w:val="111418"/>
                <w:sz w:val="17"/>
              </w:rPr>
              <w:t>İçerik, saha demosu, referans</w:t>
            </w:r>
          </w:p>
        </w:tc>
        <w:tc>
          <w:tcPr>
            <w:tcW w:type="dxa" w:w="3213"/>
            <w:shd w:val="clear" w:fill="FFFFFF"/>
          </w:tcPr>
          <w:p>
            <w:pPr>
              <w:spacing w:after="40" w:before="40"/>
            </w:pPr>
            <w:r/>
            <w:r>
              <w:rPr>
                <w:rFonts w:ascii="Arial" w:hAnsi="Arial"/>
                <w:b w:val="0"/>
                <w:color w:val="111418"/>
                <w:sz w:val="17"/>
              </w:rPr>
              <w:t>60–140 €</w:t>
            </w:r>
          </w:p>
        </w:tc>
      </w:tr>
      <w:tr>
        <w:tc>
          <w:tcPr>
            <w:tcW w:type="dxa" w:w="3213"/>
            <w:shd w:val="clear" w:fill="F2F5F6"/>
          </w:tcPr>
          <w:p>
            <w:pPr>
              <w:spacing w:after="40" w:before="40"/>
            </w:pPr>
            <w:r/>
            <w:r>
              <w:rPr>
                <w:rFonts w:ascii="Arial" w:hAnsi="Arial"/>
                <w:b w:val="0"/>
                <w:color w:val="111418"/>
                <w:sz w:val="17"/>
              </w:rPr>
              <w:t>Aylık churn</w:t>
            </w:r>
          </w:p>
        </w:tc>
        <w:tc>
          <w:tcPr>
            <w:tcW w:type="dxa" w:w="3213"/>
            <w:shd w:val="clear" w:fill="F2F5F6"/>
          </w:tcPr>
          <w:p>
            <w:pPr>
              <w:spacing w:after="40" w:before="40"/>
            </w:pPr>
            <w:r/>
            <w:r>
              <w:rPr>
                <w:rFonts w:ascii="Arial" w:hAnsi="Arial"/>
                <w:b w:val="0"/>
                <w:color w:val="111418"/>
                <w:sz w:val="17"/>
              </w:rPr>
              <w:t>B2B küçük hesap</w:t>
            </w:r>
          </w:p>
        </w:tc>
        <w:tc>
          <w:tcPr>
            <w:tcW w:type="dxa" w:w="3213"/>
            <w:shd w:val="clear" w:fill="F2F5F6"/>
          </w:tcPr>
          <w:p>
            <w:pPr>
              <w:spacing w:after="40" w:before="40"/>
            </w:pPr>
            <w:r/>
            <w:r>
              <w:rPr>
                <w:rFonts w:ascii="Arial" w:hAnsi="Arial"/>
                <w:b w:val="0"/>
                <w:color w:val="111418"/>
                <w:sz w:val="17"/>
              </w:rPr>
              <w:t>%3–5</w:t>
            </w:r>
          </w:p>
        </w:tc>
      </w:tr>
      <w:tr>
        <w:tc>
          <w:tcPr>
            <w:tcW w:type="dxa" w:w="3213"/>
            <w:shd w:val="clear" w:fill="FFFFFF"/>
          </w:tcPr>
          <w:p>
            <w:pPr>
              <w:spacing w:after="40" w:before="40"/>
            </w:pPr>
            <w:r/>
            <w:r>
              <w:rPr>
                <w:rFonts w:ascii="Arial" w:hAnsi="Arial"/>
                <w:b w:val="0"/>
                <w:color w:val="111418"/>
                <w:sz w:val="17"/>
              </w:rPr>
              <w:t>Ortalama ömür</w:t>
            </w:r>
          </w:p>
        </w:tc>
        <w:tc>
          <w:tcPr>
            <w:tcW w:type="dxa" w:w="3213"/>
            <w:shd w:val="clear" w:fill="FFFFFF"/>
          </w:tcPr>
          <w:p>
            <w:pPr>
              <w:spacing w:after="40" w:before="40"/>
            </w:pPr>
            <w:r/>
            <w:r>
              <w:rPr>
                <w:rFonts w:ascii="Arial" w:hAnsi="Arial"/>
                <w:b w:val="0"/>
                <w:color w:val="111418"/>
                <w:sz w:val="17"/>
              </w:rPr>
              <w:t>1 / churn</w:t>
            </w:r>
          </w:p>
        </w:tc>
        <w:tc>
          <w:tcPr>
            <w:tcW w:type="dxa" w:w="3213"/>
            <w:shd w:val="clear" w:fill="FFFFFF"/>
          </w:tcPr>
          <w:p>
            <w:pPr>
              <w:spacing w:after="40" w:before="40"/>
            </w:pPr>
            <w:r/>
            <w:r>
              <w:rPr>
                <w:rFonts w:ascii="Arial" w:hAnsi="Arial"/>
                <w:b w:val="0"/>
                <w:color w:val="111418"/>
                <w:sz w:val="17"/>
              </w:rPr>
              <w:t>20–33 ay</w:t>
            </w:r>
          </w:p>
        </w:tc>
      </w:tr>
      <w:tr>
        <w:tc>
          <w:tcPr>
            <w:tcW w:type="dxa" w:w="3213"/>
            <w:shd w:val="clear" w:fill="F2F5F6"/>
          </w:tcPr>
          <w:p>
            <w:pPr>
              <w:spacing w:after="40" w:before="40"/>
            </w:pPr>
            <w:r/>
            <w:r>
              <w:rPr>
                <w:rFonts w:ascii="Arial" w:hAnsi="Arial"/>
                <w:b w:val="0"/>
                <w:color w:val="111418"/>
                <w:sz w:val="17"/>
              </w:rPr>
              <w:t>LTV</w:t>
            </w:r>
          </w:p>
        </w:tc>
        <w:tc>
          <w:tcPr>
            <w:tcW w:type="dxa" w:w="3213"/>
            <w:shd w:val="clear" w:fill="F2F5F6"/>
          </w:tcPr>
          <w:p>
            <w:pPr>
              <w:spacing w:after="40" w:before="40"/>
            </w:pPr>
            <w:r/>
            <w:r>
              <w:rPr>
                <w:rFonts w:ascii="Arial" w:hAnsi="Arial"/>
                <w:b w:val="0"/>
                <w:color w:val="111418"/>
                <w:sz w:val="17"/>
              </w:rPr>
              <w:t>ARPA × marj × ömür</w:t>
            </w:r>
          </w:p>
        </w:tc>
        <w:tc>
          <w:tcPr>
            <w:tcW w:type="dxa" w:w="3213"/>
            <w:shd w:val="clear" w:fill="F2F5F6"/>
          </w:tcPr>
          <w:p>
            <w:pPr>
              <w:spacing w:after="40" w:before="40"/>
            </w:pPr>
            <w:r/>
            <w:r>
              <w:rPr>
                <w:rFonts w:ascii="Arial" w:hAnsi="Arial"/>
                <w:b w:val="0"/>
                <w:color w:val="111418"/>
                <w:sz w:val="17"/>
              </w:rPr>
              <w:t>490–810 €</w:t>
            </w:r>
          </w:p>
        </w:tc>
      </w:tr>
      <w:tr>
        <w:tc>
          <w:tcPr>
            <w:tcW w:type="dxa" w:w="3213"/>
            <w:shd w:val="clear" w:fill="FFFFFF"/>
          </w:tcPr>
          <w:p>
            <w:pPr>
              <w:spacing w:after="40" w:before="40"/>
            </w:pPr>
            <w:r/>
            <w:r>
              <w:rPr>
                <w:rFonts w:ascii="Arial" w:hAnsi="Arial"/>
                <w:b w:val="0"/>
                <w:color w:val="111418"/>
                <w:sz w:val="17"/>
              </w:rPr>
              <w:t>LTV/CAC</w:t>
            </w:r>
          </w:p>
        </w:tc>
        <w:tc>
          <w:tcPr>
            <w:tcW w:type="dxa" w:w="3213"/>
            <w:shd w:val="clear" w:fill="FFFFFF"/>
          </w:tcPr>
          <w:p>
            <w:pPr>
              <w:spacing w:after="40" w:before="40"/>
            </w:pPr>
            <w:r/>
            <w:r>
              <w:rPr>
                <w:rFonts w:ascii="Arial" w:hAnsi="Arial"/>
                <w:b w:val="0"/>
                <w:color w:val="111418"/>
                <w:sz w:val="17"/>
              </w:rPr>
              <w:t>Sağlık eşiği &gt; 3</w:t>
            </w:r>
          </w:p>
        </w:tc>
        <w:tc>
          <w:tcPr>
            <w:tcW w:type="dxa" w:w="3213"/>
            <w:shd w:val="clear" w:fill="FFFFFF"/>
          </w:tcPr>
          <w:p>
            <w:pPr>
              <w:spacing w:after="40" w:before="40"/>
            </w:pPr>
            <w:r/>
            <w:r>
              <w:rPr>
                <w:rFonts w:ascii="Arial" w:hAnsi="Arial"/>
                <w:b w:val="0"/>
                <w:color w:val="111418"/>
                <w:sz w:val="17"/>
              </w:rPr>
              <w:t>3,5 – 8,0</w:t>
            </w:r>
          </w:p>
        </w:tc>
      </w:tr>
      <w:tr>
        <w:tc>
          <w:tcPr>
            <w:tcW w:type="dxa" w:w="3213"/>
            <w:shd w:val="clear" w:fill="F2F5F6"/>
          </w:tcPr>
          <w:p>
            <w:pPr>
              <w:spacing w:after="40" w:before="40"/>
            </w:pPr>
            <w:r/>
            <w:r>
              <w:rPr>
                <w:rFonts w:ascii="Arial" w:hAnsi="Arial"/>
                <w:b w:val="0"/>
                <w:color w:val="111418"/>
                <w:sz w:val="17"/>
              </w:rPr>
              <w:t>CAC geri kazanım</w:t>
            </w:r>
          </w:p>
        </w:tc>
        <w:tc>
          <w:tcPr>
            <w:tcW w:type="dxa" w:w="3213"/>
            <w:shd w:val="clear" w:fill="F2F5F6"/>
          </w:tcPr>
          <w:p>
            <w:pPr>
              <w:spacing w:after="40" w:before="40"/>
            </w:pPr>
            <w:r/>
            <w:r>
              <w:rPr>
                <w:rFonts w:ascii="Arial" w:hAnsi="Arial"/>
                <w:b w:val="0"/>
                <w:color w:val="111418"/>
                <w:sz w:val="17"/>
              </w:rPr>
              <w:t>Aylık brüt kâr</w:t>
            </w:r>
          </w:p>
        </w:tc>
        <w:tc>
          <w:tcPr>
            <w:tcW w:type="dxa" w:w="3213"/>
            <w:shd w:val="clear" w:fill="F2F5F6"/>
          </w:tcPr>
          <w:p>
            <w:pPr>
              <w:spacing w:after="40" w:before="40"/>
            </w:pPr>
            <w:r/>
            <w:r>
              <w:rPr>
                <w:rFonts w:ascii="Arial" w:hAnsi="Arial"/>
                <w:b w:val="0"/>
                <w:color w:val="111418"/>
                <w:sz w:val="17"/>
              </w:rPr>
              <w:t>3–6 ay</w:t>
            </w:r>
          </w:p>
        </w:tc>
      </w:tr>
    </w:tbl>
    <w:p>
      <w:pPr>
        <w:spacing w:after="80"/>
      </w:pPr>
    </w:p>
    <w:p>
      <w:pPr>
        <w:spacing w:before="200" w:after="80"/>
      </w:pPr>
      <w:r>
        <w:rPr>
          <w:rFonts w:ascii="Arial" w:hAnsi="Arial"/>
          <w:b/>
          <w:i w:val="0"/>
          <w:color w:val="0F766E"/>
          <w:sz w:val="22"/>
        </w:rPr>
        <w:t>1.4 Başabaş analizi</w:t>
      </w:r>
    </w:p>
    <w:p>
      <w:pPr>
        <w:spacing w:before="0" w:after="100"/>
      </w:pPr>
      <w:r>
        <w:rPr>
          <w:rFonts w:ascii="Arial" w:hAnsi="Arial"/>
          <w:b w:val="0"/>
          <w:i w:val="0"/>
          <w:color w:val="111418"/>
          <w:sz w:val="19"/>
        </w:rPr>
        <w:t xml:space="preserve">Sabit giderler (sertifikasyon amortismanı dahil) aylık ~700 € kabul edildiğinde, başabaş noktası </w:t>
      </w:r>
      <w:r>
        <w:rPr>
          <w:rFonts w:ascii="Arial" w:hAnsi="Arial"/>
          <w:b/>
          <w:i w:val="0"/>
          <w:color w:val="111418"/>
          <w:sz w:val="19"/>
        </w:rPr>
        <w:t>≈ 29 ücretli Pro aboneliği</w:t>
      </w:r>
      <w:r>
        <w:rPr>
          <w:rFonts w:ascii="Arial" w:hAnsi="Arial"/>
          <w:b w:val="0"/>
          <w:i w:val="0"/>
          <w:color w:val="111418"/>
          <w:sz w:val="19"/>
        </w:rPr>
        <w:t xml:space="preserve"> veya </w:t>
      </w:r>
      <w:r>
        <w:rPr>
          <w:rFonts w:ascii="Arial" w:hAnsi="Arial"/>
          <w:b/>
          <w:i w:val="0"/>
          <w:color w:val="111418"/>
          <w:sz w:val="19"/>
        </w:rPr>
        <w:t>2–3 Enterprise sözleşmesi</w:t>
      </w:r>
      <w:r>
        <w:rPr>
          <w:rFonts w:ascii="Arial" w:hAnsi="Arial"/>
          <w:b w:val="0"/>
          <w:i w:val="0"/>
          <w:color w:val="111418"/>
          <w:sz w:val="19"/>
        </w:rPr>
        <w:t>dir. Karma senaryoda 18 Pro + 1 Enterprise kombinasyonu başabaşı sağlar.</w:t>
      </w:r>
    </w:p>
    <w:p>
      <w:pPr>
        <w:spacing w:before="0" w:after="40"/>
        <w:ind w:left="340" w:hanging="227"/>
      </w:pPr>
      <w:r>
        <w:rPr>
          <w:rFonts w:ascii="Arial" w:hAnsi="Arial"/>
          <w:color w:val="111418"/>
          <w:sz w:val="19"/>
        </w:rPr>
        <w:t xml:space="preserve">• </w:t>
      </w:r>
      <w:r>
        <w:rPr>
          <w:rFonts w:ascii="Arial" w:hAnsi="Arial"/>
          <w:b/>
          <w:i w:val="0"/>
          <w:color w:val="111418"/>
          <w:sz w:val="19"/>
        </w:rPr>
        <w:t>Muhafazakâr:</w:t>
      </w:r>
      <w:r>
        <w:rPr>
          <w:rFonts w:ascii="Arial" w:hAnsi="Arial"/>
          <w:b w:val="0"/>
          <w:i w:val="0"/>
          <w:color w:val="111418"/>
          <w:sz w:val="19"/>
        </w:rPr>
        <w:t xml:space="preserve"> 12. ayda 15 Pro + 1 Enterprise → aylık ~1.100 €, başabaşa yakın.</w:t>
      </w:r>
    </w:p>
    <w:p>
      <w:pPr>
        <w:spacing w:before="0" w:after="40"/>
        <w:ind w:left="340" w:hanging="227"/>
      </w:pPr>
      <w:r>
        <w:rPr>
          <w:rFonts w:ascii="Arial" w:hAnsi="Arial"/>
          <w:color w:val="111418"/>
          <w:sz w:val="19"/>
        </w:rPr>
        <w:t xml:space="preserve">• </w:t>
      </w:r>
      <w:r>
        <w:rPr>
          <w:rFonts w:ascii="Arial" w:hAnsi="Arial"/>
          <w:b/>
          <w:i w:val="0"/>
          <w:color w:val="111418"/>
          <w:sz w:val="19"/>
        </w:rPr>
        <w:t>Baz:</w:t>
      </w:r>
      <w:r>
        <w:rPr>
          <w:rFonts w:ascii="Arial" w:hAnsi="Arial"/>
          <w:b w:val="0"/>
          <w:i w:val="0"/>
          <w:color w:val="111418"/>
          <w:sz w:val="19"/>
        </w:rPr>
        <w:t xml:space="preserve"> 12. ayda 40 Pro + 3 Enterprise → aylık ~3.500 €, pozitif nakit akışı.</w:t>
      </w:r>
    </w:p>
    <w:p>
      <w:pPr>
        <w:spacing w:before="0" w:after="40"/>
        <w:ind w:left="340" w:hanging="227"/>
      </w:pPr>
      <w:r>
        <w:rPr>
          <w:rFonts w:ascii="Arial" w:hAnsi="Arial"/>
          <w:color w:val="111418"/>
          <w:sz w:val="19"/>
        </w:rPr>
        <w:t xml:space="preserve">• </w:t>
      </w:r>
      <w:r>
        <w:rPr>
          <w:rFonts w:ascii="Arial" w:hAnsi="Arial"/>
          <w:b/>
          <w:i w:val="0"/>
          <w:color w:val="111418"/>
          <w:sz w:val="19"/>
        </w:rPr>
        <w:t>İyimser:</w:t>
      </w:r>
      <w:r>
        <w:rPr>
          <w:rFonts w:ascii="Arial" w:hAnsi="Arial"/>
          <w:b w:val="0"/>
          <w:i w:val="0"/>
          <w:color w:val="111418"/>
          <w:sz w:val="19"/>
        </w:rPr>
        <w:t xml:space="preserve"> 12. ayda 90 Pro + 8 Enterprise → aylık ~9.000 €, ilk istihdam kapasitesi.</w:t>
      </w:r>
    </w:p>
    <w:p>
      <w:pPr>
        <w:spacing w:before="0" w:after="100"/>
      </w:pPr>
      <w:r>
        <w:rPr>
          <w:rFonts w:ascii="Arial" w:hAnsi="Arial"/>
          <w:b w:val="0"/>
          <w:i w:val="0"/>
          <w:color w:val="111418"/>
          <w:sz w:val="19"/>
        </w:rPr>
        <w:t>Kritik varsayım: ödeme altyapısı (Paddle) canlıya alınmadan hiçbir senaryo gerçekleşmez; bu tek kalem, tüm finansal planın önkoşuludur.</w:t>
      </w:r>
    </w:p>
    <w:p>
      <w:pPr>
        <w:spacing w:before="280" w:after="120"/>
      </w:pPr>
      <w:r>
        <w:rPr>
          <w:rFonts w:ascii="Arial" w:hAnsi="Arial"/>
          <w:b/>
          <w:i w:val="0"/>
          <w:color w:val="111418"/>
          <w:sz w:val="30"/>
        </w:rPr>
        <w:t>02 — Pazar Fizibilitesi ve GTM Stratejisi</w:t>
      </w:r>
    </w:p>
    <w:p>
      <w:pPr>
        <w:spacing w:before="200" w:after="80"/>
      </w:pPr>
      <w:r>
        <w:rPr>
          <w:rFonts w:ascii="Arial" w:hAnsi="Arial"/>
          <w:b/>
          <w:i w:val="0"/>
          <w:color w:val="0F766E"/>
          <w:sz w:val="22"/>
        </w:rPr>
        <w:t>2.1 Pazar büyüklüğü</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2A30"/>
          </w:tcPr>
          <w:p>
            <w:pPr>
              <w:spacing w:after="40" w:before="40"/>
            </w:pPr>
            <w:r/>
            <w:r>
              <w:rPr>
                <w:rFonts w:ascii="Arial" w:hAnsi="Arial"/>
                <w:b/>
                <w:color w:val="FFFFFF"/>
                <w:sz w:val="17"/>
              </w:rPr>
              <w:t>Katman</w:t>
            </w:r>
          </w:p>
        </w:tc>
        <w:tc>
          <w:tcPr>
            <w:tcW w:type="dxa" w:w="3213"/>
            <w:shd w:val="clear" w:fill="1F2A30"/>
          </w:tcPr>
          <w:p>
            <w:pPr>
              <w:spacing w:after="40" w:before="40"/>
            </w:pPr>
            <w:r/>
            <w:r>
              <w:rPr>
                <w:rFonts w:ascii="Arial" w:hAnsi="Arial"/>
                <w:b/>
                <w:color w:val="FFFFFF"/>
                <w:sz w:val="17"/>
              </w:rPr>
              <w:t>Tanım</w:t>
            </w:r>
          </w:p>
        </w:tc>
        <w:tc>
          <w:tcPr>
            <w:tcW w:type="dxa" w:w="3213"/>
            <w:shd w:val="clear" w:fill="1F2A30"/>
          </w:tcPr>
          <w:p>
            <w:pPr>
              <w:spacing w:after="40" w:before="40"/>
            </w:pPr>
            <w:r/>
            <w:r>
              <w:rPr>
                <w:rFonts w:ascii="Arial" w:hAnsi="Arial"/>
                <w:b/>
                <w:color w:val="FFFFFF"/>
                <w:sz w:val="17"/>
              </w:rPr>
              <w:t>Tahmini büyüklük</w:t>
            </w:r>
          </w:p>
        </w:tc>
      </w:tr>
      <w:tr>
        <w:tc>
          <w:tcPr>
            <w:tcW w:type="dxa" w:w="3213"/>
            <w:shd w:val="clear" w:fill="FFFFFF"/>
          </w:tcPr>
          <w:p>
            <w:pPr>
              <w:spacing w:after="40" w:before="40"/>
            </w:pPr>
            <w:r/>
            <w:r>
              <w:rPr>
                <w:rFonts w:ascii="Arial" w:hAnsi="Arial"/>
                <w:b w:val="0"/>
                <w:color w:val="111418"/>
                <w:sz w:val="17"/>
              </w:rPr>
              <w:t>TAM</w:t>
            </w:r>
          </w:p>
        </w:tc>
        <w:tc>
          <w:tcPr>
            <w:tcW w:type="dxa" w:w="3213"/>
            <w:shd w:val="clear" w:fill="FFFFFF"/>
          </w:tcPr>
          <w:p>
            <w:pPr>
              <w:spacing w:after="40" w:before="40"/>
            </w:pPr>
            <w:r/>
            <w:r>
              <w:rPr>
                <w:rFonts w:ascii="Arial" w:hAnsi="Arial"/>
                <w:b w:val="0"/>
                <w:color w:val="111418"/>
                <w:sz w:val="17"/>
              </w:rPr>
              <w:t>Küresel off-grid / kritik haberleşme yazılım katmanı</w:t>
            </w:r>
          </w:p>
        </w:tc>
        <w:tc>
          <w:tcPr>
            <w:tcW w:type="dxa" w:w="3213"/>
            <w:shd w:val="clear" w:fill="FFFFFF"/>
          </w:tcPr>
          <w:p>
            <w:pPr>
              <w:spacing w:after="40" w:before="40"/>
            </w:pPr>
            <w:r/>
            <w:r>
              <w:rPr>
                <w:rFonts w:ascii="Arial" w:hAnsi="Arial"/>
                <w:b w:val="0"/>
                <w:color w:val="111418"/>
                <w:sz w:val="17"/>
              </w:rPr>
              <w:t>1,5–3 milyar $</w:t>
            </w:r>
          </w:p>
        </w:tc>
      </w:tr>
      <w:tr>
        <w:tc>
          <w:tcPr>
            <w:tcW w:type="dxa" w:w="3213"/>
            <w:shd w:val="clear" w:fill="F2F5F6"/>
          </w:tcPr>
          <w:p>
            <w:pPr>
              <w:spacing w:after="40" w:before="40"/>
            </w:pPr>
            <w:r/>
            <w:r>
              <w:rPr>
                <w:rFonts w:ascii="Arial" w:hAnsi="Arial"/>
                <w:b w:val="0"/>
                <w:color w:val="111418"/>
                <w:sz w:val="17"/>
              </w:rPr>
              <w:t>SAM</w:t>
            </w:r>
          </w:p>
        </w:tc>
        <w:tc>
          <w:tcPr>
            <w:tcW w:type="dxa" w:w="3213"/>
            <w:shd w:val="clear" w:fill="F2F5F6"/>
          </w:tcPr>
          <w:p>
            <w:pPr>
              <w:spacing w:after="40" w:before="40"/>
            </w:pPr>
            <w:r/>
            <w:r>
              <w:rPr>
                <w:rFonts w:ascii="Arial" w:hAnsi="Arial"/>
                <w:b w:val="0"/>
                <w:color w:val="111418"/>
                <w:sz w:val="17"/>
              </w:rPr>
              <w:t>Yasal olarak hizmet verilebilen bölgeler, lisanssız bant üstü yazılım</w:t>
            </w:r>
          </w:p>
        </w:tc>
        <w:tc>
          <w:tcPr>
            <w:tcW w:type="dxa" w:w="3213"/>
            <w:shd w:val="clear" w:fill="F2F5F6"/>
          </w:tcPr>
          <w:p>
            <w:pPr>
              <w:spacing w:after="40" w:before="40"/>
            </w:pPr>
            <w:r/>
            <w:r>
              <w:rPr>
                <w:rFonts w:ascii="Arial" w:hAnsi="Arial"/>
                <w:b w:val="0"/>
                <w:color w:val="111418"/>
                <w:sz w:val="17"/>
              </w:rPr>
              <w:t>120–250 milyon $</w:t>
            </w:r>
          </w:p>
        </w:tc>
      </w:tr>
      <w:tr>
        <w:tc>
          <w:tcPr>
            <w:tcW w:type="dxa" w:w="3213"/>
            <w:shd w:val="clear" w:fill="FFFFFF"/>
          </w:tcPr>
          <w:p>
            <w:pPr>
              <w:spacing w:after="40" w:before="40"/>
            </w:pPr>
            <w:r/>
            <w:r>
              <w:rPr>
                <w:rFonts w:ascii="Arial" w:hAnsi="Arial"/>
                <w:b w:val="0"/>
                <w:color w:val="111418"/>
                <w:sz w:val="17"/>
              </w:rPr>
              <w:t>SOM (3 yıl)</w:t>
            </w:r>
          </w:p>
        </w:tc>
        <w:tc>
          <w:tcPr>
            <w:tcW w:type="dxa" w:w="3213"/>
            <w:shd w:val="clear" w:fill="FFFFFF"/>
          </w:tcPr>
          <w:p>
            <w:pPr>
              <w:spacing w:after="40" w:before="40"/>
            </w:pPr>
            <w:r/>
            <w:r>
              <w:rPr>
                <w:rFonts w:ascii="Arial" w:hAnsi="Arial"/>
                <w:b w:val="0"/>
                <w:color w:val="111418"/>
                <w:sz w:val="17"/>
              </w:rPr>
              <w:t>Türkiye + seçili AB/MEA pazarında ulaşılabilir pay</w:t>
            </w:r>
          </w:p>
        </w:tc>
        <w:tc>
          <w:tcPr>
            <w:tcW w:type="dxa" w:w="3213"/>
            <w:shd w:val="clear" w:fill="FFFFFF"/>
          </w:tcPr>
          <w:p>
            <w:pPr>
              <w:spacing w:after="40" w:before="40"/>
            </w:pPr>
            <w:r/>
            <w:r>
              <w:rPr>
                <w:rFonts w:ascii="Arial" w:hAnsi="Arial"/>
                <w:b w:val="0"/>
                <w:color w:val="111418"/>
                <w:sz w:val="17"/>
              </w:rPr>
              <w:t>1,5–4 milyon $</w:t>
            </w:r>
          </w:p>
        </w:tc>
      </w:tr>
    </w:tbl>
    <w:p>
      <w:pPr>
        <w:spacing w:after="80"/>
      </w:pPr>
    </w:p>
    <w:p>
      <w:pPr>
        <w:spacing w:before="200" w:after="80"/>
      </w:pPr>
      <w:r>
        <w:rPr>
          <w:rFonts w:ascii="Arial" w:hAnsi="Arial"/>
          <w:b/>
          <w:i w:val="0"/>
          <w:color w:val="0F766E"/>
          <w:sz w:val="22"/>
        </w:rPr>
        <w:t>2.2 Konumlandırma</w:t>
      </w:r>
    </w:p>
    <w:p>
      <w:pPr>
        <w:spacing w:before="0" w:after="100"/>
      </w:pPr>
      <w:r>
        <w:rPr>
          <w:rFonts w:ascii="Arial" w:hAnsi="Arial"/>
          <w:b w:val="0"/>
          <w:i w:val="0"/>
          <w:color w:val="111418"/>
          <w:sz w:val="19"/>
        </w:rPr>
        <w:t xml:space="preserve">Tedbirge Gateway telekom operatörlerinin rakibi değildir; </w:t>
      </w:r>
      <w:r>
        <w:rPr>
          <w:rFonts w:ascii="Arial" w:hAnsi="Arial"/>
          <w:b/>
          <w:i w:val="0"/>
          <w:color w:val="111418"/>
          <w:sz w:val="19"/>
        </w:rPr>
        <w:t>taşıyıcı-agnostik bir üst katman</w:t>
      </w:r>
      <w:r>
        <w:rPr>
          <w:rFonts w:ascii="Arial" w:hAnsi="Arial"/>
          <w:b w:val="0"/>
          <w:i w:val="0"/>
          <w:color w:val="111418"/>
          <w:sz w:val="19"/>
        </w:rPr>
        <w:t xml:space="preserve"> olarak konumlanır. Kablo, uydu veya baz istasyonu sahibi olmadan mevcut fiziksel taşıyıcıları (LoRa, Wi-Fi HaLow, TVWS, WiGig, FSO, BLE, uydu terminali, kablolu yedek, tarayıcı P2P) tek yönetim düzleminde birleştirir.</w:t>
      </w:r>
    </w:p>
    <w:p>
      <w:pPr>
        <w:spacing w:before="0" w:after="40"/>
        <w:ind w:left="340" w:hanging="227"/>
      </w:pPr>
      <w:r>
        <w:rPr>
          <w:rFonts w:ascii="Arial" w:hAnsi="Arial"/>
          <w:color w:val="111418"/>
          <w:sz w:val="19"/>
        </w:rPr>
        <w:t xml:space="preserve">• </w:t>
      </w:r>
      <w:r>
        <w:rPr>
          <w:rFonts w:ascii="Arial" w:hAnsi="Arial"/>
          <w:b/>
          <w:i w:val="0"/>
          <w:color w:val="111418"/>
          <w:sz w:val="19"/>
        </w:rPr>
        <w:t>Ayrışma 1:</w:t>
      </w:r>
      <w:r>
        <w:rPr>
          <w:rFonts w:ascii="Arial" w:hAnsi="Arial"/>
          <w:b w:val="0"/>
          <w:i w:val="0"/>
          <w:color w:val="111418"/>
          <w:sz w:val="19"/>
        </w:rPr>
        <w:t xml:space="preserve"> Donanım bağımsızlığı — HCL üzerinden doğrulanmış modüllerle çalışır.</w:t>
      </w:r>
    </w:p>
    <w:p>
      <w:pPr>
        <w:spacing w:before="0" w:after="40"/>
        <w:ind w:left="340" w:hanging="227"/>
      </w:pPr>
      <w:r>
        <w:rPr>
          <w:rFonts w:ascii="Arial" w:hAnsi="Arial"/>
          <w:color w:val="111418"/>
          <w:sz w:val="19"/>
        </w:rPr>
        <w:t xml:space="preserve">• </w:t>
      </w:r>
      <w:r>
        <w:rPr>
          <w:rFonts w:ascii="Arial" w:hAnsi="Arial"/>
          <w:b/>
          <w:i w:val="0"/>
          <w:color w:val="111418"/>
          <w:sz w:val="19"/>
        </w:rPr>
        <w:t>Ayrışma 2:</w:t>
      </w:r>
      <w:r>
        <w:rPr>
          <w:rFonts w:ascii="Arial" w:hAnsi="Arial"/>
          <w:b w:val="0"/>
          <w:i w:val="0"/>
          <w:color w:val="111418"/>
          <w:sz w:val="19"/>
        </w:rPr>
        <w:t xml:space="preserve"> Zero-knowledge tasarım — içerik sunucuda çözülmez (ECDH P-256 + AES-256-GCM).</w:t>
      </w:r>
    </w:p>
    <w:p>
      <w:pPr>
        <w:spacing w:before="0" w:after="40"/>
        <w:ind w:left="340" w:hanging="227"/>
      </w:pPr>
      <w:r>
        <w:rPr>
          <w:rFonts w:ascii="Arial" w:hAnsi="Arial"/>
          <w:color w:val="111418"/>
          <w:sz w:val="19"/>
        </w:rPr>
        <w:t xml:space="preserve">• </w:t>
      </w:r>
      <w:r>
        <w:rPr>
          <w:rFonts w:ascii="Arial" w:hAnsi="Arial"/>
          <w:b/>
          <w:i w:val="0"/>
          <w:color w:val="111418"/>
          <w:sz w:val="19"/>
        </w:rPr>
        <w:t>Ayrışma 3:</w:t>
      </w:r>
      <w:r>
        <w:rPr>
          <w:rFonts w:ascii="Arial" w:hAnsi="Arial"/>
          <w:b w:val="0"/>
          <w:i w:val="0"/>
          <w:color w:val="111418"/>
          <w:sz w:val="19"/>
        </w:rPr>
        <w:t xml:space="preserve"> Donanımsız başlangıç — tarayıcı düğümüyle 3 dakikada kanıtlanabilir demo.</w:t>
      </w:r>
    </w:p>
    <w:p>
      <w:pPr>
        <w:spacing w:before="0" w:after="40"/>
        <w:ind w:left="340" w:hanging="227"/>
      </w:pPr>
      <w:r>
        <w:rPr>
          <w:rFonts w:ascii="Arial" w:hAnsi="Arial"/>
          <w:color w:val="111418"/>
          <w:sz w:val="19"/>
        </w:rPr>
        <w:t xml:space="preserve">• </w:t>
      </w:r>
      <w:r>
        <w:rPr>
          <w:rFonts w:ascii="Arial" w:hAnsi="Arial"/>
          <w:b/>
          <w:i w:val="0"/>
          <w:color w:val="111418"/>
          <w:sz w:val="19"/>
        </w:rPr>
        <w:t>Ayrışma 4:</w:t>
      </w:r>
      <w:r>
        <w:rPr>
          <w:rFonts w:ascii="Arial" w:hAnsi="Arial"/>
          <w:b w:val="0"/>
          <w:i w:val="0"/>
          <w:color w:val="111418"/>
          <w:sz w:val="19"/>
        </w:rPr>
        <w:t xml:space="preserve"> Yerleşik yasal kalkan — 5651 toplu kullanım portalı ve spektrum profilleri.</w:t>
      </w:r>
    </w:p>
    <w:p>
      <w:pPr>
        <w:spacing w:before="200" w:after="80"/>
      </w:pPr>
      <w:r>
        <w:rPr>
          <w:rFonts w:ascii="Arial" w:hAnsi="Arial"/>
          <w:b/>
          <w:i w:val="0"/>
          <w:color w:val="0F766E"/>
          <w:sz w:val="22"/>
        </w:rPr>
        <w:t>2.3 Satış kanalları ve önceliklendirme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2A30"/>
          </w:tcPr>
          <w:p>
            <w:pPr>
              <w:spacing w:after="40" w:before="40"/>
            </w:pPr>
            <w:r/>
            <w:r>
              <w:rPr>
                <w:rFonts w:ascii="Arial" w:hAnsi="Arial"/>
                <w:b/>
                <w:color w:val="FFFFFF"/>
                <w:sz w:val="17"/>
              </w:rPr>
              <w:t>Kanal</w:t>
            </w:r>
          </w:p>
        </w:tc>
        <w:tc>
          <w:tcPr>
            <w:tcW w:type="dxa" w:w="3213"/>
            <w:shd w:val="clear" w:fill="1F2A30"/>
          </w:tcPr>
          <w:p>
            <w:pPr>
              <w:spacing w:after="40" w:before="40"/>
            </w:pPr>
            <w:r/>
            <w:r>
              <w:rPr>
                <w:rFonts w:ascii="Arial" w:hAnsi="Arial"/>
                <w:b/>
                <w:color w:val="FFFFFF"/>
                <w:sz w:val="17"/>
              </w:rPr>
              <w:t>Öncelik</w:t>
            </w:r>
          </w:p>
        </w:tc>
        <w:tc>
          <w:tcPr>
            <w:tcW w:type="dxa" w:w="3213"/>
            <w:shd w:val="clear" w:fill="1F2A30"/>
          </w:tcPr>
          <w:p>
            <w:pPr>
              <w:spacing w:after="40" w:before="40"/>
            </w:pPr>
            <w:r/>
            <w:r>
              <w:rPr>
                <w:rFonts w:ascii="Arial" w:hAnsi="Arial"/>
                <w:b/>
                <w:color w:val="FFFFFF"/>
                <w:sz w:val="17"/>
              </w:rPr>
              <w:t>Yaklaşım</w:t>
            </w:r>
          </w:p>
        </w:tc>
      </w:tr>
      <w:tr>
        <w:tc>
          <w:tcPr>
            <w:tcW w:type="dxa" w:w="3213"/>
            <w:shd w:val="clear" w:fill="FFFFFF"/>
          </w:tcPr>
          <w:p>
            <w:pPr>
              <w:spacing w:after="40" w:before="40"/>
            </w:pPr>
            <w:r/>
            <w:r>
              <w:rPr>
                <w:rFonts w:ascii="Arial" w:hAnsi="Arial"/>
                <w:b w:val="0"/>
                <w:color w:val="111418"/>
                <w:sz w:val="17"/>
              </w:rPr>
              <w:t>Doğrudan kurumsal (afet, kamu, enerji)</w:t>
            </w:r>
          </w:p>
        </w:tc>
        <w:tc>
          <w:tcPr>
            <w:tcW w:type="dxa" w:w="3213"/>
            <w:shd w:val="clear" w:fill="FFFFFF"/>
          </w:tcPr>
          <w:p>
            <w:pPr>
              <w:spacing w:after="40" w:before="40"/>
            </w:pPr>
            <w:r/>
            <w:r>
              <w:rPr>
                <w:rFonts w:ascii="Arial" w:hAnsi="Arial"/>
                <w:b w:val="0"/>
                <w:color w:val="111418"/>
                <w:sz w:val="17"/>
              </w:rPr>
              <w:t>Yüksek</w:t>
            </w:r>
          </w:p>
        </w:tc>
        <w:tc>
          <w:tcPr>
            <w:tcW w:type="dxa" w:w="3213"/>
            <w:shd w:val="clear" w:fill="FFFFFF"/>
          </w:tcPr>
          <w:p>
            <w:pPr>
              <w:spacing w:after="40" w:before="40"/>
            </w:pPr>
            <w:r/>
            <w:r>
              <w:rPr>
                <w:rFonts w:ascii="Arial" w:hAnsi="Arial"/>
                <w:b w:val="0"/>
                <w:color w:val="111418"/>
                <w:sz w:val="17"/>
              </w:rPr>
              <w:t>Pilot → vaka çalışması → çerçeve sözleşme</w:t>
            </w:r>
          </w:p>
        </w:tc>
      </w:tr>
      <w:tr>
        <w:tc>
          <w:tcPr>
            <w:tcW w:type="dxa" w:w="3213"/>
            <w:shd w:val="clear" w:fill="F2F5F6"/>
          </w:tcPr>
          <w:p>
            <w:pPr>
              <w:spacing w:after="40" w:before="40"/>
            </w:pPr>
            <w:r/>
            <w:r>
              <w:rPr>
                <w:rFonts w:ascii="Arial" w:hAnsi="Arial"/>
                <w:b w:val="0"/>
                <w:color w:val="111418"/>
                <w:sz w:val="17"/>
              </w:rPr>
              <w:t>Entegratör / bayi ağı</w:t>
            </w:r>
          </w:p>
        </w:tc>
        <w:tc>
          <w:tcPr>
            <w:tcW w:type="dxa" w:w="3213"/>
            <w:shd w:val="clear" w:fill="F2F5F6"/>
          </w:tcPr>
          <w:p>
            <w:pPr>
              <w:spacing w:after="40" w:before="40"/>
            </w:pPr>
            <w:r/>
            <w:r>
              <w:rPr>
                <w:rFonts w:ascii="Arial" w:hAnsi="Arial"/>
                <w:b w:val="0"/>
                <w:color w:val="111418"/>
                <w:sz w:val="17"/>
              </w:rPr>
              <w:t>Yüksek</w:t>
            </w:r>
          </w:p>
        </w:tc>
        <w:tc>
          <w:tcPr>
            <w:tcW w:type="dxa" w:w="3213"/>
            <w:shd w:val="clear" w:fill="F2F5F6"/>
          </w:tcPr>
          <w:p>
            <w:pPr>
              <w:spacing w:after="40" w:before="40"/>
            </w:pPr>
            <w:r/>
            <w:r>
              <w:rPr>
                <w:rFonts w:ascii="Arial" w:hAnsi="Arial"/>
                <w:b w:val="0"/>
                <w:color w:val="111418"/>
                <w:sz w:val="17"/>
              </w:rPr>
              <w:t>Marj paylaşımı, white-label panel</w:t>
            </w:r>
          </w:p>
        </w:tc>
      </w:tr>
      <w:tr>
        <w:tc>
          <w:tcPr>
            <w:tcW w:type="dxa" w:w="3213"/>
            <w:shd w:val="clear" w:fill="FFFFFF"/>
          </w:tcPr>
          <w:p>
            <w:pPr>
              <w:spacing w:after="40" w:before="40"/>
            </w:pPr>
            <w:r/>
            <w:r>
              <w:rPr>
                <w:rFonts w:ascii="Arial" w:hAnsi="Arial"/>
                <w:b w:val="0"/>
                <w:color w:val="111418"/>
                <w:sz w:val="17"/>
              </w:rPr>
              <w:t>Ürün-öncülüklü büyüme (Community)</w:t>
            </w:r>
          </w:p>
        </w:tc>
        <w:tc>
          <w:tcPr>
            <w:tcW w:type="dxa" w:w="3213"/>
            <w:shd w:val="clear" w:fill="FFFFFF"/>
          </w:tcPr>
          <w:p>
            <w:pPr>
              <w:spacing w:after="40" w:before="40"/>
            </w:pPr>
            <w:r/>
            <w:r>
              <w:rPr>
                <w:rFonts w:ascii="Arial" w:hAnsi="Arial"/>
                <w:b w:val="0"/>
                <w:color w:val="111418"/>
                <w:sz w:val="17"/>
              </w:rPr>
              <w:t>Orta</w:t>
            </w:r>
          </w:p>
        </w:tc>
        <w:tc>
          <w:tcPr>
            <w:tcW w:type="dxa" w:w="3213"/>
            <w:shd w:val="clear" w:fill="FFFFFF"/>
          </w:tcPr>
          <w:p>
            <w:pPr>
              <w:spacing w:after="40" w:before="40"/>
            </w:pPr>
            <w:r/>
            <w:r>
              <w:rPr>
                <w:rFonts w:ascii="Arial" w:hAnsi="Arial"/>
                <w:b w:val="0"/>
                <w:color w:val="111418"/>
                <w:sz w:val="17"/>
              </w:rPr>
              <w:t>Ücretsiz katman → kota sınırı → Pro yükseltme</w:t>
            </w:r>
          </w:p>
        </w:tc>
      </w:tr>
      <w:tr>
        <w:tc>
          <w:tcPr>
            <w:tcW w:type="dxa" w:w="3213"/>
            <w:shd w:val="clear" w:fill="F2F5F6"/>
          </w:tcPr>
          <w:p>
            <w:pPr>
              <w:spacing w:after="40" w:before="40"/>
            </w:pPr>
            <w:r/>
            <w:r>
              <w:rPr>
                <w:rFonts w:ascii="Arial" w:hAnsi="Arial"/>
                <w:b w:val="0"/>
                <w:color w:val="111418"/>
                <w:sz w:val="17"/>
              </w:rPr>
              <w:t>STK ve insani yardım</w:t>
            </w:r>
          </w:p>
        </w:tc>
        <w:tc>
          <w:tcPr>
            <w:tcW w:type="dxa" w:w="3213"/>
            <w:shd w:val="clear" w:fill="F2F5F6"/>
          </w:tcPr>
          <w:p>
            <w:pPr>
              <w:spacing w:after="40" w:before="40"/>
            </w:pPr>
            <w:r/>
            <w:r>
              <w:rPr>
                <w:rFonts w:ascii="Arial" w:hAnsi="Arial"/>
                <w:b w:val="0"/>
                <w:color w:val="111418"/>
                <w:sz w:val="17"/>
              </w:rPr>
              <w:t>Orta</w:t>
            </w:r>
          </w:p>
        </w:tc>
        <w:tc>
          <w:tcPr>
            <w:tcW w:type="dxa" w:w="3213"/>
            <w:shd w:val="clear" w:fill="F2F5F6"/>
          </w:tcPr>
          <w:p>
            <w:pPr>
              <w:spacing w:after="40" w:before="40"/>
            </w:pPr>
            <w:r/>
            <w:r>
              <w:rPr>
                <w:rFonts w:ascii="Arial" w:hAnsi="Arial"/>
                <w:b w:val="0"/>
                <w:color w:val="111418"/>
                <w:sz w:val="17"/>
              </w:rPr>
              <w:t>İndirimli lisans, referans değeri yüksek</w:t>
            </w:r>
          </w:p>
        </w:tc>
      </w:tr>
      <w:tr>
        <w:tc>
          <w:tcPr>
            <w:tcW w:type="dxa" w:w="3213"/>
            <w:shd w:val="clear" w:fill="FFFFFF"/>
          </w:tcPr>
          <w:p>
            <w:pPr>
              <w:spacing w:after="40" w:before="40"/>
            </w:pPr>
            <w:r/>
            <w:r>
              <w:rPr>
                <w:rFonts w:ascii="Arial" w:hAnsi="Arial"/>
                <w:b w:val="0"/>
                <w:color w:val="111418"/>
                <w:sz w:val="17"/>
              </w:rPr>
              <w:t>Donanım üreticisi ortaklığı</w:t>
            </w:r>
          </w:p>
        </w:tc>
        <w:tc>
          <w:tcPr>
            <w:tcW w:type="dxa" w:w="3213"/>
            <w:shd w:val="clear" w:fill="FFFFFF"/>
          </w:tcPr>
          <w:p>
            <w:pPr>
              <w:spacing w:after="40" w:before="40"/>
            </w:pPr>
            <w:r/>
            <w:r>
              <w:rPr>
                <w:rFonts w:ascii="Arial" w:hAnsi="Arial"/>
                <w:b w:val="0"/>
                <w:color w:val="111418"/>
                <w:sz w:val="17"/>
              </w:rPr>
              <w:t>Orta</w:t>
            </w:r>
          </w:p>
        </w:tc>
        <w:tc>
          <w:tcPr>
            <w:tcW w:type="dxa" w:w="3213"/>
            <w:shd w:val="clear" w:fill="FFFFFF"/>
          </w:tcPr>
          <w:p>
            <w:pPr>
              <w:spacing w:after="40" w:before="40"/>
            </w:pPr>
            <w:r/>
            <w:r>
              <w:rPr>
                <w:rFonts w:ascii="Arial" w:hAnsi="Arial"/>
                <w:b w:val="0"/>
                <w:color w:val="111418"/>
                <w:sz w:val="17"/>
              </w:rPr>
              <w:t>HCL rozeti karşılığı çapraz tanıtım</w:t>
            </w:r>
          </w:p>
        </w:tc>
      </w:tr>
    </w:tbl>
    <w:p>
      <w:pPr>
        <w:spacing w:after="80"/>
      </w:pPr>
    </w:p>
    <w:p>
      <w:pPr>
        <w:spacing w:before="200" w:after="80"/>
      </w:pPr>
      <w:r>
        <w:rPr>
          <w:rFonts w:ascii="Arial" w:hAnsi="Arial"/>
          <w:b/>
          <w:i w:val="0"/>
          <w:color w:val="0F766E"/>
          <w:sz w:val="22"/>
        </w:rPr>
        <w:t>2.4 Bölgesel yayılım sırası</w:t>
      </w:r>
    </w:p>
    <w:p>
      <w:pPr>
        <w:spacing w:before="0" w:after="40"/>
        <w:ind w:left="340" w:hanging="227"/>
      </w:pPr>
      <w:r>
        <w:rPr>
          <w:rFonts w:ascii="Arial" w:hAnsi="Arial"/>
          <w:color w:val="111418"/>
          <w:sz w:val="19"/>
        </w:rPr>
        <w:t xml:space="preserve">• </w:t>
      </w:r>
      <w:r>
        <w:rPr>
          <w:rFonts w:ascii="Arial" w:hAnsi="Arial"/>
          <w:b/>
          <w:i w:val="0"/>
          <w:color w:val="111418"/>
          <w:sz w:val="19"/>
        </w:rPr>
        <w:t>Faz 1 (0–6 ay):</w:t>
      </w:r>
      <w:r>
        <w:rPr>
          <w:rFonts w:ascii="Arial" w:hAnsi="Arial"/>
          <w:b w:val="0"/>
          <w:i w:val="0"/>
          <w:color w:val="111418"/>
          <w:sz w:val="19"/>
        </w:rPr>
        <w:t xml:space="preserve"> Türkiye — Sakarya pilotu, BTK spektrum profili, Türkçe içerik.</w:t>
      </w:r>
    </w:p>
    <w:p>
      <w:pPr>
        <w:spacing w:before="0" w:after="40"/>
        <w:ind w:left="340" w:hanging="227"/>
      </w:pPr>
      <w:r>
        <w:rPr>
          <w:rFonts w:ascii="Arial" w:hAnsi="Arial"/>
          <w:color w:val="111418"/>
          <w:sz w:val="19"/>
        </w:rPr>
        <w:t xml:space="preserve">• </w:t>
      </w:r>
      <w:r>
        <w:rPr>
          <w:rFonts w:ascii="Arial" w:hAnsi="Arial"/>
          <w:b/>
          <w:i w:val="0"/>
          <w:color w:val="111418"/>
          <w:sz w:val="19"/>
        </w:rPr>
        <w:t>Faz 2 (6–18 ay):</w:t>
      </w:r>
      <w:r>
        <w:rPr>
          <w:rFonts w:ascii="Arial" w:hAnsi="Arial"/>
          <w:b w:val="0"/>
          <w:i w:val="0"/>
          <w:color w:val="111418"/>
          <w:sz w:val="19"/>
        </w:rPr>
        <w:t xml:space="preserve"> AB / EFTA — CE-RED uyum dosyası, EN 300 220 profili, İngilizce arayüz.</w:t>
      </w:r>
    </w:p>
    <w:p>
      <w:pPr>
        <w:spacing w:before="0" w:after="40"/>
        <w:ind w:left="340" w:hanging="227"/>
      </w:pPr>
      <w:r>
        <w:rPr>
          <w:rFonts w:ascii="Arial" w:hAnsi="Arial"/>
          <w:color w:val="111418"/>
          <w:sz w:val="19"/>
        </w:rPr>
        <w:t xml:space="preserve">• </w:t>
      </w:r>
      <w:r>
        <w:rPr>
          <w:rFonts w:ascii="Arial" w:hAnsi="Arial"/>
          <w:b/>
          <w:i w:val="0"/>
          <w:color w:val="111418"/>
          <w:sz w:val="19"/>
        </w:rPr>
        <w:t>Faz 3 (18–36 ay):</w:t>
      </w:r>
      <w:r>
        <w:rPr>
          <w:rFonts w:ascii="Arial" w:hAnsi="Arial"/>
          <w:b w:val="0"/>
          <w:i w:val="0"/>
          <w:color w:val="111418"/>
          <w:sz w:val="19"/>
        </w:rPr>
        <w:t xml:space="preserve"> MEA ve Orta Asya — afet ve enerji sahası odaklı, yerel entegratörle.</w:t>
      </w:r>
    </w:p>
    <w:p>
      <w:pPr>
        <w:spacing w:before="0" w:after="40"/>
        <w:ind w:left="340" w:hanging="227"/>
      </w:pPr>
      <w:r>
        <w:rPr>
          <w:rFonts w:ascii="Arial" w:hAnsi="Arial"/>
          <w:color w:val="111418"/>
          <w:sz w:val="19"/>
        </w:rPr>
        <w:t xml:space="preserve">• </w:t>
      </w:r>
      <w:r>
        <w:rPr>
          <w:rFonts w:ascii="Arial" w:hAnsi="Arial"/>
          <w:b/>
          <w:i w:val="0"/>
          <w:color w:val="111418"/>
          <w:sz w:val="19"/>
        </w:rPr>
        <w:t>İzlenen:</w:t>
      </w:r>
      <w:r>
        <w:rPr>
          <w:rFonts w:ascii="Arial" w:hAnsi="Arial"/>
          <w:b w:val="0"/>
          <w:i w:val="0"/>
          <w:color w:val="111418"/>
          <w:sz w:val="19"/>
        </w:rPr>
        <w:t xml:space="preserve"> Kuzey Amerika (FCC Part 15, 902–928 MHz) — ihracat kontrolü teyidi sonrası.</w:t>
      </w:r>
    </w:p>
    <w:p>
      <w:r>
        <w:br w:type="page"/>
      </w:r>
    </w:p>
    <w:p>
      <w:pPr>
        <w:spacing w:before="280" w:after="120"/>
      </w:pPr>
      <w:r>
        <w:rPr>
          <w:rFonts w:ascii="Arial" w:hAnsi="Arial"/>
          <w:b/>
          <w:i w:val="0"/>
          <w:color w:val="111418"/>
          <w:sz w:val="30"/>
        </w:rPr>
        <w:t>03 — Operasyonel Fizibilite ve Saha Servis Modeli</w:t>
      </w:r>
    </w:p>
    <w:p>
      <w:pPr>
        <w:spacing w:before="200" w:after="80"/>
      </w:pPr>
      <w:r>
        <w:rPr>
          <w:rFonts w:ascii="Arial" w:hAnsi="Arial"/>
          <w:b/>
          <w:i w:val="0"/>
          <w:color w:val="0F766E"/>
          <w:sz w:val="22"/>
        </w:rPr>
        <w:t>3.1 Hizmet seviyesi taahhütleri</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fill="1F2A30"/>
          </w:tcPr>
          <w:p>
            <w:pPr>
              <w:spacing w:after="40" w:before="40"/>
            </w:pPr>
            <w:r/>
            <w:r>
              <w:rPr>
                <w:rFonts w:ascii="Arial" w:hAnsi="Arial"/>
                <w:b/>
                <w:color w:val="FFFFFF"/>
                <w:sz w:val="17"/>
              </w:rPr>
              <w:t>Plan</w:t>
            </w:r>
          </w:p>
        </w:tc>
        <w:tc>
          <w:tcPr>
            <w:tcW w:type="dxa" w:w="2409"/>
            <w:shd w:val="clear" w:fill="1F2A30"/>
          </w:tcPr>
          <w:p>
            <w:pPr>
              <w:spacing w:after="40" w:before="40"/>
            </w:pPr>
            <w:r/>
            <w:r>
              <w:rPr>
                <w:rFonts w:ascii="Arial" w:hAnsi="Arial"/>
                <w:b/>
                <w:color w:val="FFFFFF"/>
                <w:sz w:val="17"/>
              </w:rPr>
              <w:t>Yanıt süresi</w:t>
            </w:r>
          </w:p>
        </w:tc>
        <w:tc>
          <w:tcPr>
            <w:tcW w:type="dxa" w:w="2409"/>
            <w:shd w:val="clear" w:fill="1F2A30"/>
          </w:tcPr>
          <w:p>
            <w:pPr>
              <w:spacing w:after="40" w:before="40"/>
            </w:pPr>
            <w:r/>
            <w:r>
              <w:rPr>
                <w:rFonts w:ascii="Arial" w:hAnsi="Arial"/>
                <w:b/>
                <w:color w:val="FFFFFF"/>
                <w:sz w:val="17"/>
              </w:rPr>
              <w:t>Kanal</w:t>
            </w:r>
          </w:p>
        </w:tc>
        <w:tc>
          <w:tcPr>
            <w:tcW w:type="dxa" w:w="2409"/>
            <w:shd w:val="clear" w:fill="1F2A30"/>
          </w:tcPr>
          <w:p>
            <w:pPr>
              <w:spacing w:after="40" w:before="40"/>
            </w:pPr>
            <w:r/>
            <w:r>
              <w:rPr>
                <w:rFonts w:ascii="Arial" w:hAnsi="Arial"/>
                <w:b/>
                <w:color w:val="FFFFFF"/>
                <w:sz w:val="17"/>
              </w:rPr>
              <w:t>Çalışma süresi hedefi</w:t>
            </w:r>
          </w:p>
        </w:tc>
      </w:tr>
      <w:tr>
        <w:tc>
          <w:tcPr>
            <w:tcW w:type="dxa" w:w="2409"/>
            <w:shd w:val="clear" w:fill="FFFFFF"/>
          </w:tcPr>
          <w:p>
            <w:pPr>
              <w:spacing w:after="40" w:before="40"/>
            </w:pPr>
            <w:r/>
            <w:r>
              <w:rPr>
                <w:rFonts w:ascii="Arial" w:hAnsi="Arial"/>
                <w:b w:val="0"/>
                <w:color w:val="111418"/>
                <w:sz w:val="17"/>
              </w:rPr>
              <w:t>Community</w:t>
            </w:r>
          </w:p>
        </w:tc>
        <w:tc>
          <w:tcPr>
            <w:tcW w:type="dxa" w:w="2409"/>
            <w:shd w:val="clear" w:fill="FFFFFF"/>
          </w:tcPr>
          <w:p>
            <w:pPr>
              <w:spacing w:after="40" w:before="40"/>
            </w:pPr>
            <w:r/>
            <w:r>
              <w:rPr>
                <w:rFonts w:ascii="Arial" w:hAnsi="Arial"/>
                <w:b w:val="0"/>
                <w:color w:val="111418"/>
                <w:sz w:val="17"/>
              </w:rPr>
              <w:t>Topluluk / dokümantasyon</w:t>
            </w:r>
          </w:p>
        </w:tc>
        <w:tc>
          <w:tcPr>
            <w:tcW w:type="dxa" w:w="2409"/>
            <w:shd w:val="clear" w:fill="FFFFFF"/>
          </w:tcPr>
          <w:p>
            <w:pPr>
              <w:spacing w:after="40" w:before="40"/>
            </w:pPr>
            <w:r/>
            <w:r>
              <w:rPr>
                <w:rFonts w:ascii="Arial" w:hAnsi="Arial"/>
                <w:b w:val="0"/>
                <w:color w:val="111418"/>
                <w:sz w:val="17"/>
              </w:rPr>
              <w:t>Forum, rehberler</w:t>
            </w:r>
          </w:p>
        </w:tc>
        <w:tc>
          <w:tcPr>
            <w:tcW w:type="dxa" w:w="2409"/>
            <w:shd w:val="clear" w:fill="FFFFFF"/>
          </w:tcPr>
          <w:p>
            <w:pPr>
              <w:spacing w:after="40" w:before="40"/>
            </w:pPr>
            <w:r/>
            <w:r>
              <w:rPr>
                <w:rFonts w:ascii="Arial" w:hAnsi="Arial"/>
                <w:b w:val="0"/>
                <w:color w:val="111418"/>
                <w:sz w:val="17"/>
              </w:rPr>
              <w:t>Taahhüt yok</w:t>
            </w:r>
          </w:p>
        </w:tc>
      </w:tr>
      <w:tr>
        <w:tc>
          <w:tcPr>
            <w:tcW w:type="dxa" w:w="2409"/>
            <w:shd w:val="clear" w:fill="F2F5F6"/>
          </w:tcPr>
          <w:p>
            <w:pPr>
              <w:spacing w:after="40" w:before="40"/>
            </w:pPr>
            <w:r/>
            <w:r>
              <w:rPr>
                <w:rFonts w:ascii="Arial" w:hAnsi="Arial"/>
                <w:b w:val="0"/>
                <w:color w:val="111418"/>
                <w:sz w:val="17"/>
              </w:rPr>
              <w:t>Pro</w:t>
            </w:r>
          </w:p>
        </w:tc>
        <w:tc>
          <w:tcPr>
            <w:tcW w:type="dxa" w:w="2409"/>
            <w:shd w:val="clear" w:fill="F2F5F6"/>
          </w:tcPr>
          <w:p>
            <w:pPr>
              <w:spacing w:after="40" w:before="40"/>
            </w:pPr>
            <w:r/>
            <w:r>
              <w:rPr>
                <w:rFonts w:ascii="Arial" w:hAnsi="Arial"/>
                <w:b w:val="0"/>
                <w:color w:val="111418"/>
                <w:sz w:val="17"/>
              </w:rPr>
              <w:t>İş günü içinde 24 saat</w:t>
            </w:r>
          </w:p>
        </w:tc>
        <w:tc>
          <w:tcPr>
            <w:tcW w:type="dxa" w:w="2409"/>
            <w:shd w:val="clear" w:fill="F2F5F6"/>
          </w:tcPr>
          <w:p>
            <w:pPr>
              <w:spacing w:after="40" w:before="40"/>
            </w:pPr>
            <w:r/>
            <w:r>
              <w:rPr>
                <w:rFonts w:ascii="Arial" w:hAnsi="Arial"/>
                <w:b w:val="0"/>
                <w:color w:val="111418"/>
                <w:sz w:val="17"/>
              </w:rPr>
              <w:t>E-posta, panel talebi</w:t>
            </w:r>
          </w:p>
        </w:tc>
        <w:tc>
          <w:tcPr>
            <w:tcW w:type="dxa" w:w="2409"/>
            <w:shd w:val="clear" w:fill="F2F5F6"/>
          </w:tcPr>
          <w:p>
            <w:pPr>
              <w:spacing w:after="40" w:before="40"/>
            </w:pPr>
            <w:r/>
            <w:r>
              <w:rPr>
                <w:rFonts w:ascii="Arial" w:hAnsi="Arial"/>
                <w:b w:val="0"/>
                <w:color w:val="111418"/>
                <w:sz w:val="17"/>
              </w:rPr>
              <w:t>%99,0 kontrol düzlemi</w:t>
            </w:r>
          </w:p>
        </w:tc>
      </w:tr>
      <w:tr>
        <w:tc>
          <w:tcPr>
            <w:tcW w:type="dxa" w:w="2409"/>
            <w:shd w:val="clear" w:fill="FFFFFF"/>
          </w:tcPr>
          <w:p>
            <w:pPr>
              <w:spacing w:after="40" w:before="40"/>
            </w:pPr>
            <w:r/>
            <w:r>
              <w:rPr>
                <w:rFonts w:ascii="Arial" w:hAnsi="Arial"/>
                <w:b w:val="0"/>
                <w:color w:val="111418"/>
                <w:sz w:val="17"/>
              </w:rPr>
              <w:t>Enterprise</w:t>
            </w:r>
          </w:p>
        </w:tc>
        <w:tc>
          <w:tcPr>
            <w:tcW w:type="dxa" w:w="2409"/>
            <w:shd w:val="clear" w:fill="FFFFFF"/>
          </w:tcPr>
          <w:p>
            <w:pPr>
              <w:spacing w:after="40" w:before="40"/>
            </w:pPr>
            <w:r/>
            <w:r>
              <w:rPr>
                <w:rFonts w:ascii="Arial" w:hAnsi="Arial"/>
                <w:b w:val="0"/>
                <w:color w:val="111418"/>
                <w:sz w:val="17"/>
              </w:rPr>
              <w:t>4 saat (kritik), 12 saat (normal)</w:t>
            </w:r>
          </w:p>
        </w:tc>
        <w:tc>
          <w:tcPr>
            <w:tcW w:type="dxa" w:w="2409"/>
            <w:shd w:val="clear" w:fill="FFFFFF"/>
          </w:tcPr>
          <w:p>
            <w:pPr>
              <w:spacing w:after="40" w:before="40"/>
            </w:pPr>
            <w:r/>
            <w:r>
              <w:rPr>
                <w:rFonts w:ascii="Arial" w:hAnsi="Arial"/>
                <w:b w:val="0"/>
                <w:color w:val="111418"/>
                <w:sz w:val="17"/>
              </w:rPr>
              <w:t>Öncelikli hat + panel</w:t>
            </w:r>
          </w:p>
        </w:tc>
        <w:tc>
          <w:tcPr>
            <w:tcW w:type="dxa" w:w="2409"/>
            <w:shd w:val="clear" w:fill="FFFFFF"/>
          </w:tcPr>
          <w:p>
            <w:pPr>
              <w:spacing w:after="40" w:before="40"/>
            </w:pPr>
            <w:r/>
            <w:r>
              <w:rPr>
                <w:rFonts w:ascii="Arial" w:hAnsi="Arial"/>
                <w:b w:val="0"/>
                <w:color w:val="111418"/>
                <w:sz w:val="17"/>
              </w:rPr>
              <w:t>%99,5 kontrol düzlemi</w:t>
            </w:r>
          </w:p>
        </w:tc>
      </w:tr>
    </w:tbl>
    <w:p>
      <w:pPr>
        <w:spacing w:after="80"/>
      </w:pPr>
    </w:p>
    <w:p>
      <w:pPr>
        <w:spacing w:before="0" w:after="100"/>
      </w:pPr>
      <w:r>
        <w:rPr>
          <w:rFonts w:ascii="Arial" w:hAnsi="Arial"/>
          <w:b w:val="0"/>
          <w:i w:val="0"/>
          <w:color w:val="111418"/>
          <w:sz w:val="19"/>
        </w:rPr>
        <w:t>Kritik ayrım: veri düzlemi (mesh trafiği) müşteri sahasında çalışır ve bulut kesintisinden etkilenmez; SLA yalnızca kontrol düzlemi (panel, telemetri, lisans) için verilir. Bu, taahhüdü dürüst ve savunulabilir tutar.</w:t>
      </w:r>
    </w:p>
    <w:p>
      <w:pPr>
        <w:spacing w:before="200" w:after="80"/>
      </w:pPr>
      <w:r>
        <w:rPr>
          <w:rFonts w:ascii="Arial" w:hAnsi="Arial"/>
          <w:b/>
          <w:i w:val="0"/>
          <w:color w:val="0F766E"/>
          <w:sz w:val="22"/>
        </w:rPr>
        <w:t>3.2 Destek ve onboarding akışı</w:t>
      </w:r>
    </w:p>
    <w:p>
      <w:pPr>
        <w:spacing w:before="0" w:after="40"/>
        <w:ind w:left="340" w:hanging="227"/>
      </w:pPr>
      <w:r>
        <w:rPr>
          <w:rFonts w:ascii="Arial" w:hAnsi="Arial"/>
          <w:color w:val="111418"/>
          <w:sz w:val="19"/>
        </w:rPr>
        <w:t xml:space="preserve">• </w:t>
      </w:r>
      <w:r>
        <w:rPr>
          <w:rFonts w:ascii="Arial" w:hAnsi="Arial"/>
          <w:b w:val="0"/>
          <w:i w:val="0"/>
          <w:color w:val="111418"/>
          <w:sz w:val="19"/>
        </w:rPr>
        <w:t>Kurulum sihirbazı (3 adım) — sıfır yapılandırmayla ilk düğüm.</w:t>
      </w:r>
    </w:p>
    <w:p>
      <w:pPr>
        <w:spacing w:before="0" w:after="40"/>
        <w:ind w:left="340" w:hanging="227"/>
      </w:pPr>
      <w:r>
        <w:rPr>
          <w:rFonts w:ascii="Arial" w:hAnsi="Arial"/>
          <w:color w:val="111418"/>
          <w:sz w:val="19"/>
        </w:rPr>
        <w:t xml:space="preserve">• </w:t>
      </w:r>
      <w:r>
        <w:rPr>
          <w:rFonts w:ascii="Arial" w:hAnsi="Arial"/>
          <w:b w:val="0"/>
          <w:i w:val="0"/>
          <w:color w:val="111418"/>
          <w:sz w:val="19"/>
        </w:rPr>
        <w:t>QR ile ikinci cihaz eşleme — telefon/tablet izleme istasyonu olarak katılır.</w:t>
      </w:r>
    </w:p>
    <w:p>
      <w:pPr>
        <w:spacing w:before="0" w:after="40"/>
        <w:ind w:left="340" w:hanging="227"/>
      </w:pPr>
      <w:r>
        <w:rPr>
          <w:rFonts w:ascii="Arial" w:hAnsi="Arial"/>
          <w:color w:val="111418"/>
          <w:sz w:val="19"/>
        </w:rPr>
        <w:t xml:space="preserve">• </w:t>
      </w:r>
      <w:r>
        <w:rPr>
          <w:rFonts w:ascii="Arial" w:hAnsi="Arial"/>
          <w:b w:val="0"/>
          <w:i w:val="0"/>
          <w:color w:val="111418"/>
          <w:sz w:val="19"/>
        </w:rPr>
        <w:t>Röle zinciri sihirbazı — mesafeye göre gerekli relay sayısını otomatik önerir.</w:t>
      </w:r>
    </w:p>
    <w:p>
      <w:pPr>
        <w:spacing w:before="0" w:after="40"/>
        <w:ind w:left="340" w:hanging="227"/>
      </w:pPr>
      <w:r>
        <w:rPr>
          <w:rFonts w:ascii="Arial" w:hAnsi="Arial"/>
          <w:color w:val="111418"/>
          <w:sz w:val="19"/>
        </w:rPr>
        <w:t xml:space="preserve">• </w:t>
      </w:r>
      <w:r>
        <w:rPr>
          <w:rFonts w:ascii="Arial" w:hAnsi="Arial"/>
          <w:b w:val="0"/>
          <w:i w:val="0"/>
          <w:color w:val="111418"/>
          <w:sz w:val="19"/>
        </w:rPr>
        <w:t>Uzaktan sağlık kontrolü — panelden katman bazlı (gateway/relay/edge) düşüş teşhisi.</w:t>
      </w:r>
    </w:p>
    <w:p>
      <w:pPr>
        <w:spacing w:before="0" w:after="40"/>
        <w:ind w:left="340" w:hanging="227"/>
      </w:pPr>
      <w:r>
        <w:rPr>
          <w:rFonts w:ascii="Arial" w:hAnsi="Arial"/>
          <w:color w:val="111418"/>
          <w:sz w:val="19"/>
        </w:rPr>
        <w:t xml:space="preserve">• </w:t>
      </w:r>
      <w:r>
        <w:rPr>
          <w:rFonts w:ascii="Arial" w:hAnsi="Arial"/>
          <w:b w:val="0"/>
          <w:i w:val="0"/>
          <w:color w:val="111418"/>
          <w:sz w:val="19"/>
        </w:rPr>
        <w:t>Saha raporu akışı — telemetri uç noktasından toplanan ölçümler tek panoda.</w:t>
      </w:r>
    </w:p>
    <w:p>
      <w:pPr>
        <w:spacing w:before="200" w:after="80"/>
      </w:pPr>
      <w:r>
        <w:rPr>
          <w:rFonts w:ascii="Arial" w:hAnsi="Arial"/>
          <w:b/>
          <w:i w:val="0"/>
          <w:color w:val="0F766E"/>
          <w:sz w:val="22"/>
        </w:rPr>
        <w:t>3.3 Lojistik ve donanım</w:t>
      </w:r>
    </w:p>
    <w:p>
      <w:pPr>
        <w:spacing w:before="0" w:after="100"/>
      </w:pPr>
      <w:r>
        <w:rPr>
          <w:rFonts w:ascii="Arial" w:hAnsi="Arial"/>
          <w:b w:val="0"/>
          <w:i w:val="0"/>
          <w:color w:val="111418"/>
          <w:sz w:val="19"/>
        </w:rPr>
        <w:t>Donanım stoklanmaz. Müşteri HCL'de doğrulanmış modülleri kendi tedarik eder; talep hâlinde önerilen konfigürasyon listesi ve tedarikçi yönlendirmesi verilir. Bu model sermaye bağlanmasını önler, ancak teslim süresi kontrolünü müşteriye bırakır — Enterprise sözleşmelerinde bu risk sözleşmeyle netleştirilmelidir.</w:t>
      </w:r>
    </w:p>
    <w:p>
      <w:pPr>
        <w:spacing w:before="200" w:after="80"/>
      </w:pPr>
      <w:r>
        <w:rPr>
          <w:rFonts w:ascii="Arial" w:hAnsi="Arial"/>
          <w:b/>
          <w:i w:val="0"/>
          <w:color w:val="0F766E"/>
          <w:sz w:val="22"/>
        </w:rPr>
        <w:t>3.4 Operasyonel kapasite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2A30"/>
          </w:tcPr>
          <w:p>
            <w:pPr>
              <w:spacing w:after="40" w:before="40"/>
            </w:pPr>
            <w:r/>
            <w:r>
              <w:rPr>
                <w:rFonts w:ascii="Arial" w:hAnsi="Arial"/>
                <w:b/>
                <w:color w:val="FFFFFF"/>
                <w:sz w:val="17"/>
              </w:rPr>
              <w:t>Aşama</w:t>
            </w:r>
          </w:p>
        </w:tc>
        <w:tc>
          <w:tcPr>
            <w:tcW w:type="dxa" w:w="3213"/>
            <w:shd w:val="clear" w:fill="1F2A30"/>
          </w:tcPr>
          <w:p>
            <w:pPr>
              <w:spacing w:after="40" w:before="40"/>
            </w:pPr>
            <w:r/>
            <w:r>
              <w:rPr>
                <w:rFonts w:ascii="Arial" w:hAnsi="Arial"/>
                <w:b/>
                <w:color w:val="FFFFFF"/>
                <w:sz w:val="17"/>
              </w:rPr>
              <w:t>Aktif hesap</w:t>
            </w:r>
          </w:p>
        </w:tc>
        <w:tc>
          <w:tcPr>
            <w:tcW w:type="dxa" w:w="3213"/>
            <w:shd w:val="clear" w:fill="1F2A30"/>
          </w:tcPr>
          <w:p>
            <w:pPr>
              <w:spacing w:after="40" w:before="40"/>
            </w:pPr>
            <w:r/>
            <w:r>
              <w:rPr>
                <w:rFonts w:ascii="Arial" w:hAnsi="Arial"/>
                <w:b/>
                <w:color w:val="FFFFFF"/>
                <w:sz w:val="17"/>
              </w:rPr>
              <w:t>Gerekli kapasite</w:t>
            </w:r>
          </w:p>
        </w:tc>
      </w:tr>
      <w:tr>
        <w:tc>
          <w:tcPr>
            <w:tcW w:type="dxa" w:w="3213"/>
            <w:shd w:val="clear" w:fill="FFFFFF"/>
          </w:tcPr>
          <w:p>
            <w:pPr>
              <w:spacing w:after="40" w:before="40"/>
            </w:pPr>
            <w:r/>
            <w:r>
              <w:rPr>
                <w:rFonts w:ascii="Arial" w:hAnsi="Arial"/>
                <w:b w:val="0"/>
                <w:color w:val="111418"/>
                <w:sz w:val="17"/>
              </w:rPr>
              <w:t>0–6 ay</w:t>
            </w:r>
          </w:p>
        </w:tc>
        <w:tc>
          <w:tcPr>
            <w:tcW w:type="dxa" w:w="3213"/>
            <w:shd w:val="clear" w:fill="FFFFFF"/>
          </w:tcPr>
          <w:p>
            <w:pPr>
              <w:spacing w:after="40" w:before="40"/>
            </w:pPr>
            <w:r/>
            <w:r>
              <w:rPr>
                <w:rFonts w:ascii="Arial" w:hAnsi="Arial"/>
                <w:b w:val="0"/>
                <w:color w:val="111418"/>
                <w:sz w:val="17"/>
              </w:rPr>
              <w:t>&lt; 25</w:t>
            </w:r>
          </w:p>
        </w:tc>
        <w:tc>
          <w:tcPr>
            <w:tcW w:type="dxa" w:w="3213"/>
            <w:shd w:val="clear" w:fill="FFFFFF"/>
          </w:tcPr>
          <w:p>
            <w:pPr>
              <w:spacing w:after="40" w:before="40"/>
            </w:pPr>
            <w:r/>
            <w:r>
              <w:rPr>
                <w:rFonts w:ascii="Arial" w:hAnsi="Arial"/>
                <w:b w:val="0"/>
                <w:color w:val="111418"/>
                <w:sz w:val="17"/>
              </w:rPr>
              <w:t>Kurucu tek kişi + otomasyon</w:t>
            </w:r>
          </w:p>
        </w:tc>
      </w:tr>
      <w:tr>
        <w:tc>
          <w:tcPr>
            <w:tcW w:type="dxa" w:w="3213"/>
            <w:shd w:val="clear" w:fill="F2F5F6"/>
          </w:tcPr>
          <w:p>
            <w:pPr>
              <w:spacing w:after="40" w:before="40"/>
            </w:pPr>
            <w:r/>
            <w:r>
              <w:rPr>
                <w:rFonts w:ascii="Arial" w:hAnsi="Arial"/>
                <w:b w:val="0"/>
                <w:color w:val="111418"/>
                <w:sz w:val="17"/>
              </w:rPr>
              <w:t>6–18 ay</w:t>
            </w:r>
          </w:p>
        </w:tc>
        <w:tc>
          <w:tcPr>
            <w:tcW w:type="dxa" w:w="3213"/>
            <w:shd w:val="clear" w:fill="F2F5F6"/>
          </w:tcPr>
          <w:p>
            <w:pPr>
              <w:spacing w:after="40" w:before="40"/>
            </w:pPr>
            <w:r/>
            <w:r>
              <w:rPr>
                <w:rFonts w:ascii="Arial" w:hAnsi="Arial"/>
                <w:b w:val="0"/>
                <w:color w:val="111418"/>
                <w:sz w:val="17"/>
              </w:rPr>
              <w:t>25–120</w:t>
            </w:r>
          </w:p>
        </w:tc>
        <w:tc>
          <w:tcPr>
            <w:tcW w:type="dxa" w:w="3213"/>
            <w:shd w:val="clear" w:fill="F2F5F6"/>
          </w:tcPr>
          <w:p>
            <w:pPr>
              <w:spacing w:after="40" w:before="40"/>
            </w:pPr>
            <w:r/>
            <w:r>
              <w:rPr>
                <w:rFonts w:ascii="Arial" w:hAnsi="Arial"/>
                <w:b w:val="0"/>
                <w:color w:val="111418"/>
                <w:sz w:val="17"/>
              </w:rPr>
              <w:t>+1 destek/saha mühendisi (yarı zamanlı)</w:t>
            </w:r>
          </w:p>
        </w:tc>
      </w:tr>
      <w:tr>
        <w:tc>
          <w:tcPr>
            <w:tcW w:type="dxa" w:w="3213"/>
            <w:shd w:val="clear" w:fill="FFFFFF"/>
          </w:tcPr>
          <w:p>
            <w:pPr>
              <w:spacing w:after="40" w:before="40"/>
            </w:pPr>
            <w:r/>
            <w:r>
              <w:rPr>
                <w:rFonts w:ascii="Arial" w:hAnsi="Arial"/>
                <w:b w:val="0"/>
                <w:color w:val="111418"/>
                <w:sz w:val="17"/>
              </w:rPr>
              <w:t>18–36 ay</w:t>
            </w:r>
          </w:p>
        </w:tc>
        <w:tc>
          <w:tcPr>
            <w:tcW w:type="dxa" w:w="3213"/>
            <w:shd w:val="clear" w:fill="FFFFFF"/>
          </w:tcPr>
          <w:p>
            <w:pPr>
              <w:spacing w:after="40" w:before="40"/>
            </w:pPr>
            <w:r/>
            <w:r>
              <w:rPr>
                <w:rFonts w:ascii="Arial" w:hAnsi="Arial"/>
                <w:b w:val="0"/>
                <w:color w:val="111418"/>
                <w:sz w:val="17"/>
              </w:rPr>
              <w:t>120+</w:t>
            </w:r>
          </w:p>
        </w:tc>
        <w:tc>
          <w:tcPr>
            <w:tcW w:type="dxa" w:w="3213"/>
            <w:shd w:val="clear" w:fill="FFFFFF"/>
          </w:tcPr>
          <w:p>
            <w:pPr>
              <w:spacing w:after="40" w:before="40"/>
            </w:pPr>
            <w:r/>
            <w:r>
              <w:rPr>
                <w:rFonts w:ascii="Arial" w:hAnsi="Arial"/>
                <w:b w:val="0"/>
                <w:color w:val="111418"/>
                <w:sz w:val="17"/>
              </w:rPr>
              <w:t>+1 satış/iş geliştirme, +1 yazılım</w:t>
            </w:r>
          </w:p>
        </w:tc>
      </w:tr>
    </w:tbl>
    <w:p>
      <w:pPr>
        <w:spacing w:after="80"/>
      </w:pPr>
    </w:p>
    <w:p>
      <w:r>
        <w:br w:type="page"/>
      </w:r>
    </w:p>
    <w:p>
      <w:pPr>
        <w:spacing w:before="280" w:after="120"/>
      </w:pPr>
      <w:r>
        <w:rPr>
          <w:rFonts w:ascii="Arial" w:hAnsi="Arial"/>
          <w:b/>
          <w:i w:val="0"/>
          <w:color w:val="111418"/>
          <w:sz w:val="30"/>
        </w:rPr>
        <w:t>04 — Teknik Ölçeklenebilirlik ve Yük Testi Analizi</w:t>
      </w:r>
    </w:p>
    <w:p>
      <w:pPr>
        <w:spacing w:before="200" w:after="80"/>
      </w:pPr>
      <w:r>
        <w:rPr>
          <w:rFonts w:ascii="Arial" w:hAnsi="Arial"/>
          <w:b/>
          <w:i w:val="0"/>
          <w:color w:val="0F766E"/>
          <w:sz w:val="22"/>
        </w:rPr>
        <w:t>4.1 Taşıyıcı bazlı gerçekçi performans zarfı</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2A30"/>
          </w:tcPr>
          <w:p>
            <w:pPr>
              <w:spacing w:after="40" w:before="40"/>
            </w:pPr>
            <w:r/>
            <w:r>
              <w:rPr>
                <w:rFonts w:ascii="Arial" w:hAnsi="Arial"/>
                <w:b/>
                <w:color w:val="FFFFFF"/>
                <w:sz w:val="17"/>
              </w:rPr>
              <w:t>Taşıyıcı</w:t>
            </w:r>
          </w:p>
        </w:tc>
        <w:tc>
          <w:tcPr>
            <w:tcW w:type="dxa" w:w="1928"/>
            <w:shd w:val="clear" w:fill="1F2A30"/>
          </w:tcPr>
          <w:p>
            <w:pPr>
              <w:spacing w:after="40" w:before="40"/>
            </w:pPr>
            <w:r/>
            <w:r>
              <w:rPr>
                <w:rFonts w:ascii="Arial" w:hAnsi="Arial"/>
                <w:b/>
                <w:color w:val="FFFFFF"/>
                <w:sz w:val="17"/>
              </w:rPr>
              <w:t>Tipik hız</w:t>
            </w:r>
          </w:p>
        </w:tc>
        <w:tc>
          <w:tcPr>
            <w:tcW w:type="dxa" w:w="1928"/>
            <w:shd w:val="clear" w:fill="1F2A30"/>
          </w:tcPr>
          <w:p>
            <w:pPr>
              <w:spacing w:after="40" w:before="40"/>
            </w:pPr>
            <w:r/>
            <w:r>
              <w:rPr>
                <w:rFonts w:ascii="Arial" w:hAnsi="Arial"/>
                <w:b/>
                <w:color w:val="FFFFFF"/>
                <w:sz w:val="17"/>
              </w:rPr>
              <w:t>Gecikme</w:t>
            </w:r>
          </w:p>
        </w:tc>
        <w:tc>
          <w:tcPr>
            <w:tcW w:type="dxa" w:w="1928"/>
            <w:shd w:val="clear" w:fill="1F2A30"/>
          </w:tcPr>
          <w:p>
            <w:pPr>
              <w:spacing w:after="40" w:before="40"/>
            </w:pPr>
            <w:r/>
            <w:r>
              <w:rPr>
                <w:rFonts w:ascii="Arial" w:hAnsi="Arial"/>
                <w:b/>
                <w:color w:val="FFFFFF"/>
                <w:sz w:val="17"/>
              </w:rPr>
              <w:t>Menzil (LOS)</w:t>
            </w:r>
          </w:p>
        </w:tc>
        <w:tc>
          <w:tcPr>
            <w:tcW w:type="dxa" w:w="1928"/>
            <w:shd w:val="clear" w:fill="1F2A30"/>
          </w:tcPr>
          <w:p>
            <w:pPr>
              <w:spacing w:after="40" w:before="40"/>
            </w:pPr>
            <w:r/>
            <w:r>
              <w:rPr>
                <w:rFonts w:ascii="Arial" w:hAnsi="Arial"/>
                <w:b/>
                <w:color w:val="FFFFFF"/>
                <w:sz w:val="17"/>
              </w:rPr>
              <w:t>Kullanım</w:t>
            </w:r>
          </w:p>
        </w:tc>
      </w:tr>
      <w:tr>
        <w:tc>
          <w:tcPr>
            <w:tcW w:type="dxa" w:w="1928"/>
            <w:shd w:val="clear" w:fill="FFFFFF"/>
          </w:tcPr>
          <w:p>
            <w:pPr>
              <w:spacing w:after="40" w:before="40"/>
            </w:pPr>
            <w:r/>
            <w:r>
              <w:rPr>
                <w:rFonts w:ascii="Arial" w:hAnsi="Arial"/>
                <w:b w:val="0"/>
                <w:color w:val="111418"/>
                <w:sz w:val="17"/>
              </w:rPr>
              <w:t>LoRa (SX1262)</w:t>
            </w:r>
          </w:p>
        </w:tc>
        <w:tc>
          <w:tcPr>
            <w:tcW w:type="dxa" w:w="1928"/>
            <w:shd w:val="clear" w:fill="FFFFFF"/>
          </w:tcPr>
          <w:p>
            <w:pPr>
              <w:spacing w:after="40" w:before="40"/>
            </w:pPr>
            <w:r/>
            <w:r>
              <w:rPr>
                <w:rFonts w:ascii="Arial" w:hAnsi="Arial"/>
                <w:b w:val="0"/>
                <w:color w:val="111418"/>
                <w:sz w:val="17"/>
              </w:rPr>
              <w:t>0,3–37,5 kbps</w:t>
            </w:r>
          </w:p>
        </w:tc>
        <w:tc>
          <w:tcPr>
            <w:tcW w:type="dxa" w:w="1928"/>
            <w:shd w:val="clear" w:fill="FFFFFF"/>
          </w:tcPr>
          <w:p>
            <w:pPr>
              <w:spacing w:after="40" w:before="40"/>
            </w:pPr>
            <w:r/>
            <w:r>
              <w:rPr>
                <w:rFonts w:ascii="Arial" w:hAnsi="Arial"/>
                <w:b w:val="0"/>
                <w:color w:val="111418"/>
                <w:sz w:val="17"/>
              </w:rPr>
              <w:t>0,5–3 s</w:t>
            </w:r>
          </w:p>
        </w:tc>
        <w:tc>
          <w:tcPr>
            <w:tcW w:type="dxa" w:w="1928"/>
            <w:shd w:val="clear" w:fill="FFFFFF"/>
          </w:tcPr>
          <w:p>
            <w:pPr>
              <w:spacing w:after="40" w:before="40"/>
            </w:pPr>
            <w:r/>
            <w:r>
              <w:rPr>
                <w:rFonts w:ascii="Arial" w:hAnsi="Arial"/>
                <w:b w:val="0"/>
                <w:color w:val="111418"/>
                <w:sz w:val="17"/>
              </w:rPr>
              <w:t>2–15 km</w:t>
            </w:r>
          </w:p>
        </w:tc>
        <w:tc>
          <w:tcPr>
            <w:tcW w:type="dxa" w:w="1928"/>
            <w:shd w:val="clear" w:fill="FFFFFF"/>
          </w:tcPr>
          <w:p>
            <w:pPr>
              <w:spacing w:after="40" w:before="40"/>
            </w:pPr>
            <w:r/>
            <w:r>
              <w:rPr>
                <w:rFonts w:ascii="Arial" w:hAnsi="Arial"/>
                <w:b w:val="0"/>
                <w:color w:val="111418"/>
                <w:sz w:val="17"/>
              </w:rPr>
              <w:t>Telemetri, kısa mesaj</w:t>
            </w:r>
          </w:p>
        </w:tc>
      </w:tr>
      <w:tr>
        <w:tc>
          <w:tcPr>
            <w:tcW w:type="dxa" w:w="1928"/>
            <w:shd w:val="clear" w:fill="F2F5F6"/>
          </w:tcPr>
          <w:p>
            <w:pPr>
              <w:spacing w:after="40" w:before="40"/>
            </w:pPr>
            <w:r/>
            <w:r>
              <w:rPr>
                <w:rFonts w:ascii="Arial" w:hAnsi="Arial"/>
                <w:b w:val="0"/>
                <w:color w:val="111418"/>
                <w:sz w:val="17"/>
              </w:rPr>
              <w:t>Wi-Fi HaLow</w:t>
            </w:r>
          </w:p>
        </w:tc>
        <w:tc>
          <w:tcPr>
            <w:tcW w:type="dxa" w:w="1928"/>
            <w:shd w:val="clear" w:fill="F2F5F6"/>
          </w:tcPr>
          <w:p>
            <w:pPr>
              <w:spacing w:after="40" w:before="40"/>
            </w:pPr>
            <w:r/>
            <w:r>
              <w:rPr>
                <w:rFonts w:ascii="Arial" w:hAnsi="Arial"/>
                <w:b w:val="0"/>
                <w:color w:val="111418"/>
                <w:sz w:val="17"/>
              </w:rPr>
              <w:t>150 kbps–15 Mbps</w:t>
            </w:r>
          </w:p>
        </w:tc>
        <w:tc>
          <w:tcPr>
            <w:tcW w:type="dxa" w:w="1928"/>
            <w:shd w:val="clear" w:fill="F2F5F6"/>
          </w:tcPr>
          <w:p>
            <w:pPr>
              <w:spacing w:after="40" w:before="40"/>
            </w:pPr>
            <w:r/>
            <w:r>
              <w:rPr>
                <w:rFonts w:ascii="Arial" w:hAnsi="Arial"/>
                <w:b w:val="0"/>
                <w:color w:val="111418"/>
                <w:sz w:val="17"/>
              </w:rPr>
              <w:t>20–80 ms</w:t>
            </w:r>
          </w:p>
        </w:tc>
        <w:tc>
          <w:tcPr>
            <w:tcW w:type="dxa" w:w="1928"/>
            <w:shd w:val="clear" w:fill="F2F5F6"/>
          </w:tcPr>
          <w:p>
            <w:pPr>
              <w:spacing w:after="40" w:before="40"/>
            </w:pPr>
            <w:r/>
            <w:r>
              <w:rPr>
                <w:rFonts w:ascii="Arial" w:hAnsi="Arial"/>
                <w:b w:val="0"/>
                <w:color w:val="111418"/>
                <w:sz w:val="17"/>
              </w:rPr>
              <w:t>0,5–3 km</w:t>
            </w:r>
          </w:p>
        </w:tc>
        <w:tc>
          <w:tcPr>
            <w:tcW w:type="dxa" w:w="1928"/>
            <w:shd w:val="clear" w:fill="F2F5F6"/>
          </w:tcPr>
          <w:p>
            <w:pPr>
              <w:spacing w:after="40" w:before="40"/>
            </w:pPr>
            <w:r/>
            <w:r>
              <w:rPr>
                <w:rFonts w:ascii="Arial" w:hAnsi="Arial"/>
                <w:b w:val="0"/>
                <w:color w:val="111418"/>
                <w:sz w:val="17"/>
              </w:rPr>
              <w:t>Sensör + hafif veri</w:t>
            </w:r>
          </w:p>
        </w:tc>
      </w:tr>
      <w:tr>
        <w:tc>
          <w:tcPr>
            <w:tcW w:type="dxa" w:w="1928"/>
            <w:shd w:val="clear" w:fill="FFFFFF"/>
          </w:tcPr>
          <w:p>
            <w:pPr>
              <w:spacing w:after="40" w:before="40"/>
            </w:pPr>
            <w:r/>
            <w:r>
              <w:rPr>
                <w:rFonts w:ascii="Arial" w:hAnsi="Arial"/>
                <w:b w:val="0"/>
                <w:color w:val="111418"/>
                <w:sz w:val="17"/>
              </w:rPr>
              <w:t>TVWS</w:t>
            </w:r>
          </w:p>
        </w:tc>
        <w:tc>
          <w:tcPr>
            <w:tcW w:type="dxa" w:w="1928"/>
            <w:shd w:val="clear" w:fill="FFFFFF"/>
          </w:tcPr>
          <w:p>
            <w:pPr>
              <w:spacing w:after="40" w:before="40"/>
            </w:pPr>
            <w:r/>
            <w:r>
              <w:rPr>
                <w:rFonts w:ascii="Arial" w:hAnsi="Arial"/>
                <w:b w:val="0"/>
                <w:color w:val="111418"/>
                <w:sz w:val="17"/>
              </w:rPr>
              <w:t>1–20 Mbps</w:t>
            </w:r>
          </w:p>
        </w:tc>
        <w:tc>
          <w:tcPr>
            <w:tcW w:type="dxa" w:w="1928"/>
            <w:shd w:val="clear" w:fill="FFFFFF"/>
          </w:tcPr>
          <w:p>
            <w:pPr>
              <w:spacing w:after="40" w:before="40"/>
            </w:pPr>
            <w:r/>
            <w:r>
              <w:rPr>
                <w:rFonts w:ascii="Arial" w:hAnsi="Arial"/>
                <w:b w:val="0"/>
                <w:color w:val="111418"/>
                <w:sz w:val="17"/>
              </w:rPr>
              <w:t>30–90 ms</w:t>
            </w:r>
          </w:p>
        </w:tc>
        <w:tc>
          <w:tcPr>
            <w:tcW w:type="dxa" w:w="1928"/>
            <w:shd w:val="clear" w:fill="FFFFFF"/>
          </w:tcPr>
          <w:p>
            <w:pPr>
              <w:spacing w:after="40" w:before="40"/>
            </w:pPr>
            <w:r/>
            <w:r>
              <w:rPr>
                <w:rFonts w:ascii="Arial" w:hAnsi="Arial"/>
                <w:b w:val="0"/>
                <w:color w:val="111418"/>
                <w:sz w:val="17"/>
              </w:rPr>
              <w:t>3–10 km</w:t>
            </w:r>
          </w:p>
        </w:tc>
        <w:tc>
          <w:tcPr>
            <w:tcW w:type="dxa" w:w="1928"/>
            <w:shd w:val="clear" w:fill="FFFFFF"/>
          </w:tcPr>
          <w:p>
            <w:pPr>
              <w:spacing w:after="40" w:before="40"/>
            </w:pPr>
            <w:r/>
            <w:r>
              <w:rPr>
                <w:rFonts w:ascii="Arial" w:hAnsi="Arial"/>
                <w:b w:val="0"/>
                <w:color w:val="111418"/>
                <w:sz w:val="17"/>
              </w:rPr>
              <w:t>Kırsal omurga</w:t>
            </w:r>
          </w:p>
        </w:tc>
      </w:tr>
      <w:tr>
        <w:tc>
          <w:tcPr>
            <w:tcW w:type="dxa" w:w="1928"/>
            <w:shd w:val="clear" w:fill="F2F5F6"/>
          </w:tcPr>
          <w:p>
            <w:pPr>
              <w:spacing w:after="40" w:before="40"/>
            </w:pPr>
            <w:r/>
            <w:r>
              <w:rPr>
                <w:rFonts w:ascii="Arial" w:hAnsi="Arial"/>
                <w:b w:val="0"/>
                <w:color w:val="111418"/>
                <w:sz w:val="17"/>
              </w:rPr>
              <w:t>WiGig 60 GHz</w:t>
            </w:r>
          </w:p>
        </w:tc>
        <w:tc>
          <w:tcPr>
            <w:tcW w:type="dxa" w:w="1928"/>
            <w:shd w:val="clear" w:fill="F2F5F6"/>
          </w:tcPr>
          <w:p>
            <w:pPr>
              <w:spacing w:after="40" w:before="40"/>
            </w:pPr>
            <w:r/>
            <w:r>
              <w:rPr>
                <w:rFonts w:ascii="Arial" w:hAnsi="Arial"/>
                <w:b w:val="0"/>
                <w:color w:val="111418"/>
                <w:sz w:val="17"/>
              </w:rPr>
              <w:t>0,5–2 Gbps</w:t>
            </w:r>
          </w:p>
        </w:tc>
        <w:tc>
          <w:tcPr>
            <w:tcW w:type="dxa" w:w="1928"/>
            <w:shd w:val="clear" w:fill="F2F5F6"/>
          </w:tcPr>
          <w:p>
            <w:pPr>
              <w:spacing w:after="40" w:before="40"/>
            </w:pPr>
            <w:r/>
            <w:r>
              <w:rPr>
                <w:rFonts w:ascii="Arial" w:hAnsi="Arial"/>
                <w:b w:val="0"/>
                <w:color w:val="111418"/>
                <w:sz w:val="17"/>
              </w:rPr>
              <w:t>&lt; 5 ms</w:t>
            </w:r>
          </w:p>
        </w:tc>
        <w:tc>
          <w:tcPr>
            <w:tcW w:type="dxa" w:w="1928"/>
            <w:shd w:val="clear" w:fill="F2F5F6"/>
          </w:tcPr>
          <w:p>
            <w:pPr>
              <w:spacing w:after="40" w:before="40"/>
            </w:pPr>
            <w:r/>
            <w:r>
              <w:rPr>
                <w:rFonts w:ascii="Arial" w:hAnsi="Arial"/>
                <w:b w:val="0"/>
                <w:color w:val="111418"/>
                <w:sz w:val="17"/>
              </w:rPr>
              <w:t>200–800 m</w:t>
            </w:r>
          </w:p>
        </w:tc>
        <w:tc>
          <w:tcPr>
            <w:tcW w:type="dxa" w:w="1928"/>
            <w:shd w:val="clear" w:fill="F2F5F6"/>
          </w:tcPr>
          <w:p>
            <w:pPr>
              <w:spacing w:after="40" w:before="40"/>
            </w:pPr>
            <w:r/>
            <w:r>
              <w:rPr>
                <w:rFonts w:ascii="Arial" w:hAnsi="Arial"/>
                <w:b w:val="0"/>
                <w:color w:val="111418"/>
                <w:sz w:val="17"/>
              </w:rPr>
              <w:t>Nokta-nokta omurga</w:t>
            </w:r>
          </w:p>
        </w:tc>
      </w:tr>
      <w:tr>
        <w:tc>
          <w:tcPr>
            <w:tcW w:type="dxa" w:w="1928"/>
            <w:shd w:val="clear" w:fill="FFFFFF"/>
          </w:tcPr>
          <w:p>
            <w:pPr>
              <w:spacing w:after="40" w:before="40"/>
            </w:pPr>
            <w:r/>
            <w:r>
              <w:rPr>
                <w:rFonts w:ascii="Arial" w:hAnsi="Arial"/>
                <w:b w:val="0"/>
                <w:color w:val="111418"/>
                <w:sz w:val="17"/>
              </w:rPr>
              <w:t>FSO lazer</w:t>
            </w:r>
          </w:p>
        </w:tc>
        <w:tc>
          <w:tcPr>
            <w:tcW w:type="dxa" w:w="1928"/>
            <w:shd w:val="clear" w:fill="FFFFFF"/>
          </w:tcPr>
          <w:p>
            <w:pPr>
              <w:spacing w:after="40" w:before="40"/>
            </w:pPr>
            <w:r/>
            <w:r>
              <w:rPr>
                <w:rFonts w:ascii="Arial" w:hAnsi="Arial"/>
                <w:b w:val="0"/>
                <w:color w:val="111418"/>
                <w:sz w:val="17"/>
              </w:rPr>
              <w:t>0,1–10 Gbps</w:t>
            </w:r>
          </w:p>
        </w:tc>
        <w:tc>
          <w:tcPr>
            <w:tcW w:type="dxa" w:w="1928"/>
            <w:shd w:val="clear" w:fill="FFFFFF"/>
          </w:tcPr>
          <w:p>
            <w:pPr>
              <w:spacing w:after="40" w:before="40"/>
            </w:pPr>
            <w:r/>
            <w:r>
              <w:rPr>
                <w:rFonts w:ascii="Arial" w:hAnsi="Arial"/>
                <w:b w:val="0"/>
                <w:color w:val="111418"/>
                <w:sz w:val="17"/>
              </w:rPr>
              <w:t>&lt; 2 ms</w:t>
            </w:r>
          </w:p>
        </w:tc>
        <w:tc>
          <w:tcPr>
            <w:tcW w:type="dxa" w:w="1928"/>
            <w:shd w:val="clear" w:fill="FFFFFF"/>
          </w:tcPr>
          <w:p>
            <w:pPr>
              <w:spacing w:after="40" w:before="40"/>
            </w:pPr>
            <w:r/>
            <w:r>
              <w:rPr>
                <w:rFonts w:ascii="Arial" w:hAnsi="Arial"/>
                <w:b w:val="0"/>
                <w:color w:val="111418"/>
                <w:sz w:val="17"/>
              </w:rPr>
              <w:t>0,5–3 km</w:t>
            </w:r>
          </w:p>
        </w:tc>
        <w:tc>
          <w:tcPr>
            <w:tcW w:type="dxa" w:w="1928"/>
            <w:shd w:val="clear" w:fill="FFFFFF"/>
          </w:tcPr>
          <w:p>
            <w:pPr>
              <w:spacing w:after="40" w:before="40"/>
            </w:pPr>
            <w:r/>
            <w:r>
              <w:rPr>
                <w:rFonts w:ascii="Arial" w:hAnsi="Arial"/>
                <w:b w:val="0"/>
                <w:color w:val="111418"/>
                <w:sz w:val="17"/>
              </w:rPr>
              <w:t>Yüksek kapasite, hava bağımlı</w:t>
            </w:r>
          </w:p>
        </w:tc>
      </w:tr>
      <w:tr>
        <w:tc>
          <w:tcPr>
            <w:tcW w:type="dxa" w:w="1928"/>
            <w:shd w:val="clear" w:fill="F2F5F6"/>
          </w:tcPr>
          <w:p>
            <w:pPr>
              <w:spacing w:after="40" w:before="40"/>
            </w:pPr>
            <w:r/>
            <w:r>
              <w:rPr>
                <w:rFonts w:ascii="Arial" w:hAnsi="Arial"/>
                <w:b w:val="0"/>
                <w:color w:val="111418"/>
                <w:sz w:val="17"/>
              </w:rPr>
              <w:t>BLE / NUS</w:t>
            </w:r>
          </w:p>
        </w:tc>
        <w:tc>
          <w:tcPr>
            <w:tcW w:type="dxa" w:w="1928"/>
            <w:shd w:val="clear" w:fill="F2F5F6"/>
          </w:tcPr>
          <w:p>
            <w:pPr>
              <w:spacing w:after="40" w:before="40"/>
            </w:pPr>
            <w:r/>
            <w:r>
              <w:rPr>
                <w:rFonts w:ascii="Arial" w:hAnsi="Arial"/>
                <w:b w:val="0"/>
                <w:color w:val="111418"/>
                <w:sz w:val="17"/>
              </w:rPr>
              <w:t>≈ 10–100 kbps</w:t>
            </w:r>
          </w:p>
        </w:tc>
        <w:tc>
          <w:tcPr>
            <w:tcW w:type="dxa" w:w="1928"/>
            <w:shd w:val="clear" w:fill="F2F5F6"/>
          </w:tcPr>
          <w:p>
            <w:pPr>
              <w:spacing w:after="40" w:before="40"/>
            </w:pPr>
            <w:r/>
            <w:r>
              <w:rPr>
                <w:rFonts w:ascii="Arial" w:hAnsi="Arial"/>
                <w:b w:val="0"/>
                <w:color w:val="111418"/>
                <w:sz w:val="17"/>
              </w:rPr>
              <w:t>50–200 ms</w:t>
            </w:r>
          </w:p>
        </w:tc>
        <w:tc>
          <w:tcPr>
            <w:tcW w:type="dxa" w:w="1928"/>
            <w:shd w:val="clear" w:fill="F2F5F6"/>
          </w:tcPr>
          <w:p>
            <w:pPr>
              <w:spacing w:after="40" w:before="40"/>
            </w:pPr>
            <w:r/>
            <w:r>
              <w:rPr>
                <w:rFonts w:ascii="Arial" w:hAnsi="Arial"/>
                <w:b w:val="0"/>
                <w:color w:val="111418"/>
                <w:sz w:val="17"/>
              </w:rPr>
              <w:t>10–100 m</w:t>
            </w:r>
          </w:p>
        </w:tc>
        <w:tc>
          <w:tcPr>
            <w:tcW w:type="dxa" w:w="1928"/>
            <w:shd w:val="clear" w:fill="F2F5F6"/>
          </w:tcPr>
          <w:p>
            <w:pPr>
              <w:spacing w:after="40" w:before="40"/>
            </w:pPr>
            <w:r/>
            <w:r>
              <w:rPr>
                <w:rFonts w:ascii="Arial" w:hAnsi="Arial"/>
                <w:b w:val="0"/>
                <w:color w:val="111418"/>
                <w:sz w:val="17"/>
              </w:rPr>
              <w:t>Yakın alan, telefon köprüsü</w:t>
            </w:r>
          </w:p>
        </w:tc>
      </w:tr>
      <w:tr>
        <w:tc>
          <w:tcPr>
            <w:tcW w:type="dxa" w:w="1928"/>
            <w:shd w:val="clear" w:fill="FFFFFF"/>
          </w:tcPr>
          <w:p>
            <w:pPr>
              <w:spacing w:after="40" w:before="40"/>
            </w:pPr>
            <w:r/>
            <w:r>
              <w:rPr>
                <w:rFonts w:ascii="Arial" w:hAnsi="Arial"/>
                <w:b w:val="0"/>
                <w:color w:val="111418"/>
                <w:sz w:val="17"/>
              </w:rPr>
              <w:t>Tarayıcı P2P (WebRTC)</w:t>
            </w:r>
          </w:p>
        </w:tc>
        <w:tc>
          <w:tcPr>
            <w:tcW w:type="dxa" w:w="1928"/>
            <w:shd w:val="clear" w:fill="FFFFFF"/>
          </w:tcPr>
          <w:p>
            <w:pPr>
              <w:spacing w:after="40" w:before="40"/>
            </w:pPr>
            <w:r/>
            <w:r>
              <w:rPr>
                <w:rFonts w:ascii="Arial" w:hAnsi="Arial"/>
                <w:b w:val="0"/>
                <w:color w:val="111418"/>
                <w:sz w:val="17"/>
              </w:rPr>
              <w:t>İnternet bağımlı</w:t>
            </w:r>
          </w:p>
        </w:tc>
        <w:tc>
          <w:tcPr>
            <w:tcW w:type="dxa" w:w="1928"/>
            <w:shd w:val="clear" w:fill="FFFFFF"/>
          </w:tcPr>
          <w:p>
            <w:pPr>
              <w:spacing w:after="40" w:before="40"/>
            </w:pPr>
            <w:r/>
            <w:r>
              <w:rPr>
                <w:rFonts w:ascii="Arial" w:hAnsi="Arial"/>
                <w:b w:val="0"/>
                <w:color w:val="111418"/>
                <w:sz w:val="17"/>
              </w:rPr>
              <w:t>20–120 ms</w:t>
            </w:r>
          </w:p>
        </w:tc>
        <w:tc>
          <w:tcPr>
            <w:tcW w:type="dxa" w:w="1928"/>
            <w:shd w:val="clear" w:fill="FFFFFF"/>
          </w:tcPr>
          <w:p>
            <w:pPr>
              <w:spacing w:after="40" w:before="40"/>
            </w:pPr>
            <w:r/>
            <w:r>
              <w:rPr>
                <w:rFonts w:ascii="Arial" w:hAnsi="Arial"/>
                <w:b w:val="0"/>
                <w:color w:val="111418"/>
                <w:sz w:val="17"/>
              </w:rPr>
              <w:t>—</w:t>
            </w:r>
          </w:p>
        </w:tc>
        <w:tc>
          <w:tcPr>
            <w:tcW w:type="dxa" w:w="1928"/>
            <w:shd w:val="clear" w:fill="FFFFFF"/>
          </w:tcPr>
          <w:p>
            <w:pPr>
              <w:spacing w:after="40" w:before="40"/>
            </w:pPr>
            <w:r/>
            <w:r>
              <w:rPr>
                <w:rFonts w:ascii="Arial" w:hAnsi="Arial"/>
                <w:b w:val="0"/>
                <w:color w:val="111418"/>
                <w:sz w:val="17"/>
              </w:rPr>
              <w:t>Donanımsız demo/izleme</w:t>
            </w:r>
          </w:p>
        </w:tc>
      </w:tr>
    </w:tbl>
    <w:p>
      <w:pPr>
        <w:spacing w:after="80"/>
      </w:pPr>
    </w:p>
    <w:p>
      <w:pPr>
        <w:spacing w:before="0" w:after="100"/>
      </w:pPr>
      <w:r>
        <w:rPr>
          <w:rFonts w:ascii="Arial" w:hAnsi="Arial"/>
          <w:b w:val="0"/>
          <w:i w:val="0"/>
          <w:color w:val="111418"/>
          <w:sz w:val="19"/>
        </w:rPr>
        <w:t>Bu değerler taşıyıcının fiziksel sınırlarıdır; Tedbirge katmanı bunları artırmaz, yalnızca yönetir, yönlendirir ve şifreler. Pazarlama iletişiminde bu sınır açıkça beyan edilir.</w:t>
      </w:r>
    </w:p>
    <w:p>
      <w:pPr>
        <w:spacing w:before="200" w:after="80"/>
      </w:pPr>
      <w:r>
        <w:rPr>
          <w:rFonts w:ascii="Arial" w:hAnsi="Arial"/>
          <w:b/>
          <w:i w:val="0"/>
          <w:color w:val="0F766E"/>
          <w:sz w:val="22"/>
        </w:rPr>
        <w:t>4.2 Kontrol düzlemi ölçeklenmesi</w:t>
      </w:r>
    </w:p>
    <w:p>
      <w:pPr>
        <w:spacing w:before="0" w:after="40"/>
        <w:ind w:left="340" w:hanging="227"/>
      </w:pPr>
      <w:r>
        <w:rPr>
          <w:rFonts w:ascii="Arial" w:hAnsi="Arial"/>
          <w:color w:val="111418"/>
          <w:sz w:val="19"/>
        </w:rPr>
        <w:t xml:space="preserve">• </w:t>
      </w:r>
      <w:r>
        <w:rPr>
          <w:rFonts w:ascii="Arial" w:hAnsi="Arial"/>
          <w:b w:val="0"/>
          <w:i w:val="0"/>
          <w:color w:val="111418"/>
          <w:sz w:val="19"/>
        </w:rPr>
        <w:t>Telemetri uç noktası sunucusuz çalışır; yatay ölçeklenir, darboğaz veritabanı yazma hızıdır.</w:t>
      </w:r>
    </w:p>
    <w:p>
      <w:pPr>
        <w:spacing w:before="0" w:after="40"/>
        <w:ind w:left="340" w:hanging="227"/>
      </w:pPr>
      <w:r>
        <w:rPr>
          <w:rFonts w:ascii="Arial" w:hAnsi="Arial"/>
          <w:color w:val="111418"/>
          <w:sz w:val="19"/>
        </w:rPr>
        <w:t xml:space="preserve">• </w:t>
      </w:r>
      <w:r>
        <w:rPr>
          <w:rFonts w:ascii="Arial" w:hAnsi="Arial"/>
          <w:b w:val="0"/>
          <w:i w:val="0"/>
          <w:color w:val="111418"/>
          <w:sz w:val="19"/>
        </w:rPr>
        <w:t>Hedef: 1.000 düğümde 30 sn aralıklı telemetri ≈ 33 yazma/sn — mevcut mimari için güvenli bant.</w:t>
      </w:r>
    </w:p>
    <w:p>
      <w:pPr>
        <w:spacing w:before="0" w:after="40"/>
        <w:ind w:left="340" w:hanging="227"/>
      </w:pPr>
      <w:r>
        <w:rPr>
          <w:rFonts w:ascii="Arial" w:hAnsi="Arial"/>
          <w:color w:val="111418"/>
          <w:sz w:val="19"/>
        </w:rPr>
        <w:t xml:space="preserve">• </w:t>
      </w:r>
      <w:r>
        <w:rPr>
          <w:rFonts w:ascii="Arial" w:hAnsi="Arial"/>
          <w:b w:val="0"/>
          <w:i w:val="0"/>
          <w:color w:val="111418"/>
          <w:sz w:val="19"/>
        </w:rPr>
        <w:t>5.000 düğüm üzerinde toplu (batch) telemetri ve zaman serisi sıkıştırması gerekir.</w:t>
      </w:r>
    </w:p>
    <w:p>
      <w:pPr>
        <w:spacing w:before="0" w:after="40"/>
        <w:ind w:left="340" w:hanging="227"/>
      </w:pPr>
      <w:r>
        <w:rPr>
          <w:rFonts w:ascii="Arial" w:hAnsi="Arial"/>
          <w:color w:val="111418"/>
          <w:sz w:val="19"/>
        </w:rPr>
        <w:t xml:space="preserve">• </w:t>
      </w:r>
      <w:r>
        <w:rPr>
          <w:rFonts w:ascii="Arial" w:hAnsi="Arial"/>
          <w:b w:val="0"/>
          <w:i w:val="0"/>
          <w:color w:val="111418"/>
          <w:sz w:val="19"/>
        </w:rPr>
        <w:t>Hız sınırlama (rate limit) IP ve anahtar bazında uygulanır; kötüye kullanım maliyeti sınırlar.</w:t>
      </w:r>
    </w:p>
    <w:p>
      <w:pPr>
        <w:spacing w:before="200" w:after="80"/>
      </w:pPr>
      <w:r>
        <w:rPr>
          <w:rFonts w:ascii="Arial" w:hAnsi="Arial"/>
          <w:b/>
          <w:i w:val="0"/>
          <w:color w:val="0F766E"/>
          <w:sz w:val="22"/>
        </w:rPr>
        <w:t>4.3 Yük testi planı</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2A30"/>
          </w:tcPr>
          <w:p>
            <w:pPr>
              <w:spacing w:after="40" w:before="40"/>
            </w:pPr>
            <w:r/>
            <w:r>
              <w:rPr>
                <w:rFonts w:ascii="Arial" w:hAnsi="Arial"/>
                <w:b/>
                <w:color w:val="FFFFFF"/>
                <w:sz w:val="17"/>
              </w:rPr>
              <w:t>Test</w:t>
            </w:r>
          </w:p>
        </w:tc>
        <w:tc>
          <w:tcPr>
            <w:tcW w:type="dxa" w:w="3213"/>
            <w:shd w:val="clear" w:fill="1F2A30"/>
          </w:tcPr>
          <w:p>
            <w:pPr>
              <w:spacing w:after="40" w:before="40"/>
            </w:pPr>
            <w:r/>
            <w:r>
              <w:rPr>
                <w:rFonts w:ascii="Arial" w:hAnsi="Arial"/>
                <w:b/>
                <w:color w:val="FFFFFF"/>
                <w:sz w:val="17"/>
              </w:rPr>
              <w:t>Senaryo</w:t>
            </w:r>
          </w:p>
        </w:tc>
        <w:tc>
          <w:tcPr>
            <w:tcW w:type="dxa" w:w="3213"/>
            <w:shd w:val="clear" w:fill="1F2A30"/>
          </w:tcPr>
          <w:p>
            <w:pPr>
              <w:spacing w:after="40" w:before="40"/>
            </w:pPr>
            <w:r/>
            <w:r>
              <w:rPr>
                <w:rFonts w:ascii="Arial" w:hAnsi="Arial"/>
                <w:b/>
                <w:color w:val="FFFFFF"/>
                <w:sz w:val="17"/>
              </w:rPr>
              <w:t>Başarı ölçütü</w:t>
            </w:r>
          </w:p>
        </w:tc>
      </w:tr>
      <w:tr>
        <w:tc>
          <w:tcPr>
            <w:tcW w:type="dxa" w:w="3213"/>
            <w:shd w:val="clear" w:fill="FFFFFF"/>
          </w:tcPr>
          <w:p>
            <w:pPr>
              <w:spacing w:after="40" w:before="40"/>
            </w:pPr>
            <w:r/>
            <w:r>
              <w:rPr>
                <w:rFonts w:ascii="Arial" w:hAnsi="Arial"/>
                <w:b w:val="0"/>
                <w:color w:val="111418"/>
                <w:sz w:val="17"/>
              </w:rPr>
              <w:t>Telemetri yükü</w:t>
            </w:r>
          </w:p>
        </w:tc>
        <w:tc>
          <w:tcPr>
            <w:tcW w:type="dxa" w:w="3213"/>
            <w:shd w:val="clear" w:fill="FFFFFF"/>
          </w:tcPr>
          <w:p>
            <w:pPr>
              <w:spacing w:after="40" w:before="40"/>
            </w:pPr>
            <w:r/>
            <w:r>
              <w:rPr>
                <w:rFonts w:ascii="Arial" w:hAnsi="Arial"/>
                <w:b w:val="0"/>
                <w:color w:val="111418"/>
                <w:sz w:val="17"/>
              </w:rPr>
              <w:t>500 sanal düğüm, 1 saat</w:t>
            </w:r>
          </w:p>
        </w:tc>
        <w:tc>
          <w:tcPr>
            <w:tcW w:type="dxa" w:w="3213"/>
            <w:shd w:val="clear" w:fill="FFFFFF"/>
          </w:tcPr>
          <w:p>
            <w:pPr>
              <w:spacing w:after="40" w:before="40"/>
            </w:pPr>
            <w:r/>
            <w:r>
              <w:rPr>
                <w:rFonts w:ascii="Arial" w:hAnsi="Arial"/>
                <w:b w:val="0"/>
                <w:color w:val="111418"/>
                <w:sz w:val="17"/>
              </w:rPr>
              <w:t>p95 yazma &lt; 400 ms, kayıp %0</w:t>
            </w:r>
          </w:p>
        </w:tc>
      </w:tr>
      <w:tr>
        <w:tc>
          <w:tcPr>
            <w:tcW w:type="dxa" w:w="3213"/>
            <w:shd w:val="clear" w:fill="F2F5F6"/>
          </w:tcPr>
          <w:p>
            <w:pPr>
              <w:spacing w:after="40" w:before="40"/>
            </w:pPr>
            <w:r/>
            <w:r>
              <w:rPr>
                <w:rFonts w:ascii="Arial" w:hAnsi="Arial"/>
                <w:b w:val="0"/>
                <w:color w:val="111418"/>
                <w:sz w:val="17"/>
              </w:rPr>
              <w:t>Kuyruk dayanıklılığı</w:t>
            </w:r>
          </w:p>
        </w:tc>
        <w:tc>
          <w:tcPr>
            <w:tcW w:type="dxa" w:w="3213"/>
            <w:shd w:val="clear" w:fill="F2F5F6"/>
          </w:tcPr>
          <w:p>
            <w:pPr>
              <w:spacing w:after="40" w:before="40"/>
            </w:pPr>
            <w:r/>
            <w:r>
              <w:rPr>
                <w:rFonts w:ascii="Arial" w:hAnsi="Arial"/>
                <w:b w:val="0"/>
                <w:color w:val="111418"/>
                <w:sz w:val="17"/>
              </w:rPr>
              <w:t>2 saat kesinti + geri dönüş</w:t>
            </w:r>
          </w:p>
        </w:tc>
        <w:tc>
          <w:tcPr>
            <w:tcW w:type="dxa" w:w="3213"/>
            <w:shd w:val="clear" w:fill="F2F5F6"/>
          </w:tcPr>
          <w:p>
            <w:pPr>
              <w:spacing w:after="40" w:before="40"/>
            </w:pPr>
            <w:r/>
            <w:r>
              <w:rPr>
                <w:rFonts w:ascii="Arial" w:hAnsi="Arial"/>
                <w:b w:val="0"/>
                <w:color w:val="111418"/>
                <w:sz w:val="17"/>
              </w:rPr>
              <w:t>Sıra korunur, çift kayıt yok</w:t>
            </w:r>
          </w:p>
        </w:tc>
      </w:tr>
      <w:tr>
        <w:tc>
          <w:tcPr>
            <w:tcW w:type="dxa" w:w="3213"/>
            <w:shd w:val="clear" w:fill="FFFFFF"/>
          </w:tcPr>
          <w:p>
            <w:pPr>
              <w:spacing w:after="40" w:before="40"/>
            </w:pPr>
            <w:r/>
            <w:r>
              <w:rPr>
                <w:rFonts w:ascii="Arial" w:hAnsi="Arial"/>
                <w:b w:val="0"/>
                <w:color w:val="111418"/>
                <w:sz w:val="17"/>
              </w:rPr>
              <w:t>Failover</w:t>
            </w:r>
          </w:p>
        </w:tc>
        <w:tc>
          <w:tcPr>
            <w:tcW w:type="dxa" w:w="3213"/>
            <w:shd w:val="clear" w:fill="FFFFFF"/>
          </w:tcPr>
          <w:p>
            <w:pPr>
              <w:spacing w:after="40" w:before="40"/>
            </w:pPr>
            <w:r/>
            <w:r>
              <w:rPr>
                <w:rFonts w:ascii="Arial" w:hAnsi="Arial"/>
                <w:b w:val="0"/>
                <w:color w:val="111418"/>
                <w:sz w:val="17"/>
              </w:rPr>
              <w:t>Birincil gateway kapatma</w:t>
            </w:r>
          </w:p>
        </w:tc>
        <w:tc>
          <w:tcPr>
            <w:tcW w:type="dxa" w:w="3213"/>
            <w:shd w:val="clear" w:fill="FFFFFF"/>
          </w:tcPr>
          <w:p>
            <w:pPr>
              <w:spacing w:after="40" w:before="40"/>
            </w:pPr>
            <w:r/>
            <w:r>
              <w:rPr>
                <w:rFonts w:ascii="Arial" w:hAnsi="Arial"/>
                <w:b w:val="0"/>
                <w:color w:val="111418"/>
                <w:sz w:val="17"/>
              </w:rPr>
              <w:t>&lt; 30 sn'de yedeğe geçiş</w:t>
            </w:r>
          </w:p>
        </w:tc>
      </w:tr>
      <w:tr>
        <w:tc>
          <w:tcPr>
            <w:tcW w:type="dxa" w:w="3213"/>
            <w:shd w:val="clear" w:fill="F2F5F6"/>
          </w:tcPr>
          <w:p>
            <w:pPr>
              <w:spacing w:after="40" w:before="40"/>
            </w:pPr>
            <w:r/>
            <w:r>
              <w:rPr>
                <w:rFonts w:ascii="Arial" w:hAnsi="Arial"/>
                <w:b w:val="0"/>
                <w:color w:val="111418"/>
                <w:sz w:val="17"/>
              </w:rPr>
              <w:t>Eş sayısı</w:t>
            </w:r>
          </w:p>
        </w:tc>
        <w:tc>
          <w:tcPr>
            <w:tcW w:type="dxa" w:w="3213"/>
            <w:shd w:val="clear" w:fill="F2F5F6"/>
          </w:tcPr>
          <w:p>
            <w:pPr>
              <w:spacing w:after="40" w:before="40"/>
            </w:pPr>
            <w:r/>
            <w:r>
              <w:rPr>
                <w:rFonts w:ascii="Arial" w:hAnsi="Arial"/>
                <w:b w:val="0"/>
                <w:color w:val="111418"/>
                <w:sz w:val="17"/>
              </w:rPr>
              <w:t>Tarayıcı düğümü 20 eş</w:t>
            </w:r>
          </w:p>
        </w:tc>
        <w:tc>
          <w:tcPr>
            <w:tcW w:type="dxa" w:w="3213"/>
            <w:shd w:val="clear" w:fill="F2F5F6"/>
          </w:tcPr>
          <w:p>
            <w:pPr>
              <w:spacing w:after="40" w:before="40"/>
            </w:pPr>
            <w:r/>
            <w:r>
              <w:rPr>
                <w:rFonts w:ascii="Arial" w:hAnsi="Arial"/>
                <w:b w:val="0"/>
                <w:color w:val="111418"/>
                <w:sz w:val="17"/>
              </w:rPr>
              <w:t>DataChannel kararlı, CPU &lt; %40</w:t>
            </w:r>
          </w:p>
        </w:tc>
      </w:tr>
      <w:tr>
        <w:tc>
          <w:tcPr>
            <w:tcW w:type="dxa" w:w="3213"/>
            <w:shd w:val="clear" w:fill="FFFFFF"/>
          </w:tcPr>
          <w:p>
            <w:pPr>
              <w:spacing w:after="40" w:before="40"/>
            </w:pPr>
            <w:r/>
            <w:r>
              <w:rPr>
                <w:rFonts w:ascii="Arial" w:hAnsi="Arial"/>
                <w:b w:val="0"/>
                <w:color w:val="111418"/>
                <w:sz w:val="17"/>
              </w:rPr>
              <w:t>Panel eşzamanlılık</w:t>
            </w:r>
          </w:p>
        </w:tc>
        <w:tc>
          <w:tcPr>
            <w:tcW w:type="dxa" w:w="3213"/>
            <w:shd w:val="clear" w:fill="FFFFFF"/>
          </w:tcPr>
          <w:p>
            <w:pPr>
              <w:spacing w:after="40" w:before="40"/>
            </w:pPr>
            <w:r/>
            <w:r>
              <w:rPr>
                <w:rFonts w:ascii="Arial" w:hAnsi="Arial"/>
                <w:b w:val="0"/>
                <w:color w:val="111418"/>
                <w:sz w:val="17"/>
              </w:rPr>
              <w:t>100 eşzamanlı oturum</w:t>
            </w:r>
          </w:p>
        </w:tc>
        <w:tc>
          <w:tcPr>
            <w:tcW w:type="dxa" w:w="3213"/>
            <w:shd w:val="clear" w:fill="FFFFFF"/>
          </w:tcPr>
          <w:p>
            <w:pPr>
              <w:spacing w:after="40" w:before="40"/>
            </w:pPr>
            <w:r/>
            <w:r>
              <w:rPr>
                <w:rFonts w:ascii="Arial" w:hAnsi="Arial"/>
                <w:b w:val="0"/>
                <w:color w:val="111418"/>
                <w:sz w:val="17"/>
              </w:rPr>
              <w:t>İlk boyama &lt; 2,5 sn</w:t>
            </w:r>
          </w:p>
        </w:tc>
      </w:tr>
    </w:tbl>
    <w:p>
      <w:pPr>
        <w:spacing w:after="80"/>
      </w:pPr>
    </w:p>
    <w:p>
      <w:pPr>
        <w:spacing w:before="0" w:after="100"/>
      </w:pPr>
      <w:r>
        <w:rPr>
          <w:rFonts w:ascii="Arial" w:hAnsi="Arial"/>
          <w:b w:val="0"/>
          <w:i w:val="0"/>
          <w:color w:val="111418"/>
          <w:sz w:val="19"/>
        </w:rPr>
        <w:t>Bu testler henüz tam ölçekte koşulmamıştır; pilot öncesi tamamlanması gereken en yüksek öncelikli teknik borçtur.</w:t>
      </w:r>
    </w:p>
    <w:p>
      <w:r>
        <w:br w:type="page"/>
      </w:r>
    </w:p>
    <w:p>
      <w:pPr>
        <w:spacing w:before="280" w:after="120"/>
      </w:pPr>
      <w:r>
        <w:rPr>
          <w:rFonts w:ascii="Arial" w:hAnsi="Arial"/>
          <w:b/>
          <w:i w:val="0"/>
          <w:color w:val="111418"/>
          <w:sz w:val="30"/>
        </w:rPr>
        <w:t>05 — Risk Yönetimi ve İş Sürekliliği (BCP)</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fill="1F2A30"/>
          </w:tcPr>
          <w:p>
            <w:pPr>
              <w:spacing w:after="40" w:before="40"/>
            </w:pPr>
            <w:r/>
            <w:r>
              <w:rPr>
                <w:rFonts w:ascii="Arial" w:hAnsi="Arial"/>
                <w:b/>
                <w:color w:val="FFFFFF"/>
                <w:sz w:val="17"/>
              </w:rPr>
              <w:t>Risk</w:t>
            </w:r>
          </w:p>
        </w:tc>
        <w:tc>
          <w:tcPr>
            <w:tcW w:type="dxa" w:w="2409"/>
            <w:shd w:val="clear" w:fill="1F2A30"/>
          </w:tcPr>
          <w:p>
            <w:pPr>
              <w:spacing w:after="40" w:before="40"/>
            </w:pPr>
            <w:r/>
            <w:r>
              <w:rPr>
                <w:rFonts w:ascii="Arial" w:hAnsi="Arial"/>
                <w:b/>
                <w:color w:val="FFFFFF"/>
                <w:sz w:val="17"/>
              </w:rPr>
              <w:t>Olasılık</w:t>
            </w:r>
          </w:p>
        </w:tc>
        <w:tc>
          <w:tcPr>
            <w:tcW w:type="dxa" w:w="2409"/>
            <w:shd w:val="clear" w:fill="1F2A30"/>
          </w:tcPr>
          <w:p>
            <w:pPr>
              <w:spacing w:after="40" w:before="40"/>
            </w:pPr>
            <w:r/>
            <w:r>
              <w:rPr>
                <w:rFonts w:ascii="Arial" w:hAnsi="Arial"/>
                <w:b/>
                <w:color w:val="FFFFFF"/>
                <w:sz w:val="17"/>
              </w:rPr>
              <w:t>Etki</w:t>
            </w:r>
          </w:p>
        </w:tc>
        <w:tc>
          <w:tcPr>
            <w:tcW w:type="dxa" w:w="2409"/>
            <w:shd w:val="clear" w:fill="1F2A30"/>
          </w:tcPr>
          <w:p>
            <w:pPr>
              <w:spacing w:after="40" w:before="40"/>
            </w:pPr>
            <w:r/>
            <w:r>
              <w:rPr>
                <w:rFonts w:ascii="Arial" w:hAnsi="Arial"/>
                <w:b/>
                <w:color w:val="FFFFFF"/>
                <w:sz w:val="17"/>
              </w:rPr>
              <w:t>Azaltım</w:t>
            </w:r>
          </w:p>
        </w:tc>
      </w:tr>
      <w:tr>
        <w:tc>
          <w:tcPr>
            <w:tcW w:type="dxa" w:w="2409"/>
            <w:shd w:val="clear" w:fill="FFFFFF"/>
          </w:tcPr>
          <w:p>
            <w:pPr>
              <w:spacing w:after="40" w:before="40"/>
            </w:pPr>
            <w:r/>
            <w:r>
              <w:rPr>
                <w:rFonts w:ascii="Arial" w:hAnsi="Arial"/>
                <w:b w:val="0"/>
                <w:color w:val="111418"/>
                <w:sz w:val="17"/>
              </w:rPr>
              <w:t>Spektrum mevzuatı değişikliği</w:t>
            </w:r>
          </w:p>
        </w:tc>
        <w:tc>
          <w:tcPr>
            <w:tcW w:type="dxa" w:w="2409"/>
            <w:shd w:val="clear" w:fill="FFFFFF"/>
          </w:tcPr>
          <w:p>
            <w:pPr>
              <w:spacing w:after="40" w:before="40"/>
            </w:pPr>
            <w:r/>
            <w:r>
              <w:rPr>
                <w:rFonts w:ascii="Arial" w:hAnsi="Arial"/>
                <w:b w:val="0"/>
                <w:color w:val="111418"/>
                <w:sz w:val="17"/>
              </w:rPr>
              <w:t>Orta</w:t>
            </w:r>
          </w:p>
        </w:tc>
        <w:tc>
          <w:tcPr>
            <w:tcW w:type="dxa" w:w="2409"/>
            <w:shd w:val="clear" w:fill="FFFFFF"/>
          </w:tcPr>
          <w:p>
            <w:pPr>
              <w:spacing w:after="40" w:before="40"/>
            </w:pPr>
            <w:r/>
            <w:r>
              <w:rPr>
                <w:rFonts w:ascii="Arial" w:hAnsi="Arial"/>
                <w:b w:val="0"/>
                <w:color w:val="111418"/>
                <w:sz w:val="17"/>
              </w:rPr>
              <w:t>Yüksek</w:t>
            </w:r>
          </w:p>
        </w:tc>
        <w:tc>
          <w:tcPr>
            <w:tcW w:type="dxa" w:w="2409"/>
            <w:shd w:val="clear" w:fill="FFFFFF"/>
          </w:tcPr>
          <w:p>
            <w:pPr>
              <w:spacing w:after="40" w:before="40"/>
            </w:pPr>
            <w:r/>
            <w:r>
              <w:rPr>
                <w:rFonts w:ascii="Arial" w:hAnsi="Arial"/>
                <w:b w:val="0"/>
                <w:color w:val="111418"/>
                <w:sz w:val="17"/>
              </w:rPr>
              <w:t>Tek kaynak regulation.ts, bölge profili ile yazılımsal sınırlama</w:t>
            </w:r>
          </w:p>
        </w:tc>
      </w:tr>
      <w:tr>
        <w:tc>
          <w:tcPr>
            <w:tcW w:type="dxa" w:w="2409"/>
            <w:shd w:val="clear" w:fill="F2F5F6"/>
          </w:tcPr>
          <w:p>
            <w:pPr>
              <w:spacing w:after="40" w:before="40"/>
            </w:pPr>
            <w:r/>
            <w:r>
              <w:rPr>
                <w:rFonts w:ascii="Arial" w:hAnsi="Arial"/>
                <w:b w:val="0"/>
                <w:color w:val="111418"/>
                <w:sz w:val="17"/>
              </w:rPr>
              <w:t>Kullanıcının izinsiz firmware yüklemesi</w:t>
            </w:r>
          </w:p>
        </w:tc>
        <w:tc>
          <w:tcPr>
            <w:tcW w:type="dxa" w:w="2409"/>
            <w:shd w:val="clear" w:fill="F2F5F6"/>
          </w:tcPr>
          <w:p>
            <w:pPr>
              <w:spacing w:after="40" w:before="40"/>
            </w:pPr>
            <w:r/>
            <w:r>
              <w:rPr>
                <w:rFonts w:ascii="Arial" w:hAnsi="Arial"/>
                <w:b w:val="0"/>
                <w:color w:val="111418"/>
                <w:sz w:val="17"/>
              </w:rPr>
              <w:t>Orta</w:t>
            </w:r>
          </w:p>
        </w:tc>
        <w:tc>
          <w:tcPr>
            <w:tcW w:type="dxa" w:w="2409"/>
            <w:shd w:val="clear" w:fill="F2F5F6"/>
          </w:tcPr>
          <w:p>
            <w:pPr>
              <w:spacing w:after="40" w:before="40"/>
            </w:pPr>
            <w:r/>
            <w:r>
              <w:rPr>
                <w:rFonts w:ascii="Arial" w:hAnsi="Arial"/>
                <w:b w:val="0"/>
                <w:color w:val="111418"/>
                <w:sz w:val="17"/>
              </w:rPr>
              <w:t>Yüksek</w:t>
            </w:r>
          </w:p>
        </w:tc>
        <w:tc>
          <w:tcPr>
            <w:tcW w:type="dxa" w:w="2409"/>
            <w:shd w:val="clear" w:fill="F2F5F6"/>
          </w:tcPr>
          <w:p>
            <w:pPr>
              <w:spacing w:after="40" w:before="40"/>
            </w:pPr>
            <w:r/>
            <w:r>
              <w:rPr>
                <w:rFonts w:ascii="Arial" w:hAnsi="Arial"/>
                <w:b w:val="0"/>
                <w:color w:val="111418"/>
                <w:sz w:val="17"/>
              </w:rPr>
              <w:t>Sözleşmesel sorumluluk sınırı + arayüz uyarı şeridi</w:t>
            </w:r>
          </w:p>
        </w:tc>
      </w:tr>
      <w:tr>
        <w:tc>
          <w:tcPr>
            <w:tcW w:type="dxa" w:w="2409"/>
            <w:shd w:val="clear" w:fill="FFFFFF"/>
          </w:tcPr>
          <w:p>
            <w:pPr>
              <w:spacing w:after="40" w:before="40"/>
            </w:pPr>
            <w:r/>
            <w:r>
              <w:rPr>
                <w:rFonts w:ascii="Arial" w:hAnsi="Arial"/>
                <w:b w:val="0"/>
                <w:color w:val="111418"/>
                <w:sz w:val="17"/>
              </w:rPr>
              <w:t>Tek kurucu bağımlılığı (bus factor 1)</w:t>
            </w:r>
          </w:p>
        </w:tc>
        <w:tc>
          <w:tcPr>
            <w:tcW w:type="dxa" w:w="2409"/>
            <w:shd w:val="clear" w:fill="FFFFFF"/>
          </w:tcPr>
          <w:p>
            <w:pPr>
              <w:spacing w:after="40" w:before="40"/>
            </w:pPr>
            <w:r/>
            <w:r>
              <w:rPr>
                <w:rFonts w:ascii="Arial" w:hAnsi="Arial"/>
                <w:b w:val="0"/>
                <w:color w:val="111418"/>
                <w:sz w:val="17"/>
              </w:rPr>
              <w:t>Yüksek</w:t>
            </w:r>
          </w:p>
        </w:tc>
        <w:tc>
          <w:tcPr>
            <w:tcW w:type="dxa" w:w="2409"/>
            <w:shd w:val="clear" w:fill="FFFFFF"/>
          </w:tcPr>
          <w:p>
            <w:pPr>
              <w:spacing w:after="40" w:before="40"/>
            </w:pPr>
            <w:r/>
            <w:r>
              <w:rPr>
                <w:rFonts w:ascii="Arial" w:hAnsi="Arial"/>
                <w:b w:val="0"/>
                <w:color w:val="111418"/>
                <w:sz w:val="17"/>
              </w:rPr>
              <w:t>Yüksek</w:t>
            </w:r>
          </w:p>
        </w:tc>
        <w:tc>
          <w:tcPr>
            <w:tcW w:type="dxa" w:w="2409"/>
            <w:shd w:val="clear" w:fill="FFFFFF"/>
          </w:tcPr>
          <w:p>
            <w:pPr>
              <w:spacing w:after="40" w:before="40"/>
            </w:pPr>
            <w:r/>
            <w:r>
              <w:rPr>
                <w:rFonts w:ascii="Arial" w:hAnsi="Arial"/>
                <w:b w:val="0"/>
                <w:color w:val="111418"/>
                <w:sz w:val="17"/>
              </w:rPr>
              <w:t>Dokümantasyon, kod sahipliği devri planı, yedek geliştirici</w:t>
            </w:r>
          </w:p>
        </w:tc>
      </w:tr>
      <w:tr>
        <w:tc>
          <w:tcPr>
            <w:tcW w:type="dxa" w:w="2409"/>
            <w:shd w:val="clear" w:fill="F2F5F6"/>
          </w:tcPr>
          <w:p>
            <w:pPr>
              <w:spacing w:after="40" w:before="40"/>
            </w:pPr>
            <w:r/>
            <w:r>
              <w:rPr>
                <w:rFonts w:ascii="Arial" w:hAnsi="Arial"/>
                <w:b w:val="0"/>
                <w:color w:val="111418"/>
                <w:sz w:val="17"/>
              </w:rPr>
              <w:t>Ödeme sağlayıcı onay gecikmesi</w:t>
            </w:r>
          </w:p>
        </w:tc>
        <w:tc>
          <w:tcPr>
            <w:tcW w:type="dxa" w:w="2409"/>
            <w:shd w:val="clear" w:fill="F2F5F6"/>
          </w:tcPr>
          <w:p>
            <w:pPr>
              <w:spacing w:after="40" w:before="40"/>
            </w:pPr>
            <w:r/>
            <w:r>
              <w:rPr>
                <w:rFonts w:ascii="Arial" w:hAnsi="Arial"/>
                <w:b w:val="0"/>
                <w:color w:val="111418"/>
                <w:sz w:val="17"/>
              </w:rPr>
              <w:t>Orta</w:t>
            </w:r>
          </w:p>
        </w:tc>
        <w:tc>
          <w:tcPr>
            <w:tcW w:type="dxa" w:w="2409"/>
            <w:shd w:val="clear" w:fill="F2F5F6"/>
          </w:tcPr>
          <w:p>
            <w:pPr>
              <w:spacing w:after="40" w:before="40"/>
            </w:pPr>
            <w:r/>
            <w:r>
              <w:rPr>
                <w:rFonts w:ascii="Arial" w:hAnsi="Arial"/>
                <w:b w:val="0"/>
                <w:color w:val="111418"/>
                <w:sz w:val="17"/>
              </w:rPr>
              <w:t>Orta</w:t>
            </w:r>
          </w:p>
        </w:tc>
        <w:tc>
          <w:tcPr>
            <w:tcW w:type="dxa" w:w="2409"/>
            <w:shd w:val="clear" w:fill="F2F5F6"/>
          </w:tcPr>
          <w:p>
            <w:pPr>
              <w:spacing w:after="40" w:before="40"/>
            </w:pPr>
            <w:r/>
            <w:r>
              <w:rPr>
                <w:rFonts w:ascii="Arial" w:hAnsi="Arial"/>
                <w:b w:val="0"/>
                <w:color w:val="111418"/>
                <w:sz w:val="17"/>
              </w:rPr>
              <w:t>Alternatif tahsilat yolu, manuel fatura seçeneği</w:t>
            </w:r>
          </w:p>
        </w:tc>
      </w:tr>
      <w:tr>
        <w:tc>
          <w:tcPr>
            <w:tcW w:type="dxa" w:w="2409"/>
            <w:shd w:val="clear" w:fill="FFFFFF"/>
          </w:tcPr>
          <w:p>
            <w:pPr>
              <w:spacing w:after="40" w:before="40"/>
            </w:pPr>
            <w:r/>
            <w:r>
              <w:rPr>
                <w:rFonts w:ascii="Arial" w:hAnsi="Arial"/>
                <w:b w:val="0"/>
                <w:color w:val="111418"/>
                <w:sz w:val="17"/>
              </w:rPr>
              <w:t>Bulut sağlayıcı kesintisi</w:t>
            </w:r>
          </w:p>
        </w:tc>
        <w:tc>
          <w:tcPr>
            <w:tcW w:type="dxa" w:w="2409"/>
            <w:shd w:val="clear" w:fill="FFFFFF"/>
          </w:tcPr>
          <w:p>
            <w:pPr>
              <w:spacing w:after="40" w:before="40"/>
            </w:pPr>
            <w:r/>
            <w:r>
              <w:rPr>
                <w:rFonts w:ascii="Arial" w:hAnsi="Arial"/>
                <w:b w:val="0"/>
                <w:color w:val="111418"/>
                <w:sz w:val="17"/>
              </w:rPr>
              <w:t>Düşük</w:t>
            </w:r>
          </w:p>
        </w:tc>
        <w:tc>
          <w:tcPr>
            <w:tcW w:type="dxa" w:w="2409"/>
            <w:shd w:val="clear" w:fill="FFFFFF"/>
          </w:tcPr>
          <w:p>
            <w:pPr>
              <w:spacing w:after="40" w:before="40"/>
            </w:pPr>
            <w:r/>
            <w:r>
              <w:rPr>
                <w:rFonts w:ascii="Arial" w:hAnsi="Arial"/>
                <w:b w:val="0"/>
                <w:color w:val="111418"/>
                <w:sz w:val="17"/>
              </w:rPr>
              <w:t>Orta</w:t>
            </w:r>
          </w:p>
        </w:tc>
        <w:tc>
          <w:tcPr>
            <w:tcW w:type="dxa" w:w="2409"/>
            <w:shd w:val="clear" w:fill="FFFFFF"/>
          </w:tcPr>
          <w:p>
            <w:pPr>
              <w:spacing w:after="40" w:before="40"/>
            </w:pPr>
            <w:r/>
            <w:r>
              <w:rPr>
                <w:rFonts w:ascii="Arial" w:hAnsi="Arial"/>
                <w:b w:val="0"/>
                <w:color w:val="111418"/>
                <w:sz w:val="17"/>
              </w:rPr>
              <w:t>Veri düzlemi buluttan bağımsız; yerel keşif yedeği devrede</w:t>
            </w:r>
          </w:p>
        </w:tc>
      </w:tr>
      <w:tr>
        <w:tc>
          <w:tcPr>
            <w:tcW w:type="dxa" w:w="2409"/>
            <w:shd w:val="clear" w:fill="F2F5F6"/>
          </w:tcPr>
          <w:p>
            <w:pPr>
              <w:spacing w:after="40" w:before="40"/>
            </w:pPr>
            <w:r/>
            <w:r>
              <w:rPr>
                <w:rFonts w:ascii="Arial" w:hAnsi="Arial"/>
                <w:b w:val="0"/>
                <w:color w:val="111418"/>
                <w:sz w:val="17"/>
              </w:rPr>
              <w:t>Rakip büyük oyuncu girişi</w:t>
            </w:r>
          </w:p>
        </w:tc>
        <w:tc>
          <w:tcPr>
            <w:tcW w:type="dxa" w:w="2409"/>
            <w:shd w:val="clear" w:fill="F2F5F6"/>
          </w:tcPr>
          <w:p>
            <w:pPr>
              <w:spacing w:after="40" w:before="40"/>
            </w:pPr>
            <w:r/>
            <w:r>
              <w:rPr>
                <w:rFonts w:ascii="Arial" w:hAnsi="Arial"/>
                <w:b w:val="0"/>
                <w:color w:val="111418"/>
                <w:sz w:val="17"/>
              </w:rPr>
              <w:t>Orta</w:t>
            </w:r>
          </w:p>
        </w:tc>
        <w:tc>
          <w:tcPr>
            <w:tcW w:type="dxa" w:w="2409"/>
            <w:shd w:val="clear" w:fill="F2F5F6"/>
          </w:tcPr>
          <w:p>
            <w:pPr>
              <w:spacing w:after="40" w:before="40"/>
            </w:pPr>
            <w:r/>
            <w:r>
              <w:rPr>
                <w:rFonts w:ascii="Arial" w:hAnsi="Arial"/>
                <w:b w:val="0"/>
                <w:color w:val="111418"/>
                <w:sz w:val="17"/>
              </w:rPr>
              <w:t>Orta</w:t>
            </w:r>
          </w:p>
        </w:tc>
        <w:tc>
          <w:tcPr>
            <w:tcW w:type="dxa" w:w="2409"/>
            <w:shd w:val="clear" w:fill="F2F5F6"/>
          </w:tcPr>
          <w:p>
            <w:pPr>
              <w:spacing w:after="40" w:before="40"/>
            </w:pPr>
            <w:r/>
            <w:r>
              <w:rPr>
                <w:rFonts w:ascii="Arial" w:hAnsi="Arial"/>
                <w:b w:val="0"/>
                <w:color w:val="111418"/>
                <w:sz w:val="17"/>
              </w:rPr>
              <w:t>Niş derinleşme, HCL genişliği, yerel mevzuat uzmanlığı</w:t>
            </w:r>
          </w:p>
        </w:tc>
      </w:tr>
      <w:tr>
        <w:tc>
          <w:tcPr>
            <w:tcW w:type="dxa" w:w="2409"/>
            <w:shd w:val="clear" w:fill="FFFFFF"/>
          </w:tcPr>
          <w:p>
            <w:pPr>
              <w:spacing w:after="40" w:before="40"/>
            </w:pPr>
            <w:r/>
            <w:r>
              <w:rPr>
                <w:rFonts w:ascii="Arial" w:hAnsi="Arial"/>
                <w:b w:val="0"/>
                <w:color w:val="111418"/>
                <w:sz w:val="17"/>
              </w:rPr>
              <w:t>Veri ihlali iddiası</w:t>
            </w:r>
          </w:p>
        </w:tc>
        <w:tc>
          <w:tcPr>
            <w:tcW w:type="dxa" w:w="2409"/>
            <w:shd w:val="clear" w:fill="FFFFFF"/>
          </w:tcPr>
          <w:p>
            <w:pPr>
              <w:spacing w:after="40" w:before="40"/>
            </w:pPr>
            <w:r/>
            <w:r>
              <w:rPr>
                <w:rFonts w:ascii="Arial" w:hAnsi="Arial"/>
                <w:b w:val="0"/>
                <w:color w:val="111418"/>
                <w:sz w:val="17"/>
              </w:rPr>
              <w:t>Düşük</w:t>
            </w:r>
          </w:p>
        </w:tc>
        <w:tc>
          <w:tcPr>
            <w:tcW w:type="dxa" w:w="2409"/>
            <w:shd w:val="clear" w:fill="FFFFFF"/>
          </w:tcPr>
          <w:p>
            <w:pPr>
              <w:spacing w:after="40" w:before="40"/>
            </w:pPr>
            <w:r/>
            <w:r>
              <w:rPr>
                <w:rFonts w:ascii="Arial" w:hAnsi="Arial"/>
                <w:b w:val="0"/>
                <w:color w:val="111418"/>
                <w:sz w:val="17"/>
              </w:rPr>
              <w:t>Yüksek</w:t>
            </w:r>
          </w:p>
        </w:tc>
        <w:tc>
          <w:tcPr>
            <w:tcW w:type="dxa" w:w="2409"/>
            <w:shd w:val="clear" w:fill="FFFFFF"/>
          </w:tcPr>
          <w:p>
            <w:pPr>
              <w:spacing w:after="40" w:before="40"/>
            </w:pPr>
            <w:r/>
            <w:r>
              <w:rPr>
                <w:rFonts w:ascii="Arial" w:hAnsi="Arial"/>
                <w:b w:val="0"/>
                <w:color w:val="111418"/>
                <w:sz w:val="17"/>
              </w:rPr>
              <w:t>Zero-knowledge mimari, KVKK aydınlatma, olay müdahale planı</w:t>
            </w:r>
          </w:p>
        </w:tc>
      </w:tr>
      <w:tr>
        <w:tc>
          <w:tcPr>
            <w:tcW w:type="dxa" w:w="2409"/>
            <w:shd w:val="clear" w:fill="F2F5F6"/>
          </w:tcPr>
          <w:p>
            <w:pPr>
              <w:spacing w:after="40" w:before="40"/>
            </w:pPr>
            <w:r/>
            <w:r>
              <w:rPr>
                <w:rFonts w:ascii="Arial" w:hAnsi="Arial"/>
                <w:b w:val="0"/>
                <w:color w:val="111418"/>
                <w:sz w:val="17"/>
              </w:rPr>
              <w:t>Pilot başarısızlığı</w:t>
            </w:r>
          </w:p>
        </w:tc>
        <w:tc>
          <w:tcPr>
            <w:tcW w:type="dxa" w:w="2409"/>
            <w:shd w:val="clear" w:fill="F2F5F6"/>
          </w:tcPr>
          <w:p>
            <w:pPr>
              <w:spacing w:after="40" w:before="40"/>
            </w:pPr>
            <w:r/>
            <w:r>
              <w:rPr>
                <w:rFonts w:ascii="Arial" w:hAnsi="Arial"/>
                <w:b w:val="0"/>
                <w:color w:val="111418"/>
                <w:sz w:val="17"/>
              </w:rPr>
              <w:t>Orta</w:t>
            </w:r>
          </w:p>
        </w:tc>
        <w:tc>
          <w:tcPr>
            <w:tcW w:type="dxa" w:w="2409"/>
            <w:shd w:val="clear" w:fill="F2F5F6"/>
          </w:tcPr>
          <w:p>
            <w:pPr>
              <w:spacing w:after="40" w:before="40"/>
            </w:pPr>
            <w:r/>
            <w:r>
              <w:rPr>
                <w:rFonts w:ascii="Arial" w:hAnsi="Arial"/>
                <w:b w:val="0"/>
                <w:color w:val="111418"/>
                <w:sz w:val="17"/>
              </w:rPr>
              <w:t>Orta</w:t>
            </w:r>
          </w:p>
        </w:tc>
        <w:tc>
          <w:tcPr>
            <w:tcW w:type="dxa" w:w="2409"/>
            <w:shd w:val="clear" w:fill="F2F5F6"/>
          </w:tcPr>
          <w:p>
            <w:pPr>
              <w:spacing w:after="40" w:before="40"/>
            </w:pPr>
            <w:r/>
            <w:r>
              <w:rPr>
                <w:rFonts w:ascii="Arial" w:hAnsi="Arial"/>
                <w:b w:val="0"/>
                <w:color w:val="111418"/>
                <w:sz w:val="17"/>
              </w:rPr>
              <w:t>Ölçülebilir KPI, kademeli kapsam, erken durdurma kriteri</w:t>
            </w:r>
          </w:p>
        </w:tc>
      </w:tr>
    </w:tbl>
    <w:p>
      <w:pPr>
        <w:spacing w:after="80"/>
      </w:pPr>
    </w:p>
    <w:p>
      <w:pPr>
        <w:spacing w:before="200" w:after="80"/>
      </w:pPr>
      <w:r>
        <w:rPr>
          <w:rFonts w:ascii="Arial" w:hAnsi="Arial"/>
          <w:b/>
          <w:i w:val="0"/>
          <w:color w:val="0F766E"/>
          <w:sz w:val="22"/>
        </w:rPr>
        <w:t>5.1 İş sürekliliği esasları</w:t>
      </w:r>
    </w:p>
    <w:p>
      <w:pPr>
        <w:spacing w:before="0" w:after="40"/>
        <w:ind w:left="340" w:hanging="227"/>
      </w:pPr>
      <w:r>
        <w:rPr>
          <w:rFonts w:ascii="Arial" w:hAnsi="Arial"/>
          <w:color w:val="111418"/>
          <w:sz w:val="19"/>
        </w:rPr>
        <w:t xml:space="preserve">• </w:t>
      </w:r>
      <w:r>
        <w:rPr>
          <w:rFonts w:ascii="Arial" w:hAnsi="Arial"/>
          <w:b w:val="0"/>
          <w:i w:val="0"/>
          <w:color w:val="111418"/>
          <w:sz w:val="19"/>
        </w:rPr>
        <w:t>Kod ve altyapı yapılandırması sürüm kontrolünde; yeniden kurulum hedefi &lt; 4 saat.</w:t>
      </w:r>
    </w:p>
    <w:p>
      <w:pPr>
        <w:spacing w:before="0" w:after="40"/>
        <w:ind w:left="340" w:hanging="227"/>
      </w:pPr>
      <w:r>
        <w:rPr>
          <w:rFonts w:ascii="Arial" w:hAnsi="Arial"/>
          <w:color w:val="111418"/>
          <w:sz w:val="19"/>
        </w:rPr>
        <w:t xml:space="preserve">• </w:t>
      </w:r>
      <w:r>
        <w:rPr>
          <w:rFonts w:ascii="Arial" w:hAnsi="Arial"/>
          <w:b w:val="0"/>
          <w:i w:val="0"/>
          <w:color w:val="111418"/>
          <w:sz w:val="19"/>
        </w:rPr>
        <w:t>Veritabanı yedeği günlük; geri yükleme tatbikatı çeyrekte bir.</w:t>
      </w:r>
    </w:p>
    <w:p>
      <w:pPr>
        <w:spacing w:before="0" w:after="40"/>
        <w:ind w:left="340" w:hanging="227"/>
      </w:pPr>
      <w:r>
        <w:rPr>
          <w:rFonts w:ascii="Arial" w:hAnsi="Arial"/>
          <w:color w:val="111418"/>
          <w:sz w:val="19"/>
        </w:rPr>
        <w:t xml:space="preserve">• </w:t>
      </w:r>
      <w:r>
        <w:rPr>
          <w:rFonts w:ascii="Arial" w:hAnsi="Arial"/>
          <w:b w:val="0"/>
          <w:i w:val="0"/>
          <w:color w:val="111418"/>
          <w:sz w:val="19"/>
        </w:rPr>
        <w:t>Kritik sırlar merkezi sır yönetiminde; kurucu erişimi dışında yedek erişim prosedürü tanımlanmalı.</w:t>
      </w:r>
    </w:p>
    <w:p>
      <w:pPr>
        <w:spacing w:before="0" w:after="40"/>
        <w:ind w:left="340" w:hanging="227"/>
      </w:pPr>
      <w:r>
        <w:rPr>
          <w:rFonts w:ascii="Arial" w:hAnsi="Arial"/>
          <w:color w:val="111418"/>
          <w:sz w:val="19"/>
        </w:rPr>
        <w:t xml:space="preserve">• </w:t>
      </w:r>
      <w:r>
        <w:rPr>
          <w:rFonts w:ascii="Arial" w:hAnsi="Arial"/>
          <w:b w:val="0"/>
          <w:i w:val="0"/>
          <w:color w:val="111418"/>
          <w:sz w:val="19"/>
        </w:rPr>
        <w:t>Olay müdahale: tespit → sınıflandırma → müşteri bildirimi (72 saat) → kök neden raporu.</w:t>
      </w:r>
    </w:p>
    <w:p>
      <w:r>
        <w:br w:type="page"/>
      </w:r>
    </w:p>
    <w:p>
      <w:pPr>
        <w:spacing w:before="280" w:after="120"/>
      </w:pPr>
      <w:r>
        <w:rPr>
          <w:rFonts w:ascii="Arial" w:hAnsi="Arial"/>
          <w:b/>
          <w:i w:val="0"/>
          <w:color w:val="111418"/>
          <w:sz w:val="30"/>
        </w:rPr>
        <w:t>06 — Saha Testi ve Pilot Değerlendirme Çerçevesi (Sakarya)</w:t>
      </w:r>
    </w:p>
    <w:p>
      <w:pPr>
        <w:spacing w:before="0" w:after="100"/>
      </w:pPr>
      <w:r>
        <w:rPr>
          <w:rFonts w:ascii="Arial" w:hAnsi="Arial"/>
          <w:b w:val="0"/>
          <w:i w:val="0"/>
          <w:color w:val="111418"/>
          <w:sz w:val="19"/>
        </w:rPr>
        <w:t>Pilot, ürünün pazarlama iddialarını ölçülebilir veriyle değiştirmek için tasarlanmıştır. Ölçülmeyen hiçbir tasarruf veya performans iddiası iletişimde kullanılmaz.</w:t>
      </w:r>
    </w:p>
    <w:p>
      <w:pPr>
        <w:spacing w:before="200" w:after="80"/>
      </w:pPr>
      <w:r>
        <w:rPr>
          <w:rFonts w:ascii="Arial" w:hAnsi="Arial"/>
          <w:b/>
          <w:i w:val="0"/>
          <w:color w:val="0F766E"/>
          <w:sz w:val="22"/>
        </w:rPr>
        <w:t>6.1 KPI seti</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2A30"/>
          </w:tcPr>
          <w:p>
            <w:pPr>
              <w:spacing w:after="40" w:before="40"/>
            </w:pPr>
            <w:r/>
            <w:r>
              <w:rPr>
                <w:rFonts w:ascii="Arial" w:hAnsi="Arial"/>
                <w:b/>
                <w:color w:val="FFFFFF"/>
                <w:sz w:val="17"/>
              </w:rPr>
              <w:t>KPI</w:t>
            </w:r>
          </w:p>
        </w:tc>
        <w:tc>
          <w:tcPr>
            <w:tcW w:type="dxa" w:w="3213"/>
            <w:shd w:val="clear" w:fill="1F2A30"/>
          </w:tcPr>
          <w:p>
            <w:pPr>
              <w:spacing w:after="40" w:before="40"/>
            </w:pPr>
            <w:r/>
            <w:r>
              <w:rPr>
                <w:rFonts w:ascii="Arial" w:hAnsi="Arial"/>
                <w:b/>
                <w:color w:val="FFFFFF"/>
                <w:sz w:val="17"/>
              </w:rPr>
              <w:t>Ölçüm yöntemi</w:t>
            </w:r>
          </w:p>
        </w:tc>
        <w:tc>
          <w:tcPr>
            <w:tcW w:type="dxa" w:w="3213"/>
            <w:shd w:val="clear" w:fill="1F2A30"/>
          </w:tcPr>
          <w:p>
            <w:pPr>
              <w:spacing w:after="40" w:before="40"/>
            </w:pPr>
            <w:r/>
            <w:r>
              <w:rPr>
                <w:rFonts w:ascii="Arial" w:hAnsi="Arial"/>
                <w:b/>
                <w:color w:val="FFFFFF"/>
                <w:sz w:val="17"/>
              </w:rPr>
              <w:t>Hedef</w:t>
            </w:r>
          </w:p>
        </w:tc>
      </w:tr>
      <w:tr>
        <w:tc>
          <w:tcPr>
            <w:tcW w:type="dxa" w:w="3213"/>
            <w:shd w:val="clear" w:fill="FFFFFF"/>
          </w:tcPr>
          <w:p>
            <w:pPr>
              <w:spacing w:after="40" w:before="40"/>
            </w:pPr>
            <w:r/>
            <w:r>
              <w:rPr>
                <w:rFonts w:ascii="Arial" w:hAnsi="Arial"/>
                <w:b w:val="0"/>
                <w:color w:val="111418"/>
                <w:sz w:val="17"/>
              </w:rPr>
              <w:t>Bağlantı kurulum süresi</w:t>
            </w:r>
          </w:p>
        </w:tc>
        <w:tc>
          <w:tcPr>
            <w:tcW w:type="dxa" w:w="3213"/>
            <w:shd w:val="clear" w:fill="FFFFFF"/>
          </w:tcPr>
          <w:p>
            <w:pPr>
              <w:spacing w:after="40" w:before="40"/>
            </w:pPr>
            <w:r/>
            <w:r>
              <w:rPr>
                <w:rFonts w:ascii="Arial" w:hAnsi="Arial"/>
                <w:b w:val="0"/>
                <w:color w:val="111418"/>
                <w:sz w:val="17"/>
              </w:rPr>
              <w:t>İlk düğümden ilk pakete kadar</w:t>
            </w:r>
          </w:p>
        </w:tc>
        <w:tc>
          <w:tcPr>
            <w:tcW w:type="dxa" w:w="3213"/>
            <w:shd w:val="clear" w:fill="FFFFFF"/>
          </w:tcPr>
          <w:p>
            <w:pPr>
              <w:spacing w:after="40" w:before="40"/>
            </w:pPr>
            <w:r/>
            <w:r>
              <w:rPr>
                <w:rFonts w:ascii="Arial" w:hAnsi="Arial"/>
                <w:b w:val="0"/>
                <w:color w:val="111418"/>
                <w:sz w:val="17"/>
              </w:rPr>
              <w:t>&lt; 10 dakika</w:t>
            </w:r>
          </w:p>
        </w:tc>
      </w:tr>
      <w:tr>
        <w:tc>
          <w:tcPr>
            <w:tcW w:type="dxa" w:w="3213"/>
            <w:shd w:val="clear" w:fill="F2F5F6"/>
          </w:tcPr>
          <w:p>
            <w:pPr>
              <w:spacing w:after="40" w:before="40"/>
            </w:pPr>
            <w:r/>
            <w:r>
              <w:rPr>
                <w:rFonts w:ascii="Arial" w:hAnsi="Arial"/>
                <w:b w:val="0"/>
                <w:color w:val="111418"/>
                <w:sz w:val="17"/>
              </w:rPr>
              <w:t>Paket teslim oranı</w:t>
            </w:r>
          </w:p>
        </w:tc>
        <w:tc>
          <w:tcPr>
            <w:tcW w:type="dxa" w:w="3213"/>
            <w:shd w:val="clear" w:fill="F2F5F6"/>
          </w:tcPr>
          <w:p>
            <w:pPr>
              <w:spacing w:after="40" w:before="40"/>
            </w:pPr>
            <w:r/>
            <w:r>
              <w:rPr>
                <w:rFonts w:ascii="Arial" w:hAnsi="Arial"/>
                <w:b w:val="0"/>
                <w:color w:val="111418"/>
                <w:sz w:val="17"/>
              </w:rPr>
              <w:t>Telemetri sayacı, 7 gün</w:t>
            </w:r>
          </w:p>
        </w:tc>
        <w:tc>
          <w:tcPr>
            <w:tcW w:type="dxa" w:w="3213"/>
            <w:shd w:val="clear" w:fill="F2F5F6"/>
          </w:tcPr>
          <w:p>
            <w:pPr>
              <w:spacing w:after="40" w:before="40"/>
            </w:pPr>
            <w:r/>
            <w:r>
              <w:rPr>
                <w:rFonts w:ascii="Arial" w:hAnsi="Arial"/>
                <w:b w:val="0"/>
                <w:color w:val="111418"/>
                <w:sz w:val="17"/>
              </w:rPr>
              <w:t>&gt; %98 (LoRa katmanı)</w:t>
            </w:r>
          </w:p>
        </w:tc>
      </w:tr>
      <w:tr>
        <w:tc>
          <w:tcPr>
            <w:tcW w:type="dxa" w:w="3213"/>
            <w:shd w:val="clear" w:fill="FFFFFF"/>
          </w:tcPr>
          <w:p>
            <w:pPr>
              <w:spacing w:after="40" w:before="40"/>
            </w:pPr>
            <w:r/>
            <w:r>
              <w:rPr>
                <w:rFonts w:ascii="Arial" w:hAnsi="Arial"/>
                <w:b w:val="0"/>
                <w:color w:val="111418"/>
                <w:sz w:val="17"/>
              </w:rPr>
              <w:t>Kesinti sonrası kurtarma</w:t>
            </w:r>
          </w:p>
        </w:tc>
        <w:tc>
          <w:tcPr>
            <w:tcW w:type="dxa" w:w="3213"/>
            <w:shd w:val="clear" w:fill="FFFFFF"/>
          </w:tcPr>
          <w:p>
            <w:pPr>
              <w:spacing w:after="40" w:before="40"/>
            </w:pPr>
            <w:r/>
            <w:r>
              <w:rPr>
                <w:rFonts w:ascii="Arial" w:hAnsi="Arial"/>
                <w:b w:val="0"/>
                <w:color w:val="111418"/>
                <w:sz w:val="17"/>
              </w:rPr>
              <w:t>Kuyruk boşaltma süresi</w:t>
            </w:r>
          </w:p>
        </w:tc>
        <w:tc>
          <w:tcPr>
            <w:tcW w:type="dxa" w:w="3213"/>
            <w:shd w:val="clear" w:fill="FFFFFF"/>
          </w:tcPr>
          <w:p>
            <w:pPr>
              <w:spacing w:after="40" w:before="40"/>
            </w:pPr>
            <w:r/>
            <w:r>
              <w:rPr>
                <w:rFonts w:ascii="Arial" w:hAnsi="Arial"/>
                <w:b w:val="0"/>
                <w:color w:val="111418"/>
                <w:sz w:val="17"/>
              </w:rPr>
              <w:t>&lt; 5 dakika</w:t>
            </w:r>
          </w:p>
        </w:tc>
      </w:tr>
      <w:tr>
        <w:tc>
          <w:tcPr>
            <w:tcW w:type="dxa" w:w="3213"/>
            <w:shd w:val="clear" w:fill="F2F5F6"/>
          </w:tcPr>
          <w:p>
            <w:pPr>
              <w:spacing w:after="40" w:before="40"/>
            </w:pPr>
            <w:r/>
            <w:r>
              <w:rPr>
                <w:rFonts w:ascii="Arial" w:hAnsi="Arial"/>
                <w:b w:val="0"/>
                <w:color w:val="111418"/>
                <w:sz w:val="17"/>
              </w:rPr>
              <w:t>Failover süresi</w:t>
            </w:r>
          </w:p>
        </w:tc>
        <w:tc>
          <w:tcPr>
            <w:tcW w:type="dxa" w:w="3213"/>
            <w:shd w:val="clear" w:fill="F2F5F6"/>
          </w:tcPr>
          <w:p>
            <w:pPr>
              <w:spacing w:after="40" w:before="40"/>
            </w:pPr>
            <w:r/>
            <w:r>
              <w:rPr>
                <w:rFonts w:ascii="Arial" w:hAnsi="Arial"/>
                <w:b w:val="0"/>
                <w:color w:val="111418"/>
                <w:sz w:val="17"/>
              </w:rPr>
              <w:t>Birincil düşüşten yedeğe</w:t>
            </w:r>
          </w:p>
        </w:tc>
        <w:tc>
          <w:tcPr>
            <w:tcW w:type="dxa" w:w="3213"/>
            <w:shd w:val="clear" w:fill="F2F5F6"/>
          </w:tcPr>
          <w:p>
            <w:pPr>
              <w:spacing w:after="40" w:before="40"/>
            </w:pPr>
            <w:r/>
            <w:r>
              <w:rPr>
                <w:rFonts w:ascii="Arial" w:hAnsi="Arial"/>
                <w:b w:val="0"/>
                <w:color w:val="111418"/>
                <w:sz w:val="17"/>
              </w:rPr>
              <w:t>&lt; 30 saniye</w:t>
            </w:r>
          </w:p>
        </w:tc>
      </w:tr>
      <w:tr>
        <w:tc>
          <w:tcPr>
            <w:tcW w:type="dxa" w:w="3213"/>
            <w:shd w:val="clear" w:fill="FFFFFF"/>
          </w:tcPr>
          <w:p>
            <w:pPr>
              <w:spacing w:after="40" w:before="40"/>
            </w:pPr>
            <w:r/>
            <w:r>
              <w:rPr>
                <w:rFonts w:ascii="Arial" w:hAnsi="Arial"/>
                <w:b w:val="0"/>
                <w:color w:val="111418"/>
                <w:sz w:val="17"/>
              </w:rPr>
              <w:t>Menzil doğrulaması</w:t>
            </w:r>
          </w:p>
        </w:tc>
        <w:tc>
          <w:tcPr>
            <w:tcW w:type="dxa" w:w="3213"/>
            <w:shd w:val="clear" w:fill="FFFFFF"/>
          </w:tcPr>
          <w:p>
            <w:pPr>
              <w:spacing w:after="40" w:before="40"/>
            </w:pPr>
            <w:r/>
            <w:r>
              <w:rPr>
                <w:rFonts w:ascii="Arial" w:hAnsi="Arial"/>
                <w:b w:val="0"/>
                <w:color w:val="111418"/>
                <w:sz w:val="17"/>
              </w:rPr>
              <w:t>GPS + RSSI kaydı</w:t>
            </w:r>
          </w:p>
        </w:tc>
        <w:tc>
          <w:tcPr>
            <w:tcW w:type="dxa" w:w="3213"/>
            <w:shd w:val="clear" w:fill="FFFFFF"/>
          </w:tcPr>
          <w:p>
            <w:pPr>
              <w:spacing w:after="40" w:before="40"/>
            </w:pPr>
            <w:r/>
            <w:r>
              <w:rPr>
                <w:rFonts w:ascii="Arial" w:hAnsi="Arial"/>
                <w:b w:val="0"/>
                <w:color w:val="111418"/>
                <w:sz w:val="17"/>
              </w:rPr>
              <w:t>Hesaplanan değerin ±%20'si</w:t>
            </w:r>
          </w:p>
        </w:tc>
      </w:tr>
      <w:tr>
        <w:tc>
          <w:tcPr>
            <w:tcW w:type="dxa" w:w="3213"/>
            <w:shd w:val="clear" w:fill="F2F5F6"/>
          </w:tcPr>
          <w:p>
            <w:pPr>
              <w:spacing w:after="40" w:before="40"/>
            </w:pPr>
            <w:r/>
            <w:r>
              <w:rPr>
                <w:rFonts w:ascii="Arial" w:hAnsi="Arial"/>
                <w:b w:val="0"/>
                <w:color w:val="111418"/>
                <w:sz w:val="17"/>
              </w:rPr>
              <w:t>Enerji tüketimi</w:t>
            </w:r>
          </w:p>
        </w:tc>
        <w:tc>
          <w:tcPr>
            <w:tcW w:type="dxa" w:w="3213"/>
            <w:shd w:val="clear" w:fill="F2F5F6"/>
          </w:tcPr>
          <w:p>
            <w:pPr>
              <w:spacing w:after="40" w:before="40"/>
            </w:pPr>
            <w:r/>
            <w:r>
              <w:rPr>
                <w:rFonts w:ascii="Arial" w:hAnsi="Arial"/>
                <w:b w:val="0"/>
                <w:color w:val="111418"/>
                <w:sz w:val="17"/>
              </w:rPr>
              <w:t>Düğüm başına günlük Wh</w:t>
            </w:r>
          </w:p>
        </w:tc>
        <w:tc>
          <w:tcPr>
            <w:tcW w:type="dxa" w:w="3213"/>
            <w:shd w:val="clear" w:fill="F2F5F6"/>
          </w:tcPr>
          <w:p>
            <w:pPr>
              <w:spacing w:after="40" w:before="40"/>
            </w:pPr>
            <w:r/>
            <w:r>
              <w:rPr>
                <w:rFonts w:ascii="Arial" w:hAnsi="Arial"/>
                <w:b w:val="0"/>
                <w:color w:val="111418"/>
                <w:sz w:val="17"/>
              </w:rPr>
              <w:t>Ölçülüp raporlanır</w:t>
            </w:r>
          </w:p>
        </w:tc>
      </w:tr>
      <w:tr>
        <w:tc>
          <w:tcPr>
            <w:tcW w:type="dxa" w:w="3213"/>
            <w:shd w:val="clear" w:fill="FFFFFF"/>
          </w:tcPr>
          <w:p>
            <w:pPr>
              <w:spacing w:after="40" w:before="40"/>
            </w:pPr>
            <w:r/>
            <w:r>
              <w:rPr>
                <w:rFonts w:ascii="Arial" w:hAnsi="Arial"/>
                <w:b w:val="0"/>
                <w:color w:val="111418"/>
                <w:sz w:val="17"/>
              </w:rPr>
              <w:t>Operatör memnuniyeti</w:t>
            </w:r>
          </w:p>
        </w:tc>
        <w:tc>
          <w:tcPr>
            <w:tcW w:type="dxa" w:w="3213"/>
            <w:shd w:val="clear" w:fill="FFFFFF"/>
          </w:tcPr>
          <w:p>
            <w:pPr>
              <w:spacing w:after="40" w:before="40"/>
            </w:pPr>
            <w:r/>
            <w:r>
              <w:rPr>
                <w:rFonts w:ascii="Arial" w:hAnsi="Arial"/>
                <w:b w:val="0"/>
                <w:color w:val="111418"/>
                <w:sz w:val="17"/>
              </w:rPr>
              <w:t>Saha anketi (1–10)</w:t>
            </w:r>
          </w:p>
        </w:tc>
        <w:tc>
          <w:tcPr>
            <w:tcW w:type="dxa" w:w="3213"/>
            <w:shd w:val="clear" w:fill="FFFFFF"/>
          </w:tcPr>
          <w:p>
            <w:pPr>
              <w:spacing w:after="40" w:before="40"/>
            </w:pPr>
            <w:r/>
            <w:r>
              <w:rPr>
                <w:rFonts w:ascii="Arial" w:hAnsi="Arial"/>
                <w:b w:val="0"/>
                <w:color w:val="111418"/>
                <w:sz w:val="17"/>
              </w:rPr>
              <w:t>≥ 8</w:t>
            </w:r>
          </w:p>
        </w:tc>
      </w:tr>
    </w:tbl>
    <w:p>
      <w:pPr>
        <w:spacing w:after="80"/>
      </w:pPr>
    </w:p>
    <w:p>
      <w:pPr>
        <w:spacing w:before="200" w:after="80"/>
      </w:pPr>
      <w:r>
        <w:rPr>
          <w:rFonts w:ascii="Arial" w:hAnsi="Arial"/>
          <w:b/>
          <w:i w:val="0"/>
          <w:color w:val="0F766E"/>
          <w:sz w:val="22"/>
        </w:rPr>
        <w:t>6.2 Metodoloji</w:t>
      </w:r>
    </w:p>
    <w:p>
      <w:pPr>
        <w:spacing w:before="0" w:after="40"/>
        <w:ind w:left="340" w:hanging="227"/>
      </w:pPr>
      <w:r>
        <w:rPr>
          <w:rFonts w:ascii="Arial" w:hAnsi="Arial"/>
          <w:color w:val="111418"/>
          <w:sz w:val="19"/>
        </w:rPr>
        <w:t xml:space="preserve">• </w:t>
      </w:r>
      <w:r>
        <w:rPr>
          <w:rFonts w:ascii="Arial" w:hAnsi="Arial"/>
          <w:b w:val="0"/>
          <w:i w:val="0"/>
          <w:color w:val="111418"/>
          <w:sz w:val="19"/>
        </w:rPr>
        <w:t>Üç konfigürasyon: (a) tek gateway, (b) gateway + 1 relay, (c) gateway + 2 relay + edge.</w:t>
      </w:r>
    </w:p>
    <w:p>
      <w:pPr>
        <w:spacing w:before="0" w:after="40"/>
        <w:ind w:left="340" w:hanging="227"/>
      </w:pPr>
      <w:r>
        <w:rPr>
          <w:rFonts w:ascii="Arial" w:hAnsi="Arial"/>
          <w:color w:val="111418"/>
          <w:sz w:val="19"/>
        </w:rPr>
        <w:t xml:space="preserve">• </w:t>
      </w:r>
      <w:r>
        <w:rPr>
          <w:rFonts w:ascii="Arial" w:hAnsi="Arial"/>
          <w:b w:val="0"/>
          <w:i w:val="0"/>
          <w:color w:val="111418"/>
          <w:sz w:val="19"/>
        </w:rPr>
        <w:t>Her konfigürasyon en az 72 saat kesintisiz çalıştırılır; ham telemetri arşivlenir.</w:t>
      </w:r>
    </w:p>
    <w:p>
      <w:pPr>
        <w:spacing w:before="0" w:after="40"/>
        <w:ind w:left="340" w:hanging="227"/>
      </w:pPr>
      <w:r>
        <w:rPr>
          <w:rFonts w:ascii="Arial" w:hAnsi="Arial"/>
          <w:color w:val="111418"/>
          <w:sz w:val="19"/>
        </w:rPr>
        <w:t xml:space="preserve">• </w:t>
      </w:r>
      <w:r>
        <w:rPr>
          <w:rFonts w:ascii="Arial" w:hAnsi="Arial"/>
          <w:b w:val="0"/>
          <w:i w:val="0"/>
          <w:color w:val="111418"/>
          <w:sz w:val="19"/>
        </w:rPr>
        <w:t>Sonuçlar /saha-raporu akışına işlenir ve karşılaştırmalı vaka çalışmasına dönüştürülür.</w:t>
      </w:r>
    </w:p>
    <w:p>
      <w:pPr>
        <w:spacing w:before="0" w:after="40"/>
        <w:ind w:left="340" w:hanging="227"/>
      </w:pPr>
      <w:r>
        <w:rPr>
          <w:rFonts w:ascii="Arial" w:hAnsi="Arial"/>
          <w:color w:val="111418"/>
          <w:sz w:val="19"/>
        </w:rPr>
        <w:t xml:space="preserve">• </w:t>
      </w:r>
      <w:r>
        <w:rPr>
          <w:rFonts w:ascii="Arial" w:hAnsi="Arial"/>
          <w:b w:val="0"/>
          <w:i w:val="0"/>
          <w:color w:val="111418"/>
          <w:sz w:val="19"/>
        </w:rPr>
        <w:t>Negatif sonuçlar da yayımlanır — dürüst mühendislik ilkesi ticari güvenin temelidir.</w:t>
      </w:r>
    </w:p>
    <w:p>
      <w:r>
        <w:br w:type="page"/>
      </w:r>
    </w:p>
    <w:p>
      <w:pPr>
        <w:spacing w:before="280" w:after="120"/>
      </w:pPr>
      <w:r>
        <w:rPr>
          <w:rFonts w:ascii="Arial" w:hAnsi="Arial"/>
          <w:b/>
          <w:i w:val="0"/>
          <w:color w:val="111418"/>
          <w:sz w:val="30"/>
        </w:rPr>
        <w:t>07 — Ekosistem ve İş Ortaklığı Fizibilitesi</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2A30"/>
          </w:tcPr>
          <w:p>
            <w:pPr>
              <w:spacing w:after="40" w:before="40"/>
            </w:pPr>
            <w:r/>
            <w:r>
              <w:rPr>
                <w:rFonts w:ascii="Arial" w:hAnsi="Arial"/>
                <w:b/>
                <w:color w:val="FFFFFF"/>
                <w:sz w:val="17"/>
              </w:rPr>
              <w:t>Ortak tipi</w:t>
            </w:r>
          </w:p>
        </w:tc>
        <w:tc>
          <w:tcPr>
            <w:tcW w:type="dxa" w:w="3213"/>
            <w:shd w:val="clear" w:fill="1F2A30"/>
          </w:tcPr>
          <w:p>
            <w:pPr>
              <w:spacing w:after="40" w:before="40"/>
            </w:pPr>
            <w:r/>
            <w:r>
              <w:rPr>
                <w:rFonts w:ascii="Arial" w:hAnsi="Arial"/>
                <w:b/>
                <w:color w:val="FFFFFF"/>
                <w:sz w:val="17"/>
              </w:rPr>
              <w:t>Değer önerisi</w:t>
            </w:r>
          </w:p>
        </w:tc>
        <w:tc>
          <w:tcPr>
            <w:tcW w:type="dxa" w:w="3213"/>
            <w:shd w:val="clear" w:fill="1F2A30"/>
          </w:tcPr>
          <w:p>
            <w:pPr>
              <w:spacing w:after="40" w:before="40"/>
            </w:pPr>
            <w:r/>
            <w:r>
              <w:rPr>
                <w:rFonts w:ascii="Arial" w:hAnsi="Arial"/>
                <w:b/>
                <w:color w:val="FFFFFF"/>
                <w:sz w:val="17"/>
              </w:rPr>
              <w:t>Model</w:t>
            </w:r>
          </w:p>
        </w:tc>
      </w:tr>
      <w:tr>
        <w:tc>
          <w:tcPr>
            <w:tcW w:type="dxa" w:w="3213"/>
            <w:shd w:val="clear" w:fill="FFFFFF"/>
          </w:tcPr>
          <w:p>
            <w:pPr>
              <w:spacing w:after="40" w:before="40"/>
            </w:pPr>
            <w:r/>
            <w:r>
              <w:rPr>
                <w:rFonts w:ascii="Arial" w:hAnsi="Arial"/>
                <w:b w:val="0"/>
                <w:color w:val="111418"/>
                <w:sz w:val="17"/>
              </w:rPr>
              <w:t>Donanım üreticisi (LoRa/HaLow modül)</w:t>
            </w:r>
          </w:p>
        </w:tc>
        <w:tc>
          <w:tcPr>
            <w:tcW w:type="dxa" w:w="3213"/>
            <w:shd w:val="clear" w:fill="FFFFFF"/>
          </w:tcPr>
          <w:p>
            <w:pPr>
              <w:spacing w:after="40" w:before="40"/>
            </w:pPr>
            <w:r/>
            <w:r>
              <w:rPr>
                <w:rFonts w:ascii="Arial" w:hAnsi="Arial"/>
                <w:b w:val="0"/>
                <w:color w:val="111418"/>
                <w:sz w:val="17"/>
              </w:rPr>
              <w:t>HCL rozeti, doğrulanmış uyum</w:t>
            </w:r>
          </w:p>
        </w:tc>
        <w:tc>
          <w:tcPr>
            <w:tcW w:type="dxa" w:w="3213"/>
            <w:shd w:val="clear" w:fill="FFFFFF"/>
          </w:tcPr>
          <w:p>
            <w:pPr>
              <w:spacing w:after="40" w:before="40"/>
            </w:pPr>
            <w:r/>
            <w:r>
              <w:rPr>
                <w:rFonts w:ascii="Arial" w:hAnsi="Arial"/>
                <w:b w:val="0"/>
                <w:color w:val="111418"/>
                <w:sz w:val="17"/>
              </w:rPr>
              <w:t>Çapraz tanıtım, test cihazı desteği</w:t>
            </w:r>
          </w:p>
        </w:tc>
      </w:tr>
      <w:tr>
        <w:tc>
          <w:tcPr>
            <w:tcW w:type="dxa" w:w="3213"/>
            <w:shd w:val="clear" w:fill="F2F5F6"/>
          </w:tcPr>
          <w:p>
            <w:pPr>
              <w:spacing w:after="40" w:before="40"/>
            </w:pPr>
            <w:r/>
            <w:r>
              <w:rPr>
                <w:rFonts w:ascii="Arial" w:hAnsi="Arial"/>
                <w:b w:val="0"/>
                <w:color w:val="111418"/>
                <w:sz w:val="17"/>
              </w:rPr>
              <w:t>Telekom operatörü</w:t>
            </w:r>
          </w:p>
        </w:tc>
        <w:tc>
          <w:tcPr>
            <w:tcW w:type="dxa" w:w="3213"/>
            <w:shd w:val="clear" w:fill="F2F5F6"/>
          </w:tcPr>
          <w:p>
            <w:pPr>
              <w:spacing w:after="40" w:before="40"/>
            </w:pPr>
            <w:r/>
            <w:r>
              <w:rPr>
                <w:rFonts w:ascii="Arial" w:hAnsi="Arial"/>
                <w:b w:val="0"/>
                <w:color w:val="111418"/>
                <w:sz w:val="17"/>
              </w:rPr>
              <w:t>Kapsama dışı alanlar için tamamlayıcı katman</w:t>
            </w:r>
          </w:p>
        </w:tc>
        <w:tc>
          <w:tcPr>
            <w:tcW w:type="dxa" w:w="3213"/>
            <w:shd w:val="clear" w:fill="F2F5F6"/>
          </w:tcPr>
          <w:p>
            <w:pPr>
              <w:spacing w:after="40" w:before="40"/>
            </w:pPr>
            <w:r/>
            <w:r>
              <w:rPr>
                <w:rFonts w:ascii="Arial" w:hAnsi="Arial"/>
                <w:b w:val="0"/>
                <w:color w:val="111418"/>
                <w:sz w:val="17"/>
              </w:rPr>
              <w:t>Taşıyıcı köprüsü, ortak teklif</w:t>
            </w:r>
          </w:p>
        </w:tc>
      </w:tr>
      <w:tr>
        <w:tc>
          <w:tcPr>
            <w:tcW w:type="dxa" w:w="3213"/>
            <w:shd w:val="clear" w:fill="FFFFFF"/>
          </w:tcPr>
          <w:p>
            <w:pPr>
              <w:spacing w:after="40" w:before="40"/>
            </w:pPr>
            <w:r/>
            <w:r>
              <w:rPr>
                <w:rFonts w:ascii="Arial" w:hAnsi="Arial"/>
                <w:b w:val="0"/>
                <w:color w:val="111418"/>
                <w:sz w:val="17"/>
              </w:rPr>
              <w:t>Sistem entegratörü</w:t>
            </w:r>
          </w:p>
        </w:tc>
        <w:tc>
          <w:tcPr>
            <w:tcW w:type="dxa" w:w="3213"/>
            <w:shd w:val="clear" w:fill="FFFFFF"/>
          </w:tcPr>
          <w:p>
            <w:pPr>
              <w:spacing w:after="40" w:before="40"/>
            </w:pPr>
            <w:r/>
            <w:r>
              <w:rPr>
                <w:rFonts w:ascii="Arial" w:hAnsi="Arial"/>
                <w:b w:val="0"/>
                <w:color w:val="111418"/>
                <w:sz w:val="17"/>
              </w:rPr>
              <w:t>Hazır panel + yasal kalkan</w:t>
            </w:r>
          </w:p>
        </w:tc>
        <w:tc>
          <w:tcPr>
            <w:tcW w:type="dxa" w:w="3213"/>
            <w:shd w:val="clear" w:fill="FFFFFF"/>
          </w:tcPr>
          <w:p>
            <w:pPr>
              <w:spacing w:after="40" w:before="40"/>
            </w:pPr>
            <w:r/>
            <w:r>
              <w:rPr>
                <w:rFonts w:ascii="Arial" w:hAnsi="Arial"/>
                <w:b w:val="0"/>
                <w:color w:val="111418"/>
                <w:sz w:val="17"/>
              </w:rPr>
              <w:t>Bayi marjı %20–30, white-label</w:t>
            </w:r>
          </w:p>
        </w:tc>
      </w:tr>
      <w:tr>
        <w:tc>
          <w:tcPr>
            <w:tcW w:type="dxa" w:w="3213"/>
            <w:shd w:val="clear" w:fill="F2F5F6"/>
          </w:tcPr>
          <w:p>
            <w:pPr>
              <w:spacing w:after="40" w:before="40"/>
            </w:pPr>
            <w:r/>
            <w:r>
              <w:rPr>
                <w:rFonts w:ascii="Arial" w:hAnsi="Arial"/>
                <w:b w:val="0"/>
                <w:color w:val="111418"/>
                <w:sz w:val="17"/>
              </w:rPr>
              <w:t>Kamu / afet kurumu</w:t>
            </w:r>
          </w:p>
        </w:tc>
        <w:tc>
          <w:tcPr>
            <w:tcW w:type="dxa" w:w="3213"/>
            <w:shd w:val="clear" w:fill="F2F5F6"/>
          </w:tcPr>
          <w:p>
            <w:pPr>
              <w:spacing w:after="40" w:before="40"/>
            </w:pPr>
            <w:r/>
            <w:r>
              <w:rPr>
                <w:rFonts w:ascii="Arial" w:hAnsi="Arial"/>
                <w:b w:val="0"/>
                <w:color w:val="111418"/>
                <w:sz w:val="17"/>
              </w:rPr>
              <w:t>Şebekeden bağımsız haberleşme</w:t>
            </w:r>
          </w:p>
        </w:tc>
        <w:tc>
          <w:tcPr>
            <w:tcW w:type="dxa" w:w="3213"/>
            <w:shd w:val="clear" w:fill="F2F5F6"/>
          </w:tcPr>
          <w:p>
            <w:pPr>
              <w:spacing w:after="40" w:before="40"/>
            </w:pPr>
            <w:r/>
            <w:r>
              <w:rPr>
                <w:rFonts w:ascii="Arial" w:hAnsi="Arial"/>
                <w:b w:val="0"/>
                <w:color w:val="111418"/>
                <w:sz w:val="17"/>
              </w:rPr>
              <w:t>Pilot → çerçeve alım</w:t>
            </w:r>
          </w:p>
        </w:tc>
      </w:tr>
      <w:tr>
        <w:tc>
          <w:tcPr>
            <w:tcW w:type="dxa" w:w="3213"/>
            <w:shd w:val="clear" w:fill="FFFFFF"/>
          </w:tcPr>
          <w:p>
            <w:pPr>
              <w:spacing w:after="40" w:before="40"/>
            </w:pPr>
            <w:r/>
            <w:r>
              <w:rPr>
                <w:rFonts w:ascii="Arial" w:hAnsi="Arial"/>
                <w:b w:val="0"/>
                <w:color w:val="111418"/>
                <w:sz w:val="17"/>
              </w:rPr>
              <w:t>Üniversite / araştırma</w:t>
            </w:r>
          </w:p>
        </w:tc>
        <w:tc>
          <w:tcPr>
            <w:tcW w:type="dxa" w:w="3213"/>
            <w:shd w:val="clear" w:fill="FFFFFF"/>
          </w:tcPr>
          <w:p>
            <w:pPr>
              <w:spacing w:after="40" w:before="40"/>
            </w:pPr>
            <w:r/>
            <w:r>
              <w:rPr>
                <w:rFonts w:ascii="Arial" w:hAnsi="Arial"/>
                <w:b w:val="0"/>
                <w:color w:val="111418"/>
                <w:sz w:val="17"/>
              </w:rPr>
              <w:t>Açık saha verisi</w:t>
            </w:r>
          </w:p>
        </w:tc>
        <w:tc>
          <w:tcPr>
            <w:tcW w:type="dxa" w:w="3213"/>
            <w:shd w:val="clear" w:fill="FFFFFF"/>
          </w:tcPr>
          <w:p>
            <w:pPr>
              <w:spacing w:after="40" w:before="40"/>
            </w:pPr>
            <w:r/>
            <w:r>
              <w:rPr>
                <w:rFonts w:ascii="Arial" w:hAnsi="Arial"/>
                <w:b w:val="0"/>
                <w:color w:val="111418"/>
                <w:sz w:val="17"/>
              </w:rPr>
              <w:t>Ortak yayın, öğrenci projesi</w:t>
            </w:r>
          </w:p>
        </w:tc>
      </w:tr>
    </w:tbl>
    <w:p>
      <w:pPr>
        <w:spacing w:after="80"/>
      </w:pPr>
    </w:p>
    <w:p>
      <w:pPr>
        <w:spacing w:before="0" w:after="100"/>
      </w:pPr>
      <w:r>
        <w:rPr>
          <w:rFonts w:ascii="Arial" w:hAnsi="Arial"/>
          <w:b w:val="0"/>
          <w:i w:val="0"/>
          <w:color w:val="111418"/>
          <w:sz w:val="19"/>
        </w:rPr>
        <w:t>White-label fizibilitesi: panel tema değişkenleri ve marka metinleri merkezi olduğundan, beyaz etiket sürüm teknik olarak düşük maliyetlidir. Ticari kısıt, destek yükünün entegratöre devredilmesi için eğitim ve sertifikasyon programı gerektirmesidir.</w:t>
      </w:r>
    </w:p>
    <w:p>
      <w:r>
        <w:br w:type="page"/>
      </w:r>
    </w:p>
    <w:p>
      <w:pPr>
        <w:spacing w:before="280" w:after="120"/>
      </w:pPr>
      <w:r>
        <w:rPr>
          <w:rFonts w:ascii="Arial" w:hAnsi="Arial"/>
          <w:b/>
          <w:i w:val="0"/>
          <w:color w:val="111418"/>
          <w:sz w:val="30"/>
        </w:rPr>
        <w:t>08 — Sürdürülebilirlik, Enerji Verimliliği ve ESG</w:t>
      </w:r>
    </w:p>
    <w:p>
      <w:pPr>
        <w:spacing w:before="200" w:after="80"/>
      </w:pPr>
      <w:r>
        <w:rPr>
          <w:rFonts w:ascii="Arial" w:hAnsi="Arial"/>
          <w:b/>
          <w:i w:val="0"/>
          <w:color w:val="0F766E"/>
          <w:sz w:val="22"/>
        </w:rPr>
        <w:t>8.1 Çevresel</w:t>
      </w:r>
    </w:p>
    <w:p>
      <w:pPr>
        <w:spacing w:before="0" w:after="40"/>
        <w:ind w:left="340" w:hanging="227"/>
      </w:pPr>
      <w:r>
        <w:rPr>
          <w:rFonts w:ascii="Arial" w:hAnsi="Arial"/>
          <w:color w:val="111418"/>
          <w:sz w:val="19"/>
        </w:rPr>
        <w:t xml:space="preserve">• </w:t>
      </w:r>
      <w:r>
        <w:rPr>
          <w:rFonts w:ascii="Arial" w:hAnsi="Arial"/>
          <w:b w:val="0"/>
          <w:i w:val="0"/>
          <w:color w:val="111418"/>
          <w:sz w:val="19"/>
        </w:rPr>
        <w:t>Asset-light model: yeni kule, kazı veya kablo altyapısı gerektirmez — gömülü karbon düşüktür.</w:t>
      </w:r>
    </w:p>
    <w:p>
      <w:pPr>
        <w:spacing w:before="0" w:after="40"/>
        <w:ind w:left="340" w:hanging="227"/>
      </w:pPr>
      <w:r>
        <w:rPr>
          <w:rFonts w:ascii="Arial" w:hAnsi="Arial"/>
          <w:color w:val="111418"/>
          <w:sz w:val="19"/>
        </w:rPr>
        <w:t xml:space="preserve">• </w:t>
      </w:r>
      <w:r>
        <w:rPr>
          <w:rFonts w:ascii="Arial" w:hAnsi="Arial"/>
          <w:b w:val="0"/>
          <w:i w:val="0"/>
          <w:color w:val="111418"/>
          <w:sz w:val="19"/>
        </w:rPr>
        <w:t>LoRa düğümleri tipik 20–100 mW yayın gücüyle çalışır; güneş paneli + küçük akü ile beslenebilir.</w:t>
      </w:r>
    </w:p>
    <w:p>
      <w:pPr>
        <w:spacing w:before="0" w:after="40"/>
        <w:ind w:left="340" w:hanging="227"/>
      </w:pPr>
      <w:r>
        <w:rPr>
          <w:rFonts w:ascii="Arial" w:hAnsi="Arial"/>
          <w:color w:val="111418"/>
          <w:sz w:val="19"/>
        </w:rPr>
        <w:t xml:space="preserve">• </w:t>
      </w:r>
      <w:r>
        <w:rPr>
          <w:rFonts w:ascii="Arial" w:hAnsi="Arial"/>
          <w:b w:val="0"/>
          <w:i w:val="0"/>
          <w:color w:val="111418"/>
          <w:sz w:val="19"/>
        </w:rPr>
        <w:t>Mevcut donanımın yeniden kullanımı (HCL) elektronik atığı azaltır; kilitli ekosistem yoktur.</w:t>
      </w:r>
    </w:p>
    <w:p>
      <w:pPr>
        <w:spacing w:before="0" w:after="40"/>
        <w:ind w:left="340" w:hanging="227"/>
      </w:pPr>
      <w:r>
        <w:rPr>
          <w:rFonts w:ascii="Arial" w:hAnsi="Arial"/>
          <w:color w:val="111418"/>
          <w:sz w:val="19"/>
        </w:rPr>
        <w:t xml:space="preserve">• </w:t>
      </w:r>
      <w:r>
        <w:rPr>
          <w:rFonts w:ascii="Arial" w:hAnsi="Arial"/>
          <w:b w:val="0"/>
          <w:i w:val="0"/>
          <w:color w:val="111418"/>
          <w:sz w:val="19"/>
        </w:rPr>
        <w:t>Sunucusuz kontrol düzlemi, boşta çalışan sunucu tüketimini ortadan kaldırır.</w:t>
      </w:r>
    </w:p>
    <w:p>
      <w:pPr>
        <w:spacing w:before="200" w:after="80"/>
      </w:pPr>
      <w:r>
        <w:rPr>
          <w:rFonts w:ascii="Arial" w:hAnsi="Arial"/>
          <w:b/>
          <w:i w:val="0"/>
          <w:color w:val="0F766E"/>
          <w:sz w:val="22"/>
        </w:rPr>
        <w:t>8.2 Sosyal etki</w:t>
      </w:r>
    </w:p>
    <w:p>
      <w:pPr>
        <w:spacing w:before="0" w:after="40"/>
        <w:ind w:left="340" w:hanging="227"/>
      </w:pPr>
      <w:r>
        <w:rPr>
          <w:rFonts w:ascii="Arial" w:hAnsi="Arial"/>
          <w:color w:val="111418"/>
          <w:sz w:val="19"/>
        </w:rPr>
        <w:t xml:space="preserve">• </w:t>
      </w:r>
      <w:r>
        <w:rPr>
          <w:rFonts w:ascii="Arial" w:hAnsi="Arial"/>
          <w:b w:val="0"/>
          <w:i w:val="0"/>
          <w:color w:val="111418"/>
          <w:sz w:val="19"/>
        </w:rPr>
        <w:t>Afet ve kesinti anında haberleşme sürekliliği — doğrudan can güvenliği katkısı.</w:t>
      </w:r>
    </w:p>
    <w:p>
      <w:pPr>
        <w:spacing w:before="0" w:after="40"/>
        <w:ind w:left="340" w:hanging="227"/>
      </w:pPr>
      <w:r>
        <w:rPr>
          <w:rFonts w:ascii="Arial" w:hAnsi="Arial"/>
          <w:color w:val="111418"/>
          <w:sz w:val="19"/>
        </w:rPr>
        <w:t xml:space="preserve">• </w:t>
      </w:r>
      <w:r>
        <w:rPr>
          <w:rFonts w:ascii="Arial" w:hAnsi="Arial"/>
          <w:b w:val="0"/>
          <w:i w:val="0"/>
          <w:color w:val="111418"/>
          <w:sz w:val="19"/>
        </w:rPr>
        <w:t>Kırsal ve kapsama dışı bölgelerde dijital erişim eşitsizliğinin azaltılması.</w:t>
      </w:r>
    </w:p>
    <w:p>
      <w:pPr>
        <w:spacing w:before="0" w:after="40"/>
        <w:ind w:left="340" w:hanging="227"/>
      </w:pPr>
      <w:r>
        <w:rPr>
          <w:rFonts w:ascii="Arial" w:hAnsi="Arial"/>
          <w:color w:val="111418"/>
          <w:sz w:val="19"/>
        </w:rPr>
        <w:t xml:space="preserve">• </w:t>
      </w:r>
      <w:r>
        <w:rPr>
          <w:rFonts w:ascii="Arial" w:hAnsi="Arial"/>
          <w:b w:val="0"/>
          <w:i w:val="0"/>
          <w:color w:val="111418"/>
          <w:sz w:val="19"/>
        </w:rPr>
        <w:t>Zero-knowledge tasarım ile ifade ve mahremiyet hakkının teknik olarak korunması.</w:t>
      </w:r>
    </w:p>
    <w:p>
      <w:pPr>
        <w:spacing w:before="200" w:after="80"/>
      </w:pPr>
      <w:r>
        <w:rPr>
          <w:rFonts w:ascii="Arial" w:hAnsi="Arial"/>
          <w:b/>
          <w:i w:val="0"/>
          <w:color w:val="0F766E"/>
          <w:sz w:val="22"/>
        </w:rPr>
        <w:t>8.3 Yönetişim</w:t>
      </w:r>
    </w:p>
    <w:p>
      <w:pPr>
        <w:spacing w:before="0" w:after="40"/>
        <w:ind w:left="340" w:hanging="227"/>
      </w:pPr>
      <w:r>
        <w:rPr>
          <w:rFonts w:ascii="Arial" w:hAnsi="Arial"/>
          <w:color w:val="111418"/>
          <w:sz w:val="19"/>
        </w:rPr>
        <w:t xml:space="preserve">• </w:t>
      </w:r>
      <w:r>
        <w:rPr>
          <w:rFonts w:ascii="Arial" w:hAnsi="Arial"/>
          <w:b w:val="0"/>
          <w:i w:val="0"/>
          <w:color w:val="111418"/>
          <w:sz w:val="19"/>
        </w:rPr>
        <w:t>Tek kaynaklı mevzuat verisi ve sürümlenmiş uyum beyanı ile şeffaf uyum yönetimi.</w:t>
      </w:r>
    </w:p>
    <w:p>
      <w:pPr>
        <w:spacing w:before="0" w:after="40"/>
        <w:ind w:left="340" w:hanging="227"/>
      </w:pPr>
      <w:r>
        <w:rPr>
          <w:rFonts w:ascii="Arial" w:hAnsi="Arial"/>
          <w:color w:val="111418"/>
          <w:sz w:val="19"/>
        </w:rPr>
        <w:t xml:space="preserve">• </w:t>
      </w:r>
      <w:r>
        <w:rPr>
          <w:rFonts w:ascii="Arial" w:hAnsi="Arial"/>
          <w:b w:val="0"/>
          <w:i w:val="0"/>
          <w:color w:val="111418"/>
          <w:sz w:val="19"/>
        </w:rPr>
        <w:t>İhracat kontrolü ve yaptırım listesi taraması satış sürecine gömülüdür.</w:t>
      </w:r>
    </w:p>
    <w:p>
      <w:pPr>
        <w:spacing w:before="0" w:after="40"/>
        <w:ind w:left="340" w:hanging="227"/>
      </w:pPr>
      <w:r>
        <w:rPr>
          <w:rFonts w:ascii="Arial" w:hAnsi="Arial"/>
          <w:color w:val="111418"/>
          <w:sz w:val="19"/>
        </w:rPr>
        <w:t xml:space="preserve">• </w:t>
      </w:r>
      <w:r>
        <w:rPr>
          <w:rFonts w:ascii="Arial" w:hAnsi="Arial"/>
          <w:b w:val="0"/>
          <w:i w:val="0"/>
          <w:color w:val="111418"/>
          <w:sz w:val="19"/>
        </w:rPr>
        <w:t>Ölçülmemiş performans iddiası yasağı — kurumsal iletişim politikası olarak kayıt altında.</w:t>
      </w:r>
    </w:p>
    <w:p>
      <w:pPr>
        <w:spacing w:before="0" w:after="100"/>
      </w:pPr>
      <w:r>
        <w:rPr>
          <w:rFonts w:ascii="Arial" w:hAnsi="Arial"/>
          <w:b w:val="0"/>
          <w:i w:val="0"/>
          <w:color w:val="111418"/>
          <w:sz w:val="19"/>
        </w:rPr>
        <w:t>ESG raporlaması şu an gayri resmîdir; kurumsal ihalelerde talep edilmesi hâlinde GRI veya AB CSRD sadeleştirilmiş şablonuna geçiş 2–3 aylık bir hazırlık gerektirir.</w:t>
      </w:r>
    </w:p>
    <w:p>
      <w:r>
        <w:br w:type="page"/>
      </w:r>
    </w:p>
    <w:p>
      <w:pPr>
        <w:spacing w:before="280" w:after="120"/>
      </w:pPr>
      <w:r>
        <w:rPr>
          <w:rFonts w:ascii="Arial" w:hAnsi="Arial"/>
          <w:b/>
          <w:i w:val="0"/>
          <w:color w:val="111418"/>
          <w:sz w:val="30"/>
        </w:rPr>
        <w:t>09 — Regülasyon ve Uluslararası Sertifikasyon Yol Haritası</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fill="1F2A30"/>
          </w:tcPr>
          <w:p>
            <w:pPr>
              <w:spacing w:after="40" w:before="40"/>
            </w:pPr>
            <w:r/>
            <w:r>
              <w:rPr>
                <w:rFonts w:ascii="Arial" w:hAnsi="Arial"/>
                <w:b/>
                <w:color w:val="FFFFFF"/>
                <w:sz w:val="17"/>
              </w:rPr>
              <w:t>Bölge</w:t>
            </w:r>
          </w:p>
        </w:tc>
        <w:tc>
          <w:tcPr>
            <w:tcW w:type="dxa" w:w="2409"/>
            <w:shd w:val="clear" w:fill="1F2A30"/>
          </w:tcPr>
          <w:p>
            <w:pPr>
              <w:spacing w:after="40" w:before="40"/>
            </w:pPr>
            <w:r/>
            <w:r>
              <w:rPr>
                <w:rFonts w:ascii="Arial" w:hAnsi="Arial"/>
                <w:b/>
                <w:color w:val="FFFFFF"/>
                <w:sz w:val="17"/>
              </w:rPr>
              <w:t>Çerçeve</w:t>
            </w:r>
          </w:p>
        </w:tc>
        <w:tc>
          <w:tcPr>
            <w:tcW w:type="dxa" w:w="2409"/>
            <w:shd w:val="clear" w:fill="1F2A30"/>
          </w:tcPr>
          <w:p>
            <w:pPr>
              <w:spacing w:after="40" w:before="40"/>
            </w:pPr>
            <w:r/>
            <w:r>
              <w:rPr>
                <w:rFonts w:ascii="Arial" w:hAnsi="Arial"/>
                <w:b/>
                <w:color w:val="FFFFFF"/>
                <w:sz w:val="17"/>
              </w:rPr>
              <w:t>Gereklilik</w:t>
            </w:r>
          </w:p>
        </w:tc>
        <w:tc>
          <w:tcPr>
            <w:tcW w:type="dxa" w:w="2409"/>
            <w:shd w:val="clear" w:fill="1F2A30"/>
          </w:tcPr>
          <w:p>
            <w:pPr>
              <w:spacing w:after="40" w:before="40"/>
            </w:pPr>
            <w:r/>
            <w:r>
              <w:rPr>
                <w:rFonts w:ascii="Arial" w:hAnsi="Arial"/>
                <w:b/>
                <w:color w:val="FFFFFF"/>
                <w:sz w:val="17"/>
              </w:rPr>
              <w:t>Durum / hedef</w:t>
            </w:r>
          </w:p>
        </w:tc>
      </w:tr>
      <w:tr>
        <w:tc>
          <w:tcPr>
            <w:tcW w:type="dxa" w:w="2409"/>
            <w:shd w:val="clear" w:fill="FFFFFF"/>
          </w:tcPr>
          <w:p>
            <w:pPr>
              <w:spacing w:after="40" w:before="40"/>
            </w:pPr>
            <w:r/>
            <w:r>
              <w:rPr>
                <w:rFonts w:ascii="Arial" w:hAnsi="Arial"/>
                <w:b w:val="0"/>
                <w:color w:val="111418"/>
                <w:sz w:val="17"/>
              </w:rPr>
              <w:t>Türkiye</w:t>
            </w:r>
          </w:p>
        </w:tc>
        <w:tc>
          <w:tcPr>
            <w:tcW w:type="dxa" w:w="2409"/>
            <w:shd w:val="clear" w:fill="FFFFFF"/>
          </w:tcPr>
          <w:p>
            <w:pPr>
              <w:spacing w:after="40" w:before="40"/>
            </w:pPr>
            <w:r/>
            <w:r>
              <w:rPr>
                <w:rFonts w:ascii="Arial" w:hAnsi="Arial"/>
                <w:b w:val="0"/>
                <w:color w:val="111418"/>
                <w:sz w:val="17"/>
              </w:rPr>
              <w:t>BTK, 5651, KVKK</w:t>
            </w:r>
          </w:p>
        </w:tc>
        <w:tc>
          <w:tcPr>
            <w:tcW w:type="dxa" w:w="2409"/>
            <w:shd w:val="clear" w:fill="FFFFFF"/>
          </w:tcPr>
          <w:p>
            <w:pPr>
              <w:spacing w:after="40" w:before="40"/>
            </w:pPr>
            <w:r/>
            <w:r>
              <w:rPr>
                <w:rFonts w:ascii="Arial" w:hAnsi="Arial"/>
                <w:b w:val="0"/>
                <w:color w:val="111418"/>
                <w:sz w:val="17"/>
              </w:rPr>
              <w:t>Kısa mesafe cihaz yönetmeliği, toplu kullanım portalı</w:t>
            </w:r>
          </w:p>
        </w:tc>
        <w:tc>
          <w:tcPr>
            <w:tcW w:type="dxa" w:w="2409"/>
            <w:shd w:val="clear" w:fill="FFFFFF"/>
          </w:tcPr>
          <w:p>
            <w:pPr>
              <w:spacing w:after="40" w:before="40"/>
            </w:pPr>
            <w:r/>
            <w:r>
              <w:rPr>
                <w:rFonts w:ascii="Arial" w:hAnsi="Arial"/>
                <w:b w:val="0"/>
                <w:color w:val="111418"/>
                <w:sz w:val="17"/>
              </w:rPr>
              <w:t>Yazılım uyumu hazır; portal aktif</w:t>
            </w:r>
          </w:p>
        </w:tc>
      </w:tr>
      <w:tr>
        <w:tc>
          <w:tcPr>
            <w:tcW w:type="dxa" w:w="2409"/>
            <w:shd w:val="clear" w:fill="F2F5F6"/>
          </w:tcPr>
          <w:p>
            <w:pPr>
              <w:spacing w:after="40" w:before="40"/>
            </w:pPr>
            <w:r/>
            <w:r>
              <w:rPr>
                <w:rFonts w:ascii="Arial" w:hAnsi="Arial"/>
                <w:b w:val="0"/>
                <w:color w:val="111418"/>
                <w:sz w:val="17"/>
              </w:rPr>
              <w:t>AB / EFTA</w:t>
            </w:r>
          </w:p>
        </w:tc>
        <w:tc>
          <w:tcPr>
            <w:tcW w:type="dxa" w:w="2409"/>
            <w:shd w:val="clear" w:fill="F2F5F6"/>
          </w:tcPr>
          <w:p>
            <w:pPr>
              <w:spacing w:after="40" w:before="40"/>
            </w:pPr>
            <w:r/>
            <w:r>
              <w:rPr>
                <w:rFonts w:ascii="Arial" w:hAnsi="Arial"/>
                <w:b w:val="0"/>
                <w:color w:val="111418"/>
                <w:sz w:val="17"/>
              </w:rPr>
              <w:t>RED 2014/53/EU, EN 300 220, GDPR</w:t>
            </w:r>
          </w:p>
        </w:tc>
        <w:tc>
          <w:tcPr>
            <w:tcW w:type="dxa" w:w="2409"/>
            <w:shd w:val="clear" w:fill="F2F5F6"/>
          </w:tcPr>
          <w:p>
            <w:pPr>
              <w:spacing w:after="40" w:before="40"/>
            </w:pPr>
            <w:r/>
            <w:r>
              <w:rPr>
                <w:rFonts w:ascii="Arial" w:hAnsi="Arial"/>
                <w:b w:val="0"/>
                <w:color w:val="111418"/>
                <w:sz w:val="17"/>
              </w:rPr>
              <w:t>CE işareti, uygunluk beyanı, teknik dosya</w:t>
            </w:r>
          </w:p>
        </w:tc>
        <w:tc>
          <w:tcPr>
            <w:tcW w:type="dxa" w:w="2409"/>
            <w:shd w:val="clear" w:fill="F2F5F6"/>
          </w:tcPr>
          <w:p>
            <w:pPr>
              <w:spacing w:after="40" w:before="40"/>
            </w:pPr>
            <w:r/>
            <w:r>
              <w:rPr>
                <w:rFonts w:ascii="Arial" w:hAnsi="Arial"/>
                <w:b w:val="0"/>
                <w:color w:val="111418"/>
                <w:sz w:val="17"/>
              </w:rPr>
              <w:t>Dosya hazırlığı — 6–12 ay</w:t>
            </w:r>
          </w:p>
        </w:tc>
      </w:tr>
      <w:tr>
        <w:tc>
          <w:tcPr>
            <w:tcW w:type="dxa" w:w="2409"/>
            <w:shd w:val="clear" w:fill="FFFFFF"/>
          </w:tcPr>
          <w:p>
            <w:pPr>
              <w:spacing w:after="40" w:before="40"/>
            </w:pPr>
            <w:r/>
            <w:r>
              <w:rPr>
                <w:rFonts w:ascii="Arial" w:hAnsi="Arial"/>
                <w:b w:val="0"/>
                <w:color w:val="111418"/>
                <w:sz w:val="17"/>
              </w:rPr>
              <w:t>ABD</w:t>
            </w:r>
          </w:p>
        </w:tc>
        <w:tc>
          <w:tcPr>
            <w:tcW w:type="dxa" w:w="2409"/>
            <w:shd w:val="clear" w:fill="FFFFFF"/>
          </w:tcPr>
          <w:p>
            <w:pPr>
              <w:spacing w:after="40" w:before="40"/>
            </w:pPr>
            <w:r/>
            <w:r>
              <w:rPr>
                <w:rFonts w:ascii="Arial" w:hAnsi="Arial"/>
                <w:b w:val="0"/>
                <w:color w:val="111418"/>
                <w:sz w:val="17"/>
              </w:rPr>
              <w:t>FCC Part 15 (902–928 MHz)</w:t>
            </w:r>
          </w:p>
        </w:tc>
        <w:tc>
          <w:tcPr>
            <w:tcW w:type="dxa" w:w="2409"/>
            <w:shd w:val="clear" w:fill="FFFFFF"/>
          </w:tcPr>
          <w:p>
            <w:pPr>
              <w:spacing w:after="40" w:before="40"/>
            </w:pPr>
            <w:r/>
            <w:r>
              <w:rPr>
                <w:rFonts w:ascii="Arial" w:hAnsi="Arial"/>
                <w:b w:val="0"/>
                <w:color w:val="111418"/>
                <w:sz w:val="17"/>
              </w:rPr>
              <w:t>Modül bazlı onay veya onaylı modül kullanımı</w:t>
            </w:r>
          </w:p>
        </w:tc>
        <w:tc>
          <w:tcPr>
            <w:tcW w:type="dxa" w:w="2409"/>
            <w:shd w:val="clear" w:fill="FFFFFF"/>
          </w:tcPr>
          <w:p>
            <w:pPr>
              <w:spacing w:after="40" w:before="40"/>
            </w:pPr>
            <w:r/>
            <w:r>
              <w:rPr>
                <w:rFonts w:ascii="Arial" w:hAnsi="Arial"/>
                <w:b w:val="0"/>
                <w:color w:val="111418"/>
                <w:sz w:val="17"/>
              </w:rPr>
              <w:t>İzlenen — Faz 3</w:t>
            </w:r>
          </w:p>
        </w:tc>
      </w:tr>
      <w:tr>
        <w:tc>
          <w:tcPr>
            <w:tcW w:type="dxa" w:w="2409"/>
            <w:shd w:val="clear" w:fill="F2F5F6"/>
          </w:tcPr>
          <w:p>
            <w:pPr>
              <w:spacing w:after="40" w:before="40"/>
            </w:pPr>
            <w:r/>
            <w:r>
              <w:rPr>
                <w:rFonts w:ascii="Arial" w:hAnsi="Arial"/>
                <w:b w:val="0"/>
                <w:color w:val="111418"/>
                <w:sz w:val="17"/>
              </w:rPr>
              <w:t>MEA / Orta Asya</w:t>
            </w:r>
          </w:p>
        </w:tc>
        <w:tc>
          <w:tcPr>
            <w:tcW w:type="dxa" w:w="2409"/>
            <w:shd w:val="clear" w:fill="F2F5F6"/>
          </w:tcPr>
          <w:p>
            <w:pPr>
              <w:spacing w:after="40" w:before="40"/>
            </w:pPr>
            <w:r/>
            <w:r>
              <w:rPr>
                <w:rFonts w:ascii="Arial" w:hAnsi="Arial"/>
                <w:b w:val="0"/>
                <w:color w:val="111418"/>
                <w:sz w:val="17"/>
              </w:rPr>
              <w:t>Yerel spektrum otoriteleri</w:t>
            </w:r>
          </w:p>
        </w:tc>
        <w:tc>
          <w:tcPr>
            <w:tcW w:type="dxa" w:w="2409"/>
            <w:shd w:val="clear" w:fill="F2F5F6"/>
          </w:tcPr>
          <w:p>
            <w:pPr>
              <w:spacing w:after="40" w:before="40"/>
            </w:pPr>
            <w:r/>
            <w:r>
              <w:rPr>
                <w:rFonts w:ascii="Arial" w:hAnsi="Arial"/>
                <w:b w:val="0"/>
                <w:color w:val="111418"/>
                <w:sz w:val="17"/>
              </w:rPr>
              <w:t>Ülke bazlı bant ve güç profili</w:t>
            </w:r>
          </w:p>
        </w:tc>
        <w:tc>
          <w:tcPr>
            <w:tcW w:type="dxa" w:w="2409"/>
            <w:shd w:val="clear" w:fill="F2F5F6"/>
          </w:tcPr>
          <w:p>
            <w:pPr>
              <w:spacing w:after="40" w:before="40"/>
            </w:pPr>
            <w:r/>
            <w:r>
              <w:rPr>
                <w:rFonts w:ascii="Arial" w:hAnsi="Arial"/>
                <w:b w:val="0"/>
                <w:color w:val="111418"/>
                <w:sz w:val="17"/>
              </w:rPr>
              <w:t>Talep üzerine ülke profili</w:t>
            </w:r>
          </w:p>
        </w:tc>
      </w:tr>
    </w:tbl>
    <w:p>
      <w:pPr>
        <w:spacing w:after="80"/>
      </w:pPr>
    </w:p>
    <w:p>
      <w:pPr>
        <w:spacing w:before="200" w:after="80"/>
      </w:pPr>
      <w:r>
        <w:rPr>
          <w:rFonts w:ascii="Arial" w:hAnsi="Arial"/>
          <w:b/>
          <w:i w:val="0"/>
          <w:color w:val="0F766E"/>
          <w:sz w:val="22"/>
        </w:rPr>
        <w:t>9.1 Kritik ilke</w:t>
      </w:r>
    </w:p>
    <w:p>
      <w:pPr>
        <w:spacing w:before="0" w:after="100"/>
      </w:pPr>
      <w:r>
        <w:rPr>
          <w:rFonts w:ascii="Arial" w:hAnsi="Arial"/>
          <w:b w:val="0"/>
          <w:i w:val="0"/>
          <w:color w:val="111418"/>
          <w:sz w:val="19"/>
        </w:rPr>
        <w:t xml:space="preserve">Tedbirge kendi radyo donanımını üretmediği sürece sertifikasyon yükümlülüğü büyük ölçüde modül üreticisindedir. Yazılım tarafındaki sorumluluk, bölge profili ile </w:t>
      </w:r>
      <w:r>
        <w:rPr>
          <w:rFonts w:ascii="Arial" w:hAnsi="Arial"/>
          <w:b/>
          <w:i w:val="0"/>
          <w:color w:val="111418"/>
          <w:sz w:val="19"/>
        </w:rPr>
        <w:t>yazılımsal spektrum sınırlaması</w:t>
      </w:r>
      <w:r>
        <w:rPr>
          <w:rFonts w:ascii="Arial" w:hAnsi="Arial"/>
          <w:b w:val="0"/>
          <w:i w:val="0"/>
          <w:color w:val="111418"/>
          <w:sz w:val="19"/>
        </w:rPr>
        <w:t xml:space="preserve"> uygulamak ve kullanıcıyı izinsiz firmware riski konusunda uyarmaktır. Bu ayrım, maliyeti düşürürken hukuki pozisyonu güçlendirir.</w:t>
      </w:r>
    </w:p>
    <w:p>
      <w:pPr>
        <w:spacing w:before="200" w:after="80"/>
      </w:pPr>
      <w:r>
        <w:rPr>
          <w:rFonts w:ascii="Arial" w:hAnsi="Arial"/>
          <w:b/>
          <w:i w:val="0"/>
          <w:color w:val="0F766E"/>
          <w:sz w:val="22"/>
        </w:rPr>
        <w:t>9.2 12 aylık sertifikasyon adımları</w:t>
      </w:r>
    </w:p>
    <w:p>
      <w:pPr>
        <w:spacing w:before="0" w:after="40"/>
        <w:ind w:left="340" w:hanging="227"/>
      </w:pPr>
      <w:r>
        <w:rPr>
          <w:rFonts w:ascii="Arial" w:hAnsi="Arial"/>
          <w:color w:val="111418"/>
          <w:sz w:val="19"/>
        </w:rPr>
        <w:t xml:space="preserve">• </w:t>
      </w:r>
      <w:r>
        <w:rPr>
          <w:rFonts w:ascii="Arial" w:hAnsi="Arial"/>
          <w:b w:val="0"/>
          <w:i w:val="0"/>
          <w:color w:val="111418"/>
          <w:sz w:val="19"/>
        </w:rPr>
        <w:t>Ay 1–3: Teknik dosya iskeleti, uyum beyanı sürümleme, HCL modül sertifika kayıtları.</w:t>
      </w:r>
    </w:p>
    <w:p>
      <w:pPr>
        <w:spacing w:before="0" w:after="40"/>
        <w:ind w:left="340" w:hanging="227"/>
      </w:pPr>
      <w:r>
        <w:rPr>
          <w:rFonts w:ascii="Arial" w:hAnsi="Arial"/>
          <w:color w:val="111418"/>
          <w:sz w:val="19"/>
        </w:rPr>
        <w:t xml:space="preserve">• </w:t>
      </w:r>
      <w:r>
        <w:rPr>
          <w:rFonts w:ascii="Arial" w:hAnsi="Arial"/>
          <w:b w:val="0"/>
          <w:i w:val="0"/>
          <w:color w:val="111418"/>
          <w:sz w:val="19"/>
        </w:rPr>
        <w:t>Ay 4–6: Akredite laboratuvar ön görüşmesi, EMC/RF ön test bütçesi.</w:t>
      </w:r>
    </w:p>
    <w:p>
      <w:pPr>
        <w:spacing w:before="0" w:after="40"/>
        <w:ind w:left="340" w:hanging="227"/>
      </w:pPr>
      <w:r>
        <w:rPr>
          <w:rFonts w:ascii="Arial" w:hAnsi="Arial"/>
          <w:color w:val="111418"/>
          <w:sz w:val="19"/>
        </w:rPr>
        <w:t xml:space="preserve">• </w:t>
      </w:r>
      <w:r>
        <w:rPr>
          <w:rFonts w:ascii="Arial" w:hAnsi="Arial"/>
          <w:b w:val="0"/>
          <w:i w:val="0"/>
          <w:color w:val="111418"/>
          <w:sz w:val="19"/>
        </w:rPr>
        <w:t>Ay 7–9: AB temsilcisi ataması gerekliliğinin değerlendirilmesi.</w:t>
      </w:r>
    </w:p>
    <w:p>
      <w:pPr>
        <w:spacing w:before="0" w:after="40"/>
        <w:ind w:left="340" w:hanging="227"/>
      </w:pPr>
      <w:r>
        <w:rPr>
          <w:rFonts w:ascii="Arial" w:hAnsi="Arial"/>
          <w:color w:val="111418"/>
          <w:sz w:val="19"/>
        </w:rPr>
        <w:t xml:space="preserve">• </w:t>
      </w:r>
      <w:r>
        <w:rPr>
          <w:rFonts w:ascii="Arial" w:hAnsi="Arial"/>
          <w:b w:val="0"/>
          <w:i w:val="0"/>
          <w:color w:val="111418"/>
          <w:sz w:val="19"/>
        </w:rPr>
        <w:t>Ay 10–12: CE-RED dosyasının tamamlanması, pazara giriş beyanı.</w:t>
      </w:r>
    </w:p>
    <w:p>
      <w:r>
        <w:br w:type="page"/>
      </w:r>
    </w:p>
    <w:p>
      <w:pPr>
        <w:spacing w:before="280" w:after="120"/>
      </w:pPr>
      <w:r>
        <w:rPr>
          <w:rFonts w:ascii="Arial" w:hAnsi="Arial"/>
          <w:b/>
          <w:i w:val="0"/>
          <w:color w:val="111418"/>
          <w:sz w:val="30"/>
        </w:rPr>
        <w:t>10 — Müşteri Deneyimi (CX) ve Onboarding Sürtünme Analizi</w:t>
      </w:r>
    </w:p>
    <w:p>
      <w:pPr>
        <w:spacing w:before="200" w:after="80"/>
      </w:pPr>
      <w:r>
        <w:rPr>
          <w:rFonts w:ascii="Arial" w:hAnsi="Arial"/>
          <w:b/>
          <w:i w:val="0"/>
          <w:color w:val="0F766E"/>
          <w:sz w:val="22"/>
        </w:rPr>
        <w:t>10.1 Mevcut sürtünme noktaları</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2A30"/>
          </w:tcPr>
          <w:p>
            <w:pPr>
              <w:spacing w:after="40" w:before="40"/>
            </w:pPr>
            <w:r/>
            <w:r>
              <w:rPr>
                <w:rFonts w:ascii="Arial" w:hAnsi="Arial"/>
                <w:b/>
                <w:color w:val="FFFFFF"/>
                <w:sz w:val="17"/>
              </w:rPr>
              <w:t>Adım</w:t>
            </w:r>
          </w:p>
        </w:tc>
        <w:tc>
          <w:tcPr>
            <w:tcW w:type="dxa" w:w="3213"/>
            <w:shd w:val="clear" w:fill="1F2A30"/>
          </w:tcPr>
          <w:p>
            <w:pPr>
              <w:spacing w:after="40" w:before="40"/>
            </w:pPr>
            <w:r/>
            <w:r>
              <w:rPr>
                <w:rFonts w:ascii="Arial" w:hAnsi="Arial"/>
                <w:b/>
                <w:color w:val="FFFFFF"/>
                <w:sz w:val="17"/>
              </w:rPr>
              <w:t>Sürtünme</w:t>
            </w:r>
          </w:p>
        </w:tc>
        <w:tc>
          <w:tcPr>
            <w:tcW w:type="dxa" w:w="3213"/>
            <w:shd w:val="clear" w:fill="1F2A30"/>
          </w:tcPr>
          <w:p>
            <w:pPr>
              <w:spacing w:after="40" w:before="40"/>
            </w:pPr>
            <w:r/>
            <w:r>
              <w:rPr>
                <w:rFonts w:ascii="Arial" w:hAnsi="Arial"/>
                <w:b/>
                <w:color w:val="FFFFFF"/>
                <w:sz w:val="17"/>
              </w:rPr>
              <w:t>Çözüm durumu</w:t>
            </w:r>
          </w:p>
        </w:tc>
      </w:tr>
      <w:tr>
        <w:tc>
          <w:tcPr>
            <w:tcW w:type="dxa" w:w="3213"/>
            <w:shd w:val="clear" w:fill="FFFFFF"/>
          </w:tcPr>
          <w:p>
            <w:pPr>
              <w:spacing w:after="40" w:before="40"/>
            </w:pPr>
            <w:r/>
            <w:r>
              <w:rPr>
                <w:rFonts w:ascii="Arial" w:hAnsi="Arial"/>
                <w:b w:val="0"/>
                <w:color w:val="111418"/>
                <w:sz w:val="17"/>
              </w:rPr>
              <w:t>İlk giriş</w:t>
            </w:r>
          </w:p>
        </w:tc>
        <w:tc>
          <w:tcPr>
            <w:tcW w:type="dxa" w:w="3213"/>
            <w:shd w:val="clear" w:fill="FFFFFF"/>
          </w:tcPr>
          <w:p>
            <w:pPr>
              <w:spacing w:after="40" w:before="40"/>
            </w:pPr>
            <w:r/>
            <w:r>
              <w:rPr>
                <w:rFonts w:ascii="Arial" w:hAnsi="Arial"/>
                <w:b w:val="0"/>
                <w:color w:val="111418"/>
                <w:sz w:val="17"/>
              </w:rPr>
              <w:t>Kayıt zorunluluğu algısı</w:t>
            </w:r>
          </w:p>
        </w:tc>
        <w:tc>
          <w:tcPr>
            <w:tcW w:type="dxa" w:w="3213"/>
            <w:shd w:val="clear" w:fill="FFFFFF"/>
          </w:tcPr>
          <w:p>
            <w:pPr>
              <w:spacing w:after="40" w:before="40"/>
            </w:pPr>
            <w:r/>
            <w:r>
              <w:rPr>
                <w:rFonts w:ascii="Arial" w:hAnsi="Arial"/>
                <w:b w:val="0"/>
                <w:color w:val="111418"/>
                <w:sz w:val="17"/>
              </w:rPr>
              <w:t>Çözüldü — tarayıcı düğümü kayıtsız denenebilir</w:t>
            </w:r>
          </w:p>
        </w:tc>
      </w:tr>
      <w:tr>
        <w:tc>
          <w:tcPr>
            <w:tcW w:type="dxa" w:w="3213"/>
            <w:shd w:val="clear" w:fill="F2F5F6"/>
          </w:tcPr>
          <w:p>
            <w:pPr>
              <w:spacing w:after="40" w:before="40"/>
            </w:pPr>
            <w:r/>
            <w:r>
              <w:rPr>
                <w:rFonts w:ascii="Arial" w:hAnsi="Arial"/>
                <w:b w:val="0"/>
                <w:color w:val="111418"/>
                <w:sz w:val="17"/>
              </w:rPr>
              <w:t>İkinci cihaz ekleme</w:t>
            </w:r>
          </w:p>
        </w:tc>
        <w:tc>
          <w:tcPr>
            <w:tcW w:type="dxa" w:w="3213"/>
            <w:shd w:val="clear" w:fill="F2F5F6"/>
          </w:tcPr>
          <w:p>
            <w:pPr>
              <w:spacing w:after="40" w:before="40"/>
            </w:pPr>
            <w:r/>
            <w:r>
              <w:rPr>
                <w:rFonts w:ascii="Arial" w:hAnsi="Arial"/>
                <w:b w:val="0"/>
                <w:color w:val="111418"/>
                <w:sz w:val="17"/>
              </w:rPr>
              <w:t>Manuel yapılandırma korkusu</w:t>
            </w:r>
          </w:p>
        </w:tc>
        <w:tc>
          <w:tcPr>
            <w:tcW w:type="dxa" w:w="3213"/>
            <w:shd w:val="clear" w:fill="F2F5F6"/>
          </w:tcPr>
          <w:p>
            <w:pPr>
              <w:spacing w:after="40" w:before="40"/>
            </w:pPr>
            <w:r/>
            <w:r>
              <w:rPr>
                <w:rFonts w:ascii="Arial" w:hAnsi="Arial"/>
                <w:b w:val="0"/>
                <w:color w:val="111418"/>
                <w:sz w:val="17"/>
              </w:rPr>
              <w:t>Çözüldü — QR ile eşleme</w:t>
            </w:r>
          </w:p>
        </w:tc>
      </w:tr>
      <w:tr>
        <w:tc>
          <w:tcPr>
            <w:tcW w:type="dxa" w:w="3213"/>
            <w:shd w:val="clear" w:fill="FFFFFF"/>
          </w:tcPr>
          <w:p>
            <w:pPr>
              <w:spacing w:after="40" w:before="40"/>
            </w:pPr>
            <w:r/>
            <w:r>
              <w:rPr>
                <w:rFonts w:ascii="Arial" w:hAnsi="Arial"/>
                <w:b w:val="0"/>
                <w:color w:val="111418"/>
                <w:sz w:val="17"/>
              </w:rPr>
              <w:t>Donanım seçimi</w:t>
            </w:r>
          </w:p>
        </w:tc>
        <w:tc>
          <w:tcPr>
            <w:tcW w:type="dxa" w:w="3213"/>
            <w:shd w:val="clear" w:fill="FFFFFF"/>
          </w:tcPr>
          <w:p>
            <w:pPr>
              <w:spacing w:after="40" w:before="40"/>
            </w:pPr>
            <w:r/>
            <w:r>
              <w:rPr>
                <w:rFonts w:ascii="Arial" w:hAnsi="Arial"/>
                <w:b w:val="0"/>
                <w:color w:val="111418"/>
                <w:sz w:val="17"/>
              </w:rPr>
              <w:t>Hangi modül uyumlu belirsizliği</w:t>
            </w:r>
          </w:p>
        </w:tc>
        <w:tc>
          <w:tcPr>
            <w:tcW w:type="dxa" w:w="3213"/>
            <w:shd w:val="clear" w:fill="FFFFFF"/>
          </w:tcPr>
          <w:p>
            <w:pPr>
              <w:spacing w:after="40" w:before="40"/>
            </w:pPr>
            <w:r/>
            <w:r>
              <w:rPr>
                <w:rFonts w:ascii="Arial" w:hAnsi="Arial"/>
                <w:b w:val="0"/>
                <w:color w:val="111418"/>
                <w:sz w:val="17"/>
              </w:rPr>
              <w:t>Çözüldü — HCL listesi</w:t>
            </w:r>
          </w:p>
        </w:tc>
      </w:tr>
      <w:tr>
        <w:tc>
          <w:tcPr>
            <w:tcW w:type="dxa" w:w="3213"/>
            <w:shd w:val="clear" w:fill="F2F5F6"/>
          </w:tcPr>
          <w:p>
            <w:pPr>
              <w:spacing w:after="40" w:before="40"/>
            </w:pPr>
            <w:r/>
            <w:r>
              <w:rPr>
                <w:rFonts w:ascii="Arial" w:hAnsi="Arial"/>
                <w:b w:val="0"/>
                <w:color w:val="111418"/>
                <w:sz w:val="17"/>
              </w:rPr>
              <w:t>Relay sayısı kararı</w:t>
            </w:r>
          </w:p>
        </w:tc>
        <w:tc>
          <w:tcPr>
            <w:tcW w:type="dxa" w:w="3213"/>
            <w:shd w:val="clear" w:fill="F2F5F6"/>
          </w:tcPr>
          <w:p>
            <w:pPr>
              <w:spacing w:after="40" w:before="40"/>
            </w:pPr>
            <w:r/>
            <w:r>
              <w:rPr>
                <w:rFonts w:ascii="Arial" w:hAnsi="Arial"/>
                <w:b w:val="0"/>
                <w:color w:val="111418"/>
                <w:sz w:val="17"/>
              </w:rPr>
              <w:t>Mesafe hesabı bilgisi gerekiyor</w:t>
            </w:r>
          </w:p>
        </w:tc>
        <w:tc>
          <w:tcPr>
            <w:tcW w:type="dxa" w:w="3213"/>
            <w:shd w:val="clear" w:fill="F2F5F6"/>
          </w:tcPr>
          <w:p>
            <w:pPr>
              <w:spacing w:after="40" w:before="40"/>
            </w:pPr>
            <w:r/>
            <w:r>
              <w:rPr>
                <w:rFonts w:ascii="Arial" w:hAnsi="Arial"/>
                <w:b w:val="0"/>
                <w:color w:val="111418"/>
                <w:sz w:val="17"/>
              </w:rPr>
              <w:t>Çözüldü — röle zinciri sihirbazı</w:t>
            </w:r>
          </w:p>
        </w:tc>
      </w:tr>
      <w:tr>
        <w:tc>
          <w:tcPr>
            <w:tcW w:type="dxa" w:w="3213"/>
            <w:shd w:val="clear" w:fill="FFFFFF"/>
          </w:tcPr>
          <w:p>
            <w:pPr>
              <w:spacing w:after="40" w:before="40"/>
            </w:pPr>
            <w:r/>
            <w:r>
              <w:rPr>
                <w:rFonts w:ascii="Arial" w:hAnsi="Arial"/>
                <w:b w:val="0"/>
                <w:color w:val="111418"/>
                <w:sz w:val="17"/>
              </w:rPr>
              <w:t>Çevrimdışı davranış</w:t>
            </w:r>
          </w:p>
        </w:tc>
        <w:tc>
          <w:tcPr>
            <w:tcW w:type="dxa" w:w="3213"/>
            <w:shd w:val="clear" w:fill="FFFFFF"/>
          </w:tcPr>
          <w:p>
            <w:pPr>
              <w:spacing w:after="40" w:before="40"/>
            </w:pPr>
            <w:r/>
            <w:r>
              <w:rPr>
                <w:rFonts w:ascii="Arial" w:hAnsi="Arial"/>
                <w:b w:val="0"/>
                <w:color w:val="111418"/>
                <w:sz w:val="17"/>
              </w:rPr>
              <w:t>Veri kaybı endişesi</w:t>
            </w:r>
          </w:p>
        </w:tc>
        <w:tc>
          <w:tcPr>
            <w:tcW w:type="dxa" w:w="3213"/>
            <w:shd w:val="clear" w:fill="FFFFFF"/>
          </w:tcPr>
          <w:p>
            <w:pPr>
              <w:spacing w:after="40" w:before="40"/>
            </w:pPr>
            <w:r/>
            <w:r>
              <w:rPr>
                <w:rFonts w:ascii="Arial" w:hAnsi="Arial"/>
                <w:b w:val="0"/>
                <w:color w:val="111418"/>
                <w:sz w:val="17"/>
              </w:rPr>
              <w:t>Çözüldü — kalıcı kuyruk + sayaç</w:t>
            </w:r>
          </w:p>
        </w:tc>
      </w:tr>
      <w:tr>
        <w:tc>
          <w:tcPr>
            <w:tcW w:type="dxa" w:w="3213"/>
            <w:shd w:val="clear" w:fill="F2F5F6"/>
          </w:tcPr>
          <w:p>
            <w:pPr>
              <w:spacing w:after="40" w:before="40"/>
            </w:pPr>
            <w:r/>
            <w:r>
              <w:rPr>
                <w:rFonts w:ascii="Arial" w:hAnsi="Arial"/>
                <w:b w:val="0"/>
                <w:color w:val="111418"/>
                <w:sz w:val="17"/>
              </w:rPr>
              <w:t>Plan yükseltme</w:t>
            </w:r>
          </w:p>
        </w:tc>
        <w:tc>
          <w:tcPr>
            <w:tcW w:type="dxa" w:w="3213"/>
            <w:shd w:val="clear" w:fill="F2F5F6"/>
          </w:tcPr>
          <w:p>
            <w:pPr>
              <w:spacing w:after="40" w:before="40"/>
            </w:pPr>
            <w:r/>
            <w:r>
              <w:rPr>
                <w:rFonts w:ascii="Arial" w:hAnsi="Arial"/>
                <w:b w:val="0"/>
                <w:color w:val="111418"/>
                <w:sz w:val="17"/>
              </w:rPr>
              <w:t>Ödeme akışı canlı değil</w:t>
            </w:r>
          </w:p>
        </w:tc>
        <w:tc>
          <w:tcPr>
            <w:tcW w:type="dxa" w:w="3213"/>
            <w:shd w:val="clear" w:fill="F2F5F6"/>
          </w:tcPr>
          <w:p>
            <w:pPr>
              <w:spacing w:after="40" w:before="40"/>
            </w:pPr>
            <w:r/>
            <w:r>
              <w:rPr>
                <w:rFonts w:ascii="Arial" w:hAnsi="Arial"/>
                <w:b w:val="0"/>
                <w:color w:val="111418"/>
                <w:sz w:val="17"/>
              </w:rPr>
              <w:t>Açık — Paddle canlıya alınmalı</w:t>
            </w:r>
          </w:p>
        </w:tc>
      </w:tr>
      <w:tr>
        <w:tc>
          <w:tcPr>
            <w:tcW w:type="dxa" w:w="3213"/>
            <w:shd w:val="clear" w:fill="FFFFFF"/>
          </w:tcPr>
          <w:p>
            <w:pPr>
              <w:spacing w:after="40" w:before="40"/>
            </w:pPr>
            <w:r/>
            <w:r>
              <w:rPr>
                <w:rFonts w:ascii="Arial" w:hAnsi="Arial"/>
                <w:b w:val="0"/>
                <w:color w:val="111418"/>
                <w:sz w:val="17"/>
              </w:rPr>
              <w:t>Terminoloji yükü</w:t>
            </w:r>
          </w:p>
        </w:tc>
        <w:tc>
          <w:tcPr>
            <w:tcW w:type="dxa" w:w="3213"/>
            <w:shd w:val="clear" w:fill="FFFFFF"/>
          </w:tcPr>
          <w:p>
            <w:pPr>
              <w:spacing w:after="40" w:before="40"/>
            </w:pPr>
            <w:r/>
            <w:r>
              <w:rPr>
                <w:rFonts w:ascii="Arial" w:hAnsi="Arial"/>
                <w:b w:val="0"/>
                <w:color w:val="111418"/>
                <w:sz w:val="17"/>
              </w:rPr>
              <w:t>Teknik jargon yoğunluğu</w:t>
            </w:r>
          </w:p>
        </w:tc>
        <w:tc>
          <w:tcPr>
            <w:tcW w:type="dxa" w:w="3213"/>
            <w:shd w:val="clear" w:fill="FFFFFF"/>
          </w:tcPr>
          <w:p>
            <w:pPr>
              <w:spacing w:after="40" w:before="40"/>
            </w:pPr>
            <w:r/>
            <w:r>
              <w:rPr>
                <w:rFonts w:ascii="Arial" w:hAnsi="Arial"/>
                <w:b w:val="0"/>
                <w:color w:val="111418"/>
                <w:sz w:val="17"/>
              </w:rPr>
              <w:t>Kısmi — sade dil geçişi sürüyor</w:t>
            </w:r>
          </w:p>
        </w:tc>
      </w:tr>
    </w:tbl>
    <w:p>
      <w:pPr>
        <w:spacing w:after="80"/>
      </w:pPr>
    </w:p>
    <w:p>
      <w:pPr>
        <w:spacing w:before="200" w:after="80"/>
      </w:pPr>
      <w:r>
        <w:rPr>
          <w:rFonts w:ascii="Arial" w:hAnsi="Arial"/>
          <w:b/>
          <w:i w:val="0"/>
          <w:color w:val="0F766E"/>
          <w:sz w:val="22"/>
        </w:rPr>
        <w:t>10.2 Ölçüm çerçevesi</w:t>
      </w:r>
    </w:p>
    <w:p>
      <w:pPr>
        <w:spacing w:before="0" w:after="40"/>
        <w:ind w:left="340" w:hanging="227"/>
      </w:pPr>
      <w:r>
        <w:rPr>
          <w:rFonts w:ascii="Arial" w:hAnsi="Arial"/>
          <w:color w:val="111418"/>
          <w:sz w:val="19"/>
        </w:rPr>
        <w:t xml:space="preserve">• </w:t>
      </w:r>
      <w:r>
        <w:rPr>
          <w:rFonts w:ascii="Arial" w:hAnsi="Arial"/>
          <w:b w:val="0"/>
          <w:i w:val="0"/>
          <w:color w:val="111418"/>
          <w:sz w:val="19"/>
        </w:rPr>
        <w:t>TTFV (ilk değere ulaşma süresi): hedef &lt; 5 dakika, panelde otomatik ölçülmeli.</w:t>
      </w:r>
    </w:p>
    <w:p>
      <w:pPr>
        <w:spacing w:before="0" w:after="40"/>
        <w:ind w:left="340" w:hanging="227"/>
      </w:pPr>
      <w:r>
        <w:rPr>
          <w:rFonts w:ascii="Arial" w:hAnsi="Arial"/>
          <w:color w:val="111418"/>
          <w:sz w:val="19"/>
        </w:rPr>
        <w:t xml:space="preserve">• </w:t>
      </w:r>
      <w:r>
        <w:rPr>
          <w:rFonts w:ascii="Arial" w:hAnsi="Arial"/>
          <w:b w:val="0"/>
          <w:i w:val="0"/>
          <w:color w:val="111418"/>
          <w:sz w:val="19"/>
        </w:rPr>
        <w:t>Onboarding tamamlama oranı: hedef &gt; %70.</w:t>
      </w:r>
    </w:p>
    <w:p>
      <w:pPr>
        <w:spacing w:before="0" w:after="40"/>
        <w:ind w:left="340" w:hanging="227"/>
      </w:pPr>
      <w:r>
        <w:rPr>
          <w:rFonts w:ascii="Arial" w:hAnsi="Arial"/>
          <w:color w:val="111418"/>
          <w:sz w:val="19"/>
        </w:rPr>
        <w:t xml:space="preserve">• </w:t>
      </w:r>
      <w:r>
        <w:rPr>
          <w:rFonts w:ascii="Arial" w:hAnsi="Arial"/>
          <w:b w:val="0"/>
          <w:i w:val="0"/>
          <w:color w:val="111418"/>
          <w:sz w:val="19"/>
        </w:rPr>
        <w:t>Kota sınırına ulaşan Community kullanıcısında Pro dönüşümü: hedef %8–12.</w:t>
      </w:r>
    </w:p>
    <w:p>
      <w:pPr>
        <w:spacing w:before="0" w:after="40"/>
        <w:ind w:left="340" w:hanging="227"/>
      </w:pPr>
      <w:r>
        <w:rPr>
          <w:rFonts w:ascii="Arial" w:hAnsi="Arial"/>
          <w:color w:val="111418"/>
          <w:sz w:val="19"/>
        </w:rPr>
        <w:t xml:space="preserve">• </w:t>
      </w:r>
      <w:r>
        <w:rPr>
          <w:rFonts w:ascii="Arial" w:hAnsi="Arial"/>
          <w:b w:val="0"/>
          <w:i w:val="0"/>
          <w:color w:val="111418"/>
          <w:sz w:val="19"/>
        </w:rPr>
        <w:t>NPS: pilot sonrası ölçüm, hedef ≥ 40.</w:t>
      </w:r>
    </w:p>
    <w:p>
      <w:r>
        <w:br w:type="page"/>
      </w:r>
    </w:p>
    <w:p>
      <w:pPr>
        <w:spacing w:before="280" w:after="120"/>
      </w:pPr>
      <w:r>
        <w:rPr>
          <w:rFonts w:ascii="Arial" w:hAnsi="Arial"/>
          <w:b/>
          <w:i w:val="0"/>
          <w:color w:val="111418"/>
          <w:sz w:val="30"/>
        </w:rPr>
        <w:t>11 — Sonuç, Karar Noktaları ve 12 Aylık Yol Haritası</w:t>
      </w:r>
    </w:p>
    <w:p>
      <w:pPr>
        <w:spacing w:before="0" w:after="100"/>
      </w:pPr>
      <w:r>
        <w:rPr>
          <w:rFonts w:ascii="Arial" w:hAnsi="Arial"/>
          <w:b w:val="0"/>
          <w:i w:val="0"/>
          <w:color w:val="111418"/>
          <w:sz w:val="19"/>
        </w:rPr>
        <w:t>Proje teknik olarak çalışır durumdadır ve hukuki çerçevesi tanımlıdır. Ticari fizibilitenin önündeki tek yapısal engel, tahsilat akışının canlıya alınmamış olmasıdır. Teknik tarafta en yüksek öncelikli borç, tam ölçekli yük testlerinin koşulmamış olmasıdır.</w:t>
      </w:r>
    </w:p>
    <w:p>
      <w:pPr>
        <w:spacing w:before="200" w:after="80"/>
      </w:pPr>
      <w:r>
        <w:rPr>
          <w:rFonts w:ascii="Arial" w:hAnsi="Arial"/>
          <w:b/>
          <w:i w:val="0"/>
          <w:color w:val="0F766E"/>
          <w:sz w:val="22"/>
        </w:rPr>
        <w:t>11.1 Karar noktaları</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2A30"/>
          </w:tcPr>
          <w:p>
            <w:pPr>
              <w:spacing w:after="40" w:before="40"/>
            </w:pPr>
            <w:r/>
            <w:r>
              <w:rPr>
                <w:rFonts w:ascii="Arial" w:hAnsi="Arial"/>
                <w:b/>
                <w:color w:val="FFFFFF"/>
                <w:sz w:val="17"/>
              </w:rPr>
              <w:t>Karar</w:t>
            </w:r>
          </w:p>
        </w:tc>
        <w:tc>
          <w:tcPr>
            <w:tcW w:type="dxa" w:w="3213"/>
            <w:shd w:val="clear" w:fill="1F2A30"/>
          </w:tcPr>
          <w:p>
            <w:pPr>
              <w:spacing w:after="40" w:before="40"/>
            </w:pPr>
            <w:r/>
            <w:r>
              <w:rPr>
                <w:rFonts w:ascii="Arial" w:hAnsi="Arial"/>
                <w:b/>
                <w:color w:val="FFFFFF"/>
                <w:sz w:val="17"/>
              </w:rPr>
              <w:t>Öneri</w:t>
            </w:r>
          </w:p>
        </w:tc>
        <w:tc>
          <w:tcPr>
            <w:tcW w:type="dxa" w:w="3213"/>
            <w:shd w:val="clear" w:fill="1F2A30"/>
          </w:tcPr>
          <w:p>
            <w:pPr>
              <w:spacing w:after="40" w:before="40"/>
            </w:pPr>
            <w:r/>
            <w:r>
              <w:rPr>
                <w:rFonts w:ascii="Arial" w:hAnsi="Arial"/>
                <w:b/>
                <w:color w:val="FFFFFF"/>
                <w:sz w:val="17"/>
              </w:rPr>
              <w:t>Aciliyet</w:t>
            </w:r>
          </w:p>
        </w:tc>
      </w:tr>
      <w:tr>
        <w:tc>
          <w:tcPr>
            <w:tcW w:type="dxa" w:w="3213"/>
            <w:shd w:val="clear" w:fill="FFFFFF"/>
          </w:tcPr>
          <w:p>
            <w:pPr>
              <w:spacing w:after="40" w:before="40"/>
            </w:pPr>
            <w:r/>
            <w:r>
              <w:rPr>
                <w:rFonts w:ascii="Arial" w:hAnsi="Arial"/>
                <w:b w:val="0"/>
                <w:color w:val="111418"/>
                <w:sz w:val="17"/>
              </w:rPr>
              <w:t>Ödeme akışının canlıya alınması</w:t>
            </w:r>
          </w:p>
        </w:tc>
        <w:tc>
          <w:tcPr>
            <w:tcW w:type="dxa" w:w="3213"/>
            <w:shd w:val="clear" w:fill="FFFFFF"/>
          </w:tcPr>
          <w:p>
            <w:pPr>
              <w:spacing w:after="40" w:before="40"/>
            </w:pPr>
            <w:r/>
            <w:r>
              <w:rPr>
                <w:rFonts w:ascii="Arial" w:hAnsi="Arial"/>
                <w:b w:val="0"/>
                <w:color w:val="111418"/>
                <w:sz w:val="17"/>
              </w:rPr>
              <w:t>Doğrulama tamamlanır tamamlanmaz aç</w:t>
            </w:r>
          </w:p>
        </w:tc>
        <w:tc>
          <w:tcPr>
            <w:tcW w:type="dxa" w:w="3213"/>
            <w:shd w:val="clear" w:fill="FFFFFF"/>
          </w:tcPr>
          <w:p>
            <w:pPr>
              <w:spacing w:after="40" w:before="40"/>
            </w:pPr>
            <w:r/>
            <w:r>
              <w:rPr>
                <w:rFonts w:ascii="Arial" w:hAnsi="Arial"/>
                <w:b w:val="0"/>
                <w:color w:val="111418"/>
                <w:sz w:val="17"/>
              </w:rPr>
              <w:t>Kritik</w:t>
            </w:r>
          </w:p>
        </w:tc>
      </w:tr>
      <w:tr>
        <w:tc>
          <w:tcPr>
            <w:tcW w:type="dxa" w:w="3213"/>
            <w:shd w:val="clear" w:fill="F2F5F6"/>
          </w:tcPr>
          <w:p>
            <w:pPr>
              <w:spacing w:after="40" w:before="40"/>
            </w:pPr>
            <w:r/>
            <w:r>
              <w:rPr>
                <w:rFonts w:ascii="Arial" w:hAnsi="Arial"/>
                <w:b w:val="0"/>
                <w:color w:val="111418"/>
                <w:sz w:val="17"/>
              </w:rPr>
              <w:t>Alan adının bağlanması</w:t>
            </w:r>
          </w:p>
        </w:tc>
        <w:tc>
          <w:tcPr>
            <w:tcW w:type="dxa" w:w="3213"/>
            <w:shd w:val="clear" w:fill="F2F5F6"/>
          </w:tcPr>
          <w:p>
            <w:pPr>
              <w:spacing w:after="40" w:before="40"/>
            </w:pPr>
            <w:r/>
            <w:r>
              <w:rPr>
                <w:rFonts w:ascii="Arial" w:hAnsi="Arial"/>
                <w:b w:val="0"/>
                <w:color w:val="111418"/>
                <w:sz w:val="17"/>
              </w:rPr>
              <w:t>tedbirge.com yayına alınsın</w:t>
            </w:r>
          </w:p>
        </w:tc>
        <w:tc>
          <w:tcPr>
            <w:tcW w:type="dxa" w:w="3213"/>
            <w:shd w:val="clear" w:fill="F2F5F6"/>
          </w:tcPr>
          <w:p>
            <w:pPr>
              <w:spacing w:after="40" w:before="40"/>
            </w:pPr>
            <w:r/>
            <w:r>
              <w:rPr>
                <w:rFonts w:ascii="Arial" w:hAnsi="Arial"/>
                <w:b w:val="0"/>
                <w:color w:val="111418"/>
                <w:sz w:val="17"/>
              </w:rPr>
              <w:t>Yüksek</w:t>
            </w:r>
          </w:p>
        </w:tc>
      </w:tr>
      <w:tr>
        <w:tc>
          <w:tcPr>
            <w:tcW w:type="dxa" w:w="3213"/>
            <w:shd w:val="clear" w:fill="FFFFFF"/>
          </w:tcPr>
          <w:p>
            <w:pPr>
              <w:spacing w:after="40" w:before="40"/>
            </w:pPr>
            <w:r/>
            <w:r>
              <w:rPr>
                <w:rFonts w:ascii="Arial" w:hAnsi="Arial"/>
                <w:b w:val="0"/>
                <w:color w:val="111418"/>
                <w:sz w:val="17"/>
              </w:rPr>
              <w:t>Sakarya pilotunun başlatılması</w:t>
            </w:r>
          </w:p>
        </w:tc>
        <w:tc>
          <w:tcPr>
            <w:tcW w:type="dxa" w:w="3213"/>
            <w:shd w:val="clear" w:fill="FFFFFF"/>
          </w:tcPr>
          <w:p>
            <w:pPr>
              <w:spacing w:after="40" w:before="40"/>
            </w:pPr>
            <w:r/>
            <w:r>
              <w:rPr>
                <w:rFonts w:ascii="Arial" w:hAnsi="Arial"/>
                <w:b w:val="0"/>
                <w:color w:val="111418"/>
                <w:sz w:val="17"/>
              </w:rPr>
              <w:t>Üç konfigürasyonlu 3 haftalık program</w:t>
            </w:r>
          </w:p>
        </w:tc>
        <w:tc>
          <w:tcPr>
            <w:tcW w:type="dxa" w:w="3213"/>
            <w:shd w:val="clear" w:fill="FFFFFF"/>
          </w:tcPr>
          <w:p>
            <w:pPr>
              <w:spacing w:after="40" w:before="40"/>
            </w:pPr>
            <w:r/>
            <w:r>
              <w:rPr>
                <w:rFonts w:ascii="Arial" w:hAnsi="Arial"/>
                <w:b w:val="0"/>
                <w:color w:val="111418"/>
                <w:sz w:val="17"/>
              </w:rPr>
              <w:t>Yüksek</w:t>
            </w:r>
          </w:p>
        </w:tc>
      </w:tr>
      <w:tr>
        <w:tc>
          <w:tcPr>
            <w:tcW w:type="dxa" w:w="3213"/>
            <w:shd w:val="clear" w:fill="F2F5F6"/>
          </w:tcPr>
          <w:p>
            <w:pPr>
              <w:spacing w:after="40" w:before="40"/>
            </w:pPr>
            <w:r/>
            <w:r>
              <w:rPr>
                <w:rFonts w:ascii="Arial" w:hAnsi="Arial"/>
                <w:b w:val="0"/>
                <w:color w:val="111418"/>
                <w:sz w:val="17"/>
              </w:rPr>
              <w:t>Yük testi paketi</w:t>
            </w:r>
          </w:p>
        </w:tc>
        <w:tc>
          <w:tcPr>
            <w:tcW w:type="dxa" w:w="3213"/>
            <w:shd w:val="clear" w:fill="F2F5F6"/>
          </w:tcPr>
          <w:p>
            <w:pPr>
              <w:spacing w:after="40" w:before="40"/>
            </w:pPr>
            <w:r/>
            <w:r>
              <w:rPr>
                <w:rFonts w:ascii="Arial" w:hAnsi="Arial"/>
                <w:b w:val="0"/>
                <w:color w:val="111418"/>
                <w:sz w:val="17"/>
              </w:rPr>
              <w:t>Pilot öncesi tamamlansın</w:t>
            </w:r>
          </w:p>
        </w:tc>
        <w:tc>
          <w:tcPr>
            <w:tcW w:type="dxa" w:w="3213"/>
            <w:shd w:val="clear" w:fill="F2F5F6"/>
          </w:tcPr>
          <w:p>
            <w:pPr>
              <w:spacing w:after="40" w:before="40"/>
            </w:pPr>
            <w:r/>
            <w:r>
              <w:rPr>
                <w:rFonts w:ascii="Arial" w:hAnsi="Arial"/>
                <w:b w:val="0"/>
                <w:color w:val="111418"/>
                <w:sz w:val="17"/>
              </w:rPr>
              <w:t>Yüksek</w:t>
            </w:r>
          </w:p>
        </w:tc>
      </w:tr>
      <w:tr>
        <w:tc>
          <w:tcPr>
            <w:tcW w:type="dxa" w:w="3213"/>
            <w:shd w:val="clear" w:fill="FFFFFF"/>
          </w:tcPr>
          <w:p>
            <w:pPr>
              <w:spacing w:after="40" w:before="40"/>
            </w:pPr>
            <w:r/>
            <w:r>
              <w:rPr>
                <w:rFonts w:ascii="Arial" w:hAnsi="Arial"/>
                <w:b w:val="0"/>
                <w:color w:val="111418"/>
                <w:sz w:val="17"/>
              </w:rPr>
              <w:t>CE-RED dosya hazırlığı</w:t>
            </w:r>
          </w:p>
        </w:tc>
        <w:tc>
          <w:tcPr>
            <w:tcW w:type="dxa" w:w="3213"/>
            <w:shd w:val="clear" w:fill="FFFFFF"/>
          </w:tcPr>
          <w:p>
            <w:pPr>
              <w:spacing w:after="40" w:before="40"/>
            </w:pPr>
            <w:r/>
            <w:r>
              <w:rPr>
                <w:rFonts w:ascii="Arial" w:hAnsi="Arial"/>
                <w:b w:val="0"/>
                <w:color w:val="111418"/>
                <w:sz w:val="17"/>
              </w:rPr>
              <w:t>6. aydan itibaren başlat</w:t>
            </w:r>
          </w:p>
        </w:tc>
        <w:tc>
          <w:tcPr>
            <w:tcW w:type="dxa" w:w="3213"/>
            <w:shd w:val="clear" w:fill="FFFFFF"/>
          </w:tcPr>
          <w:p>
            <w:pPr>
              <w:spacing w:after="40" w:before="40"/>
            </w:pPr>
            <w:r/>
            <w:r>
              <w:rPr>
                <w:rFonts w:ascii="Arial" w:hAnsi="Arial"/>
                <w:b w:val="0"/>
                <w:color w:val="111418"/>
                <w:sz w:val="17"/>
              </w:rPr>
              <w:t>Orta</w:t>
            </w:r>
          </w:p>
        </w:tc>
      </w:tr>
      <w:tr>
        <w:tc>
          <w:tcPr>
            <w:tcW w:type="dxa" w:w="3213"/>
            <w:shd w:val="clear" w:fill="F2F5F6"/>
          </w:tcPr>
          <w:p>
            <w:pPr>
              <w:spacing w:after="40" w:before="40"/>
            </w:pPr>
            <w:r/>
            <w:r>
              <w:rPr>
                <w:rFonts w:ascii="Arial" w:hAnsi="Arial"/>
                <w:b w:val="0"/>
                <w:color w:val="111418"/>
                <w:sz w:val="17"/>
              </w:rPr>
              <w:t>İlk yarı zamanlı destek kaynağı</w:t>
            </w:r>
          </w:p>
        </w:tc>
        <w:tc>
          <w:tcPr>
            <w:tcW w:type="dxa" w:w="3213"/>
            <w:shd w:val="clear" w:fill="F2F5F6"/>
          </w:tcPr>
          <w:p>
            <w:pPr>
              <w:spacing w:after="40" w:before="40"/>
            </w:pPr>
            <w:r/>
            <w:r>
              <w:rPr>
                <w:rFonts w:ascii="Arial" w:hAnsi="Arial"/>
                <w:b w:val="0"/>
                <w:color w:val="111418"/>
                <w:sz w:val="17"/>
              </w:rPr>
              <w:t>25 aktif hesaptan sonra</w:t>
            </w:r>
          </w:p>
        </w:tc>
        <w:tc>
          <w:tcPr>
            <w:tcW w:type="dxa" w:w="3213"/>
            <w:shd w:val="clear" w:fill="F2F5F6"/>
          </w:tcPr>
          <w:p>
            <w:pPr>
              <w:spacing w:after="40" w:before="40"/>
            </w:pPr>
            <w:r/>
            <w:r>
              <w:rPr>
                <w:rFonts w:ascii="Arial" w:hAnsi="Arial"/>
                <w:b w:val="0"/>
                <w:color w:val="111418"/>
                <w:sz w:val="17"/>
              </w:rPr>
              <w:t>Orta</w:t>
            </w:r>
          </w:p>
        </w:tc>
      </w:tr>
    </w:tbl>
    <w:p>
      <w:pPr>
        <w:spacing w:after="80"/>
      </w:pPr>
    </w:p>
    <w:p>
      <w:pPr>
        <w:spacing w:before="200" w:after="80"/>
      </w:pPr>
      <w:r>
        <w:rPr>
          <w:rFonts w:ascii="Arial" w:hAnsi="Arial"/>
          <w:b/>
          <w:i w:val="0"/>
          <w:color w:val="0F766E"/>
          <w:sz w:val="22"/>
        </w:rPr>
        <w:t>11.2 12 aylık yol haritası</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1F2A30"/>
          </w:tcPr>
          <w:p>
            <w:pPr>
              <w:spacing w:after="40" w:before="40"/>
            </w:pPr>
            <w:r/>
            <w:r>
              <w:rPr>
                <w:rFonts w:ascii="Arial" w:hAnsi="Arial"/>
                <w:b/>
                <w:color w:val="FFFFFF"/>
                <w:sz w:val="17"/>
              </w:rPr>
              <w:t>Çeyrek</w:t>
            </w:r>
          </w:p>
        </w:tc>
        <w:tc>
          <w:tcPr>
            <w:tcW w:type="dxa" w:w="3213"/>
            <w:shd w:val="clear" w:fill="1F2A30"/>
          </w:tcPr>
          <w:p>
            <w:pPr>
              <w:spacing w:after="40" w:before="40"/>
            </w:pPr>
            <w:r/>
            <w:r>
              <w:rPr>
                <w:rFonts w:ascii="Arial" w:hAnsi="Arial"/>
                <w:b/>
                <w:color w:val="FFFFFF"/>
                <w:sz w:val="17"/>
              </w:rPr>
              <w:t>Odak</w:t>
            </w:r>
          </w:p>
        </w:tc>
        <w:tc>
          <w:tcPr>
            <w:tcW w:type="dxa" w:w="3213"/>
            <w:shd w:val="clear" w:fill="1F2A30"/>
          </w:tcPr>
          <w:p>
            <w:pPr>
              <w:spacing w:after="40" w:before="40"/>
            </w:pPr>
            <w:r/>
            <w:r>
              <w:rPr>
                <w:rFonts w:ascii="Arial" w:hAnsi="Arial"/>
                <w:b/>
                <w:color w:val="FFFFFF"/>
                <w:sz w:val="17"/>
              </w:rPr>
              <w:t>Çıktı</w:t>
            </w:r>
          </w:p>
        </w:tc>
      </w:tr>
      <w:tr>
        <w:tc>
          <w:tcPr>
            <w:tcW w:type="dxa" w:w="3213"/>
            <w:shd w:val="clear" w:fill="FFFFFF"/>
          </w:tcPr>
          <w:p>
            <w:pPr>
              <w:spacing w:after="40" w:before="40"/>
            </w:pPr>
            <w:r/>
            <w:r>
              <w:rPr>
                <w:rFonts w:ascii="Arial" w:hAnsi="Arial"/>
                <w:b w:val="0"/>
                <w:color w:val="111418"/>
                <w:sz w:val="17"/>
              </w:rPr>
              <w:t>Ç1</w:t>
            </w:r>
          </w:p>
        </w:tc>
        <w:tc>
          <w:tcPr>
            <w:tcW w:type="dxa" w:w="3213"/>
            <w:shd w:val="clear" w:fill="FFFFFF"/>
          </w:tcPr>
          <w:p>
            <w:pPr>
              <w:spacing w:after="40" w:before="40"/>
            </w:pPr>
            <w:r/>
            <w:r>
              <w:rPr>
                <w:rFonts w:ascii="Arial" w:hAnsi="Arial"/>
                <w:b w:val="0"/>
                <w:color w:val="111418"/>
                <w:sz w:val="17"/>
              </w:rPr>
              <w:t>Tahsilat + alan adı + yük testi</w:t>
            </w:r>
          </w:p>
        </w:tc>
        <w:tc>
          <w:tcPr>
            <w:tcW w:type="dxa" w:w="3213"/>
            <w:shd w:val="clear" w:fill="FFFFFF"/>
          </w:tcPr>
          <w:p>
            <w:pPr>
              <w:spacing w:after="40" w:before="40"/>
            </w:pPr>
            <w:r/>
            <w:r>
              <w:rPr>
                <w:rFonts w:ascii="Arial" w:hAnsi="Arial"/>
                <w:b w:val="0"/>
                <w:color w:val="111418"/>
                <w:sz w:val="17"/>
              </w:rPr>
              <w:t>Ücretli ilk abone, ölçülmüş performans zarfı</w:t>
            </w:r>
          </w:p>
        </w:tc>
      </w:tr>
      <w:tr>
        <w:tc>
          <w:tcPr>
            <w:tcW w:type="dxa" w:w="3213"/>
            <w:shd w:val="clear" w:fill="F2F5F6"/>
          </w:tcPr>
          <w:p>
            <w:pPr>
              <w:spacing w:after="40" w:before="40"/>
            </w:pPr>
            <w:r/>
            <w:r>
              <w:rPr>
                <w:rFonts w:ascii="Arial" w:hAnsi="Arial"/>
                <w:b w:val="0"/>
                <w:color w:val="111418"/>
                <w:sz w:val="17"/>
              </w:rPr>
              <w:t>Ç2</w:t>
            </w:r>
          </w:p>
        </w:tc>
        <w:tc>
          <w:tcPr>
            <w:tcW w:type="dxa" w:w="3213"/>
            <w:shd w:val="clear" w:fill="F2F5F6"/>
          </w:tcPr>
          <w:p>
            <w:pPr>
              <w:spacing w:after="40" w:before="40"/>
            </w:pPr>
            <w:r/>
            <w:r>
              <w:rPr>
                <w:rFonts w:ascii="Arial" w:hAnsi="Arial"/>
                <w:b w:val="0"/>
                <w:color w:val="111418"/>
                <w:sz w:val="17"/>
              </w:rPr>
              <w:t>Sakarya pilotu</w:t>
            </w:r>
          </w:p>
        </w:tc>
        <w:tc>
          <w:tcPr>
            <w:tcW w:type="dxa" w:w="3213"/>
            <w:shd w:val="clear" w:fill="F2F5F6"/>
          </w:tcPr>
          <w:p>
            <w:pPr>
              <w:spacing w:after="40" w:before="40"/>
            </w:pPr>
            <w:r/>
            <w:r>
              <w:rPr>
                <w:rFonts w:ascii="Arial" w:hAnsi="Arial"/>
                <w:b w:val="0"/>
                <w:color w:val="111418"/>
                <w:sz w:val="17"/>
              </w:rPr>
              <w:t>Vaka çalışması, doğrulanmış KPI seti</w:t>
            </w:r>
          </w:p>
        </w:tc>
      </w:tr>
      <w:tr>
        <w:tc>
          <w:tcPr>
            <w:tcW w:type="dxa" w:w="3213"/>
            <w:shd w:val="clear" w:fill="FFFFFF"/>
          </w:tcPr>
          <w:p>
            <w:pPr>
              <w:spacing w:after="40" w:before="40"/>
            </w:pPr>
            <w:r/>
            <w:r>
              <w:rPr>
                <w:rFonts w:ascii="Arial" w:hAnsi="Arial"/>
                <w:b w:val="0"/>
                <w:color w:val="111418"/>
                <w:sz w:val="17"/>
              </w:rPr>
              <w:t>Ç3</w:t>
            </w:r>
          </w:p>
        </w:tc>
        <w:tc>
          <w:tcPr>
            <w:tcW w:type="dxa" w:w="3213"/>
            <w:shd w:val="clear" w:fill="FFFFFF"/>
          </w:tcPr>
          <w:p>
            <w:pPr>
              <w:spacing w:after="40" w:before="40"/>
            </w:pPr>
            <w:r/>
            <w:r>
              <w:rPr>
                <w:rFonts w:ascii="Arial" w:hAnsi="Arial"/>
                <w:b w:val="0"/>
                <w:color w:val="111418"/>
                <w:sz w:val="17"/>
              </w:rPr>
              <w:t>Entegratör kanalı + AB uyum dosyası</w:t>
            </w:r>
          </w:p>
        </w:tc>
        <w:tc>
          <w:tcPr>
            <w:tcW w:type="dxa" w:w="3213"/>
            <w:shd w:val="clear" w:fill="FFFFFF"/>
          </w:tcPr>
          <w:p>
            <w:pPr>
              <w:spacing w:after="40" w:before="40"/>
            </w:pPr>
            <w:r/>
            <w:r>
              <w:rPr>
                <w:rFonts w:ascii="Arial" w:hAnsi="Arial"/>
                <w:b w:val="0"/>
                <w:color w:val="111418"/>
                <w:sz w:val="17"/>
              </w:rPr>
              <w:t>İlk 2 bayi, CE dosya iskeleti</w:t>
            </w:r>
          </w:p>
        </w:tc>
      </w:tr>
      <w:tr>
        <w:tc>
          <w:tcPr>
            <w:tcW w:type="dxa" w:w="3213"/>
            <w:shd w:val="clear" w:fill="F2F5F6"/>
          </w:tcPr>
          <w:p>
            <w:pPr>
              <w:spacing w:after="40" w:before="40"/>
            </w:pPr>
            <w:r/>
            <w:r>
              <w:rPr>
                <w:rFonts w:ascii="Arial" w:hAnsi="Arial"/>
                <w:b w:val="0"/>
                <w:color w:val="111418"/>
                <w:sz w:val="17"/>
              </w:rPr>
              <w:t>Ç4</w:t>
            </w:r>
          </w:p>
        </w:tc>
        <w:tc>
          <w:tcPr>
            <w:tcW w:type="dxa" w:w="3213"/>
            <w:shd w:val="clear" w:fill="F2F5F6"/>
          </w:tcPr>
          <w:p>
            <w:pPr>
              <w:spacing w:after="40" w:before="40"/>
            </w:pPr>
            <w:r/>
            <w:r>
              <w:rPr>
                <w:rFonts w:ascii="Arial" w:hAnsi="Arial"/>
                <w:b w:val="0"/>
                <w:color w:val="111418"/>
                <w:sz w:val="17"/>
              </w:rPr>
              <w:t>Enterprise satış + ölçeklenme</w:t>
            </w:r>
          </w:p>
        </w:tc>
        <w:tc>
          <w:tcPr>
            <w:tcW w:type="dxa" w:w="3213"/>
            <w:shd w:val="clear" w:fill="F2F5F6"/>
          </w:tcPr>
          <w:p>
            <w:pPr>
              <w:spacing w:after="40" w:before="40"/>
            </w:pPr>
            <w:r/>
            <w:r>
              <w:rPr>
                <w:rFonts w:ascii="Arial" w:hAnsi="Arial"/>
                <w:b w:val="0"/>
                <w:color w:val="111418"/>
                <w:sz w:val="17"/>
              </w:rPr>
              <w:t>Başabaş üstü nakit akışı</w:t>
            </w:r>
          </w:p>
        </w:tc>
      </w:tr>
    </w:tbl>
    <w:p>
      <w:pPr>
        <w:spacing w:after="80"/>
      </w:pPr>
    </w:p>
    <w:p>
      <w:pPr>
        <w:spacing w:before="0" w:after="100"/>
      </w:pPr>
      <w:r>
        <w:rPr>
          <w:rFonts w:ascii="Arial" w:hAnsi="Arial"/>
          <w:b/>
          <w:i w:val="0"/>
          <w:color w:val="111418"/>
          <w:sz w:val="19"/>
        </w:rPr>
        <w:t>Genel değerlendirme:</w:t>
      </w:r>
      <w:r>
        <w:rPr>
          <w:rFonts w:ascii="Arial" w:hAnsi="Arial"/>
          <w:b w:val="0"/>
          <w:i w:val="0"/>
          <w:color w:val="111418"/>
          <w:sz w:val="19"/>
        </w:rPr>
        <w:t xml:space="preserve"> Tedbirge Gateway, hem teknik hem ticari açıdan fizibilite eşiğini aşmıştır. Önümüzdeki 12 ay; tahsilat, pilot kanıtı ve operasyonel altyapı açısından belirleyicidir. Doğru yürütüldüğünde küresel off-grid haberleşme pazarında özgün ve savunulabilir bir konum elde edilebilir.</w:t>
      </w:r>
    </w:p>
    <w:p>
      <w:pPr>
        <w:spacing w:before="80" w:after="80"/>
      </w:pPr>
      <w:r>
        <w:rPr>
          <w:rFonts w:ascii="Arial" w:hAnsi="Arial"/>
          <w:b w:val="0"/>
          <w:i/>
          <w:color w:val="55606B"/>
          <w:sz w:val="17"/>
        </w:rPr>
        <w:t>Rapor sonu · Tedbirge Gateway Strateji Ofisi · Sürüm 1.0 · 30 Temmuz 2026</w:t>
      </w:r>
    </w:p>
    <w:sectPr w:rsidR="00FC693F" w:rsidRPr="0006063C" w:rsidSect="00034616">
      <w:pgSz w:w="11906" w:h="16838"/>
      <w:pgMar w:top="1020"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Tedbirge Gateway — Bütünsel Nihai Fizibilite ve Strateji Raporu</dc:title>
  <dc:subject/>
  <dc:creator>Mehmet DİNÇ (Tedbirge Gateway)</dc:creator>
  <cp:keywords/>
  <dc:description>generated by python-docx</dc:description>
  <cp:lastModifiedBy/>
  <cp:revision>1</cp:revision>
  <dcterms:created xsi:type="dcterms:W3CDTF">2013-12-23T23:15:00Z</dcterms:created>
  <dcterms:modified xsi:type="dcterms:W3CDTF">2013-12-23T23:15:00Z</dcterms:modified>
  <cp:category/>
</cp:coreProperties>
</file>