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A523F" w14:textId="324CC66E" w:rsidR="00E01110" w:rsidRDefault="007553B2">
      <w:pPr>
        <w:rPr>
          <w:rFonts w:ascii="Calibri" w:hAnsi="Calibri" w:cs="Calibri"/>
          <w:b/>
          <w:bCs/>
          <w:sz w:val="28"/>
          <w:szCs w:val="28"/>
        </w:rPr>
      </w:pPr>
      <w:r>
        <w:rPr>
          <w:rFonts w:ascii="Calibri" w:hAnsi="Calibri" w:cs="Calibri"/>
          <w:b/>
          <w:bCs/>
          <w:noProof/>
          <w:sz w:val="28"/>
          <w:szCs w:val="28"/>
        </w:rPr>
        <mc:AlternateContent>
          <mc:Choice Requires="wps">
            <w:drawing>
              <wp:anchor distT="0" distB="0" distL="114300" distR="114300" simplePos="0" relativeHeight="251660288" behindDoc="0" locked="0" layoutInCell="1" allowOverlap="1" wp14:anchorId="4665417A" wp14:editId="00CAF27B">
                <wp:simplePos x="0" y="0"/>
                <wp:positionH relativeFrom="column">
                  <wp:posOffset>1210962</wp:posOffset>
                </wp:positionH>
                <wp:positionV relativeFrom="paragraph">
                  <wp:posOffset>321276</wp:posOffset>
                </wp:positionV>
                <wp:extent cx="4020065" cy="197708"/>
                <wp:effectExtent l="12700" t="12700" r="19050" b="18415"/>
                <wp:wrapNone/>
                <wp:docPr id="626520360" name="Rectangle 2"/>
                <wp:cNvGraphicFramePr/>
                <a:graphic xmlns:a="http://schemas.openxmlformats.org/drawingml/2006/main">
                  <a:graphicData uri="http://schemas.microsoft.com/office/word/2010/wordprocessingShape">
                    <wps:wsp>
                      <wps:cNvSpPr/>
                      <wps:spPr>
                        <a:xfrm>
                          <a:off x="0" y="0"/>
                          <a:ext cx="4020065" cy="19770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105CFC" id="Rectangle 2" o:spid="_x0000_s1026" style="position:absolute;margin-left:95.35pt;margin-top:25.3pt;width:316.55pt;height:15.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" filled="f" strokecolor="#030e13 [484]" strokeweight="1.5pt"/>
            </w:pict>
          </mc:Fallback>
        </mc:AlternateContent>
      </w:r>
      <w:r>
        <w:rPr>
          <w:rFonts w:ascii="Calibri" w:hAnsi="Calibri" w:cs="Calibri"/>
          <w:b/>
          <w:bCs/>
          <w:noProof/>
          <w:sz w:val="28"/>
          <w:szCs w:val="28"/>
        </w:rPr>
        <mc:AlternateContent>
          <mc:Choice Requires="wps">
            <w:drawing>
              <wp:anchor distT="0" distB="0" distL="114300" distR="114300" simplePos="0" relativeHeight="251659264" behindDoc="0" locked="0" layoutInCell="1" allowOverlap="1" wp14:anchorId="1717C683" wp14:editId="1486A164">
                <wp:simplePos x="0" y="0"/>
                <wp:positionH relativeFrom="column">
                  <wp:posOffset>469265</wp:posOffset>
                </wp:positionH>
                <wp:positionV relativeFrom="paragraph">
                  <wp:posOffset>-73660</wp:posOffset>
                </wp:positionV>
                <wp:extent cx="5329881" cy="329514"/>
                <wp:effectExtent l="0" t="0" r="17145" b="13970"/>
                <wp:wrapNone/>
                <wp:docPr id="1987728785" name="Rectangle 1"/>
                <wp:cNvGraphicFramePr/>
                <a:graphic xmlns:a="http://schemas.openxmlformats.org/drawingml/2006/main">
                  <a:graphicData uri="http://schemas.microsoft.com/office/word/2010/wordprocessingShape">
                    <wps:wsp>
                      <wps:cNvSpPr/>
                      <wps:spPr>
                        <a:xfrm>
                          <a:off x="0" y="0"/>
                          <a:ext cx="5329881" cy="329514"/>
                        </a:xfrm>
                        <a:prstGeom prst="rect">
                          <a:avLst/>
                        </a:prstGeom>
                        <a:noFill/>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BF566D" id="Rectangle 1" o:spid="_x0000_s1026" style="position:absolute;margin-left:36.95pt;margin-top:-5.8pt;width:419.7pt;height:25.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" filled="f" strokecolor="#156082 [3204]" strokeweight="1pt"/>
            </w:pict>
          </mc:Fallback>
        </mc:AlternateContent>
      </w:r>
      <w:r w:rsidRPr="007553B2">
        <w:rPr>
          <w:rFonts w:ascii="Calibri" w:hAnsi="Calibri" w:cs="Calibri"/>
          <w:b/>
          <w:bCs/>
          <w:sz w:val="28"/>
          <w:szCs w:val="28"/>
        </w:rPr>
        <w:t xml:space="preserve">               Cardiometabolic Comparison of CAH Patients and Female Referents </w:t>
      </w:r>
    </w:p>
    <w:p w14:paraId="04EC2CB2" w14:textId="1DA14305" w:rsidR="007553B2" w:rsidRDefault="007553B2">
      <w:pPr>
        <w:rPr>
          <w:rFonts w:ascii="Calibri" w:hAnsi="Calibri" w:cs="Calibri"/>
          <w:b/>
          <w:bCs/>
          <w:sz w:val="18"/>
          <w:szCs w:val="18"/>
        </w:rPr>
      </w:pP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r>
        <w:rPr>
          <w:rFonts w:ascii="Calibri" w:hAnsi="Calibri" w:cs="Calibri"/>
          <w:b/>
          <w:bCs/>
          <w:sz w:val="18"/>
          <w:szCs w:val="18"/>
        </w:rPr>
        <w:t>C</w:t>
      </w:r>
      <w:r>
        <w:rPr>
          <w:rFonts w:ascii="Calibri" w:hAnsi="Calibri" w:cs="Calibri" w:hint="eastAsia"/>
          <w:b/>
          <w:bCs/>
          <w:sz w:val="18"/>
          <w:szCs w:val="18"/>
        </w:rPr>
        <w:t>ompare overall group differences first, then explore age related trends below</w:t>
      </w:r>
    </w:p>
    <w:p w14:paraId="3E130693" w14:textId="7E0C6AE0" w:rsidR="007553B2" w:rsidRDefault="007553B2">
      <w:pPr>
        <w:rPr>
          <w:rFonts w:ascii="Calibri" w:hAnsi="Calibri" w:cs="Calibri"/>
          <w:b/>
          <w:bCs/>
          <w:sz w:val="18"/>
          <w:szCs w:val="18"/>
        </w:rPr>
      </w:pPr>
      <w:r>
        <w:rPr>
          <w:rFonts w:ascii="Calibri" w:hAnsi="Calibri" w:cs="Calibri"/>
          <w:b/>
          <w:bCs/>
          <w:noProof/>
          <w:sz w:val="18"/>
          <w:szCs w:val="18"/>
        </w:rPr>
        <mc:AlternateContent>
          <mc:Choice Requires="wps">
            <w:drawing>
              <wp:anchor distT="0" distB="0" distL="114300" distR="114300" simplePos="0" relativeHeight="251663360" behindDoc="0" locked="0" layoutInCell="1" allowOverlap="1" wp14:anchorId="44EFFAA4" wp14:editId="5F9DB7C1">
                <wp:simplePos x="0" y="0"/>
                <wp:positionH relativeFrom="column">
                  <wp:posOffset>66160</wp:posOffset>
                </wp:positionH>
                <wp:positionV relativeFrom="paragraph">
                  <wp:posOffset>181198</wp:posOffset>
                </wp:positionV>
                <wp:extent cx="6087763" cy="724930"/>
                <wp:effectExtent l="12700" t="12700" r="8255" b="12065"/>
                <wp:wrapNone/>
                <wp:docPr id="1762465484" name="Rounded Rectangle 7"/>
                <wp:cNvGraphicFramePr/>
                <a:graphic xmlns:a="http://schemas.openxmlformats.org/drawingml/2006/main">
                  <a:graphicData uri="http://schemas.microsoft.com/office/word/2010/wordprocessingShape">
                    <wps:wsp>
                      <wps:cNvSpPr/>
                      <wps:spPr>
                        <a:xfrm>
                          <a:off x="0" y="0"/>
                          <a:ext cx="6087763" cy="72493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9D51337" w14:textId="45F09F46" w:rsidR="007553B2" w:rsidRDefault="007553B2" w:rsidP="007553B2">
                            <w:pPr>
                              <w:jc w:val="center"/>
                              <w:rPr>
                                <w:rFonts w:hint="eastAsia"/>
                              </w:rP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EFFAA4" id="Rounded Rectangle 7" o:spid="_x0000_s1026" style="position:absolute;margin-left:5.2pt;margin-top:14.25pt;width:479.35pt;height:57.1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" filled="f" strokecolor="#030e13 [484]" strokeweight="1.5pt">
                <v:stroke joinstyle="miter"/>
                <v:textbox>
                  <w:txbxContent>
                    <w:p w14:paraId="49D51337" w14:textId="45F09F46" w:rsidR="007553B2" w:rsidRDefault="007553B2" w:rsidP="007553B2">
                      <w:pPr>
                        <w:jc w:val="center"/>
                        <w:rPr>
                          <w:rFonts w:hint="eastAsia"/>
                        </w:rPr>
                      </w:pPr>
                      <w:r>
                        <w:rPr>
                          <w:rFonts w:hint="eastAsia"/>
                        </w:rPr>
                        <w:t xml:space="preserve">  </w:t>
                      </w:r>
                    </w:p>
                  </w:txbxContent>
                </v:textbox>
              </v:roundrect>
            </w:pict>
          </mc:Fallback>
        </mc:AlternateContent>
      </w:r>
    </w:p>
    <w:p w14:paraId="66299355" w14:textId="13B82023" w:rsidR="007553B2" w:rsidRDefault="007553B2">
      <w:pPr>
        <w:rPr>
          <w:rFonts w:ascii="Calibri" w:hAnsi="Calibri" w:cs="Calibri"/>
          <w:b/>
          <w:bCs/>
        </w:rPr>
      </w:pPr>
      <w:r>
        <w:rPr>
          <w:rFonts w:ascii="Calibri" w:hAnsi="Calibri" w:cs="Calibri"/>
          <w:b/>
          <w:bCs/>
          <w:noProof/>
          <w:sz w:val="18"/>
          <w:szCs w:val="18"/>
        </w:rPr>
        <mc:AlternateContent>
          <mc:Choice Requires="wps">
            <w:drawing>
              <wp:anchor distT="0" distB="0" distL="114300" distR="114300" simplePos="0" relativeHeight="251661312" behindDoc="0" locked="0" layoutInCell="1" allowOverlap="1" wp14:anchorId="3EC3708A" wp14:editId="64B4DFA9">
                <wp:simplePos x="0" y="0"/>
                <wp:positionH relativeFrom="column">
                  <wp:posOffset>326390</wp:posOffset>
                </wp:positionH>
                <wp:positionV relativeFrom="paragraph">
                  <wp:posOffset>232856</wp:posOffset>
                </wp:positionV>
                <wp:extent cx="1330068" cy="316813"/>
                <wp:effectExtent l="12700" t="12700" r="16510" b="13970"/>
                <wp:wrapNone/>
                <wp:docPr id="1242900635" name="Rectangle 3"/>
                <wp:cNvGraphicFramePr/>
                <a:graphic xmlns:a="http://schemas.openxmlformats.org/drawingml/2006/main">
                  <a:graphicData uri="http://schemas.microsoft.com/office/word/2010/wordprocessingShape">
                    <wps:wsp>
                      <wps:cNvSpPr/>
                      <wps:spPr>
                        <a:xfrm>
                          <a:off x="0" y="0"/>
                          <a:ext cx="1330068" cy="31681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7D05AFB" w14:textId="537A8F58" w:rsidR="007553B2" w:rsidRDefault="007553B2" w:rsidP="007553B2">
                            <w:pPr>
                              <w:jc w:val="center"/>
                              <w:rPr>
                                <w:rFonts w:hint="eastAsia"/>
                              </w:rPr>
                            </w:pPr>
                            <w:r>
                              <w:rPr>
                                <w:rFonts w:hint="eastAsia"/>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3708A" id="Rectangle 3" o:spid="_x0000_s1027" style="position:absolute;margin-left:25.7pt;margin-top:18.35pt;width:104.75pt;height:24.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" filled="f" strokecolor="#030e13 [484]" strokeweight="1.5pt">
                <v:textbox>
                  <w:txbxContent>
                    <w:p w14:paraId="47D05AFB" w14:textId="537A8F58" w:rsidR="007553B2" w:rsidRDefault="007553B2" w:rsidP="007553B2">
                      <w:pPr>
                        <w:jc w:val="center"/>
                        <w:rPr>
                          <w:rFonts w:hint="eastAsia"/>
                        </w:rPr>
                      </w:pPr>
                      <w:r>
                        <w:rPr>
                          <w:rFonts w:hint="eastAsia"/>
                        </w:rPr>
                        <w:t>S</w:t>
                      </w:r>
                    </w:p>
                  </w:txbxContent>
                </v:textbox>
              </v:rect>
            </w:pict>
          </mc:Fallback>
        </mc:AlternateContent>
      </w:r>
      <w:r>
        <w:rPr>
          <w:rFonts w:ascii="Calibri" w:hAnsi="Calibri" w:cs="Calibri" w:hint="eastAsia"/>
          <w:b/>
          <w:bCs/>
          <w:noProof/>
        </w:rPr>
        <mc:AlternateContent>
          <mc:Choice Requires="wps">
            <w:drawing>
              <wp:anchor distT="0" distB="0" distL="114300" distR="114300" simplePos="0" relativeHeight="251662336" behindDoc="0" locked="0" layoutInCell="1" allowOverlap="1" wp14:anchorId="7FCF702B" wp14:editId="3EB673D8">
                <wp:simplePos x="0" y="0"/>
                <wp:positionH relativeFrom="column">
                  <wp:posOffset>1400810</wp:posOffset>
                </wp:positionH>
                <wp:positionV relativeFrom="paragraph">
                  <wp:posOffset>314960</wp:posOffset>
                </wp:positionV>
                <wp:extent cx="82378" cy="164757"/>
                <wp:effectExtent l="38100" t="12700" r="19685" b="26035"/>
                <wp:wrapNone/>
                <wp:docPr id="417197030" name="Down Arrow 6"/>
                <wp:cNvGraphicFramePr/>
                <a:graphic xmlns:a="http://schemas.openxmlformats.org/drawingml/2006/main">
                  <a:graphicData uri="http://schemas.microsoft.com/office/word/2010/wordprocessingShape">
                    <wps:wsp>
                      <wps:cNvSpPr/>
                      <wps:spPr>
                        <a:xfrm>
                          <a:off x="0" y="0"/>
                          <a:ext cx="82378" cy="16475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91F30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6" o:spid="_x0000_s1026" type="#_x0000_t67" style="position:absolute;margin-left:110.3pt;margin-top:24.8pt;width:6.5pt;height:12.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" fillcolor="#156082 [3204]" strokecolor="#030e13 [484]" strokeweight="1.5pt"/>
            </w:pict>
          </mc:Fallback>
        </mc:AlternateContent>
      </w:r>
      <w:r>
        <w:rPr>
          <w:rFonts w:ascii="Calibri" w:hAnsi="Calibri" w:cs="Calibri" w:hint="eastAsia"/>
          <w:b/>
          <w:bCs/>
        </w:rPr>
        <w:t xml:space="preserve">           </w:t>
      </w:r>
      <w:r w:rsidRPr="007553B2">
        <w:rPr>
          <w:rFonts w:ascii="Calibri" w:hAnsi="Calibri" w:cs="Calibri" w:hint="eastAsia"/>
          <w:b/>
          <w:bCs/>
        </w:rPr>
        <w:t>Select Biomarkers:</w:t>
      </w:r>
    </w:p>
    <w:p w14:paraId="2661C7F7" w14:textId="16A041E8" w:rsidR="007553B2" w:rsidRPr="007553B2" w:rsidRDefault="007553B2">
      <w:pPr>
        <w:rPr>
          <w:rFonts w:ascii="Calibri" w:hAnsi="Calibri" w:cs="Calibri" w:hint="eastAsia"/>
          <w:b/>
          <w:bCs/>
        </w:rPr>
      </w:pPr>
      <w:r>
        <w:rPr>
          <w:rFonts w:ascii="Calibri" w:hAnsi="Calibri" w:cs="Calibri" w:hint="eastAsia"/>
          <w:b/>
          <w:bCs/>
        </w:rPr>
        <w:t xml:space="preserve">                 SBP                   </w:t>
      </w:r>
    </w:p>
    <w:p w14:paraId="10C0CD7E" w14:textId="6522AB24" w:rsidR="007553B2" w:rsidRDefault="007553B2"/>
    <w:p w14:paraId="6B44ED12" w14:textId="221ADAED" w:rsidR="007553B2" w:rsidRDefault="007553B2">
      <w:pPr>
        <w:rPr>
          <w:rFonts w:hint="eastAsia"/>
        </w:rPr>
      </w:pPr>
      <w:r>
        <w:rPr>
          <w:rFonts w:hint="eastAsia"/>
        </w:rPr>
        <w:t xml:space="preserve">                 </w:t>
      </w:r>
    </w:p>
    <w:p w14:paraId="384F0BF9" w14:textId="5DBB6A4D" w:rsidR="007553B2" w:rsidRDefault="007553B2">
      <w:r>
        <w:rPr>
          <w:rFonts w:hint="eastAsia"/>
          <w:noProof/>
        </w:rPr>
        <mc:AlternateContent>
          <mc:Choice Requires="wps">
            <w:drawing>
              <wp:anchor distT="0" distB="0" distL="114300" distR="114300" simplePos="0" relativeHeight="251664384" behindDoc="0" locked="0" layoutInCell="1" allowOverlap="1" wp14:anchorId="739E667E" wp14:editId="21B0C1A9">
                <wp:simplePos x="0" y="0"/>
                <wp:positionH relativeFrom="column">
                  <wp:posOffset>3896360</wp:posOffset>
                </wp:positionH>
                <wp:positionV relativeFrom="paragraph">
                  <wp:posOffset>158750</wp:posOffset>
                </wp:positionV>
                <wp:extent cx="2792627" cy="2331308"/>
                <wp:effectExtent l="0" t="0" r="14605" b="18415"/>
                <wp:wrapNone/>
                <wp:docPr id="175461350" name="Text Box 9"/>
                <wp:cNvGraphicFramePr/>
                <a:graphic xmlns:a="http://schemas.openxmlformats.org/drawingml/2006/main">
                  <a:graphicData uri="http://schemas.microsoft.com/office/word/2010/wordprocessingShape">
                    <wps:wsp>
                      <wps:cNvSpPr txBox="1"/>
                      <wps:spPr>
                        <a:xfrm>
                          <a:off x="0" y="0"/>
                          <a:ext cx="2792627" cy="2331308"/>
                        </a:xfrm>
                        <a:prstGeom prst="rect">
                          <a:avLst/>
                        </a:prstGeom>
                        <a:solidFill>
                          <a:schemeClr val="lt1"/>
                        </a:solidFill>
                        <a:ln w="6350">
                          <a:solidFill>
                            <a:prstClr val="black"/>
                          </a:solidFill>
                        </a:ln>
                      </wps:spPr>
                      <wps:txbx>
                        <w:txbxContent>
                          <w:p w14:paraId="7583C8FA" w14:textId="17329A33" w:rsidR="007553B2" w:rsidRDefault="007553B2">
                            <w:r>
                              <w:rPr>
                                <w:rFonts w:hint="eastAsia"/>
                              </w:rPr>
                              <w:t>Main Comparison Plot:</w:t>
                            </w:r>
                          </w:p>
                          <w:p w14:paraId="6E91DE2C" w14:textId="7A031F81" w:rsidR="007553B2" w:rsidRDefault="001F7FE1">
                            <w:r w:rsidRPr="001F7FE1">
                              <w:t>Results for the selected biomarker:</w:t>
                            </w:r>
                          </w:p>
                          <w:p w14:paraId="42525E4E" w14:textId="33EACDD5" w:rsidR="001F7FE1" w:rsidRPr="001F7FE1" w:rsidRDefault="001F7FE1" w:rsidP="001F7FE1">
                            <w:pPr>
                              <w:pStyle w:val="ListParagraph"/>
                              <w:numPr>
                                <w:ilvl w:val="0"/>
                                <w:numId w:val="3"/>
                              </w:numPr>
                              <w:rPr>
                                <w:rFonts w:ascii="Calibri" w:eastAsia="Times New Roman" w:hAnsi="Calibri" w:cs="Calibri"/>
                                <w:kern w:val="0"/>
                                <w14:ligatures w14:val="none"/>
                              </w:rPr>
                            </w:pPr>
                            <w:r w:rsidRPr="001F7FE1">
                              <w:rPr>
                                <w:rFonts w:ascii="Calibri" w:eastAsia="Times New Roman" w:hAnsi="Calibri" w:cs="Calibri"/>
                                <w:kern w:val="0"/>
                                <w14:ligatures w14:val="none"/>
                              </w:rPr>
                              <w:t>Female referents show more outliers than the CAH group</w:t>
                            </w:r>
                          </w:p>
                          <w:p w14:paraId="6CF8A382" w14:textId="2B5DA0E8" w:rsidR="001F7FE1" w:rsidRPr="001F7FE1" w:rsidRDefault="001F7FE1" w:rsidP="001F7FE1">
                            <w:pPr>
                              <w:pStyle w:val="ListParagraph"/>
                              <w:numPr>
                                <w:ilvl w:val="0"/>
                                <w:numId w:val="3"/>
                              </w:numPr>
                              <w:rPr>
                                <w:rFonts w:ascii="Calibri" w:eastAsia="Times New Roman" w:hAnsi="Calibri" w:cs="Calibri"/>
                                <w:kern w:val="0"/>
                                <w14:ligatures w14:val="none"/>
                              </w:rPr>
                            </w:pPr>
                            <w:r w:rsidRPr="001F7FE1">
                              <w:rPr>
                                <w:rFonts w:ascii="Calibri" w:eastAsia="Times New Roman" w:hAnsi="Calibri" w:cs="Calibri"/>
                                <w:kern w:val="0"/>
                                <w14:ligatures w14:val="none"/>
                              </w:rPr>
                              <w:t>The CAH group has a slightly lower mean than female referents</w:t>
                            </w:r>
                          </w:p>
                          <w:p w14:paraId="19A5B5E1" w14:textId="1EC458A5" w:rsidR="001F7FE1" w:rsidRPr="001F7FE1" w:rsidRDefault="001F7FE1" w:rsidP="001F7FE1">
                            <w:pPr>
                              <w:pStyle w:val="ListParagraph"/>
                              <w:numPr>
                                <w:ilvl w:val="0"/>
                                <w:numId w:val="1"/>
                              </w:numPr>
                              <w:rPr>
                                <w:rFonts w:ascii="Calibri" w:eastAsia="Times New Roman" w:hAnsi="Calibri" w:cs="Calibri"/>
                                <w:kern w:val="0"/>
                                <w14:ligatures w14:val="none"/>
                              </w:rPr>
                            </w:pPr>
                            <w:r w:rsidRPr="001F7FE1">
                              <w:rPr>
                                <w:rFonts w:ascii="Calibri" w:eastAsia="Times New Roman" w:hAnsi="Calibri" w:cs="Calibri"/>
                                <w:b/>
                                <w:bCs/>
                                <w:kern w:val="0"/>
                                <w14:ligatures w14:val="none"/>
                              </w:rPr>
                              <w:t>Hovering</w:t>
                            </w:r>
                            <w:r w:rsidRPr="001F7FE1">
                              <w:rPr>
                                <w:rFonts w:ascii="Calibri" w:eastAsia="Times New Roman" w:hAnsi="Calibri" w:cs="Calibri"/>
                                <w:kern w:val="0"/>
                                <w14:ligatures w14:val="none"/>
                              </w:rPr>
                              <w:t xml:space="preserve"> over the plot provides additional summary statistics</w:t>
                            </w:r>
                          </w:p>
                          <w:p w14:paraId="57A5FD69" w14:textId="77777777" w:rsidR="007553B2" w:rsidRDefault="007553B2" w:rsidP="007553B2">
                            <w:pPr>
                              <w:ind w:left="360"/>
                              <w:rPr>
                                <w:rFonts w:hint="eastAsia"/>
                              </w:rPr>
                            </w:pPr>
                          </w:p>
                          <w:p w14:paraId="18F9528E" w14:textId="2DB40785" w:rsidR="007553B2" w:rsidRDefault="007553B2" w:rsidP="007553B2">
                            <w:pPr>
                              <w:pStyle w:val="ListParagraph"/>
                              <w:numPr>
                                <w:ilvl w:val="0"/>
                                <w:numId w:val="1"/>
                              </w:numPr>
                              <w:rPr>
                                <w:rFonts w:hint="eastAsia"/>
                              </w:rPr>
                            </w:pPr>
                            <w:r>
                              <w:rPr>
                                <w:rFonts w:hint="eastAsia"/>
                              </w:rPr>
                              <w:t>CAH group has a slightly lower mean than female referents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667E" id="_x0000_t202" coordsize="21600,21600" o:spt="202" path="m,l,21600r21600,l21600,xe">
                <v:stroke joinstyle="miter"/>
                <v:path gradientshapeok="t" o:connecttype="rect"/>
              </v:shapetype>
              <v:shape id="Text Box 9" o:spid="_x0000_s1028" type="#_x0000_t202" style="position:absolute;margin-left:306.8pt;margin-top:12.5pt;width:219.9pt;height:18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" fillcolor="white [3201]" strokeweight=".5pt">
                <v:textbox>
                  <w:txbxContent>
                    <w:p w14:paraId="7583C8FA" w14:textId="17329A33" w:rsidR="007553B2" w:rsidRDefault="007553B2">
                      <w:r>
                        <w:rPr>
                          <w:rFonts w:hint="eastAsia"/>
                        </w:rPr>
                        <w:t>Main Comparison Plot:</w:t>
                      </w:r>
                    </w:p>
                    <w:p w14:paraId="6E91DE2C" w14:textId="7A031F81" w:rsidR="007553B2" w:rsidRDefault="001F7FE1">
                      <w:r w:rsidRPr="001F7FE1">
                        <w:t>Results for the selected biomarker:</w:t>
                      </w:r>
                    </w:p>
                    <w:p w14:paraId="42525E4E" w14:textId="33EACDD5" w:rsidR="001F7FE1" w:rsidRPr="001F7FE1" w:rsidRDefault="001F7FE1" w:rsidP="001F7FE1">
                      <w:pPr>
                        <w:pStyle w:val="ListParagraph"/>
                        <w:numPr>
                          <w:ilvl w:val="0"/>
                          <w:numId w:val="3"/>
                        </w:numPr>
                        <w:rPr>
                          <w:rFonts w:ascii="Calibri" w:eastAsia="Times New Roman" w:hAnsi="Calibri" w:cs="Calibri"/>
                          <w:kern w:val="0"/>
                          <w14:ligatures w14:val="none"/>
                        </w:rPr>
                      </w:pPr>
                      <w:r w:rsidRPr="001F7FE1">
                        <w:rPr>
                          <w:rFonts w:ascii="Calibri" w:eastAsia="Times New Roman" w:hAnsi="Calibri" w:cs="Calibri"/>
                          <w:kern w:val="0"/>
                          <w14:ligatures w14:val="none"/>
                        </w:rPr>
                        <w:t>Female referents show more outliers than the CAH group</w:t>
                      </w:r>
                    </w:p>
                    <w:p w14:paraId="6CF8A382" w14:textId="2B5DA0E8" w:rsidR="001F7FE1" w:rsidRPr="001F7FE1" w:rsidRDefault="001F7FE1" w:rsidP="001F7FE1">
                      <w:pPr>
                        <w:pStyle w:val="ListParagraph"/>
                        <w:numPr>
                          <w:ilvl w:val="0"/>
                          <w:numId w:val="3"/>
                        </w:numPr>
                        <w:rPr>
                          <w:rFonts w:ascii="Calibri" w:eastAsia="Times New Roman" w:hAnsi="Calibri" w:cs="Calibri"/>
                          <w:kern w:val="0"/>
                          <w14:ligatures w14:val="none"/>
                        </w:rPr>
                      </w:pPr>
                      <w:r w:rsidRPr="001F7FE1">
                        <w:rPr>
                          <w:rFonts w:ascii="Calibri" w:eastAsia="Times New Roman" w:hAnsi="Calibri" w:cs="Calibri"/>
                          <w:kern w:val="0"/>
                          <w14:ligatures w14:val="none"/>
                        </w:rPr>
                        <w:t>The CAH group has a slightly lower mean than female referents</w:t>
                      </w:r>
                    </w:p>
                    <w:p w14:paraId="19A5B5E1" w14:textId="1EC458A5" w:rsidR="001F7FE1" w:rsidRPr="001F7FE1" w:rsidRDefault="001F7FE1" w:rsidP="001F7FE1">
                      <w:pPr>
                        <w:pStyle w:val="ListParagraph"/>
                        <w:numPr>
                          <w:ilvl w:val="0"/>
                          <w:numId w:val="1"/>
                        </w:numPr>
                        <w:rPr>
                          <w:rFonts w:ascii="Calibri" w:eastAsia="Times New Roman" w:hAnsi="Calibri" w:cs="Calibri"/>
                          <w:kern w:val="0"/>
                          <w14:ligatures w14:val="none"/>
                        </w:rPr>
                      </w:pPr>
                      <w:r w:rsidRPr="001F7FE1">
                        <w:rPr>
                          <w:rFonts w:ascii="Calibri" w:eastAsia="Times New Roman" w:hAnsi="Calibri" w:cs="Calibri"/>
                          <w:b/>
                          <w:bCs/>
                          <w:kern w:val="0"/>
                          <w14:ligatures w14:val="none"/>
                        </w:rPr>
                        <w:t>Hovering</w:t>
                      </w:r>
                      <w:r w:rsidRPr="001F7FE1">
                        <w:rPr>
                          <w:rFonts w:ascii="Calibri" w:eastAsia="Times New Roman" w:hAnsi="Calibri" w:cs="Calibri"/>
                          <w:kern w:val="0"/>
                          <w14:ligatures w14:val="none"/>
                        </w:rPr>
                        <w:t xml:space="preserve"> over the plot provides additional summary statistics</w:t>
                      </w:r>
                    </w:p>
                    <w:p w14:paraId="57A5FD69" w14:textId="77777777" w:rsidR="007553B2" w:rsidRDefault="007553B2" w:rsidP="007553B2">
                      <w:pPr>
                        <w:ind w:left="360"/>
                        <w:rPr>
                          <w:rFonts w:hint="eastAsia"/>
                        </w:rPr>
                      </w:pPr>
                    </w:p>
                    <w:p w14:paraId="18F9528E" w14:textId="2DB40785" w:rsidR="007553B2" w:rsidRDefault="007553B2" w:rsidP="007553B2">
                      <w:pPr>
                        <w:pStyle w:val="ListParagraph"/>
                        <w:numPr>
                          <w:ilvl w:val="0"/>
                          <w:numId w:val="1"/>
                        </w:numPr>
                        <w:rPr>
                          <w:rFonts w:hint="eastAsia"/>
                        </w:rPr>
                      </w:pPr>
                      <w:r>
                        <w:rPr>
                          <w:rFonts w:hint="eastAsia"/>
                        </w:rPr>
                        <w:t>CAH group has a slightly lower mean than female referents</w:t>
                      </w:r>
                    </w:p>
                  </w:txbxContent>
                </v:textbox>
              </v:shape>
            </w:pict>
          </mc:Fallback>
        </mc:AlternateContent>
      </w:r>
      <w:r>
        <w:rPr>
          <w:rFonts w:hint="eastAsia"/>
          <w:noProof/>
        </w:rPr>
        <w:drawing>
          <wp:inline distT="0" distB="0" distL="0" distR="0" wp14:anchorId="7C6456A3" wp14:editId="7DEDB8CE">
            <wp:extent cx="4184325" cy="2625485"/>
            <wp:effectExtent l="0" t="0" r="0" b="3810"/>
            <wp:docPr id="287265097" name="Picture 8"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65097" name="Picture 8" descr="A diagram of a person's relationship&#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31585" cy="2655138"/>
                    </a:xfrm>
                    <a:prstGeom prst="rect">
                      <a:avLst/>
                    </a:prstGeom>
                  </pic:spPr>
                </pic:pic>
              </a:graphicData>
            </a:graphic>
          </wp:inline>
        </w:drawing>
      </w:r>
      <w:r>
        <w:rPr>
          <w:rFonts w:hint="eastAsia"/>
        </w:rPr>
        <w:t xml:space="preserve"> </w:t>
      </w:r>
    </w:p>
    <w:p w14:paraId="1DCB588C" w14:textId="79E9E7E8" w:rsidR="007553B2" w:rsidRDefault="007553B2">
      <w:r>
        <w:rPr>
          <w:rFonts w:hint="eastAsia"/>
          <w:noProof/>
        </w:rPr>
        <mc:AlternateContent>
          <mc:Choice Requires="wps">
            <w:drawing>
              <wp:anchor distT="0" distB="0" distL="114300" distR="114300" simplePos="0" relativeHeight="251666432" behindDoc="0" locked="0" layoutInCell="1" allowOverlap="1" wp14:anchorId="1BA64ACD" wp14:editId="607DFC61">
                <wp:simplePos x="0" y="0"/>
                <wp:positionH relativeFrom="column">
                  <wp:posOffset>3790604</wp:posOffset>
                </wp:positionH>
                <wp:positionV relativeFrom="paragraph">
                  <wp:posOffset>761365</wp:posOffset>
                </wp:positionV>
                <wp:extent cx="2951018" cy="2818015"/>
                <wp:effectExtent l="0" t="0" r="8255" b="14605"/>
                <wp:wrapNone/>
                <wp:docPr id="630972315" name="Text Box 9"/>
                <wp:cNvGraphicFramePr/>
                <a:graphic xmlns:a="http://schemas.openxmlformats.org/drawingml/2006/main">
                  <a:graphicData uri="http://schemas.microsoft.com/office/word/2010/wordprocessingShape">
                    <wps:wsp>
                      <wps:cNvSpPr txBox="1"/>
                      <wps:spPr>
                        <a:xfrm>
                          <a:off x="0" y="0"/>
                          <a:ext cx="2951018" cy="2818015"/>
                        </a:xfrm>
                        <a:prstGeom prst="rect">
                          <a:avLst/>
                        </a:prstGeom>
                        <a:solidFill>
                          <a:schemeClr val="lt1"/>
                        </a:solidFill>
                        <a:ln w="6350">
                          <a:solidFill>
                            <a:prstClr val="black"/>
                          </a:solidFill>
                        </a:ln>
                      </wps:spPr>
                      <wps:txbx>
                        <w:txbxContent>
                          <w:p w14:paraId="18B4E619" w14:textId="27395775" w:rsidR="007553B2" w:rsidRDefault="007553B2" w:rsidP="007553B2">
                            <w:r>
                              <w:rPr>
                                <w:rFonts w:hint="eastAsia"/>
                              </w:rPr>
                              <w:t>Age Trend</w:t>
                            </w:r>
                            <w:r>
                              <w:rPr>
                                <w:rFonts w:hint="eastAsia"/>
                              </w:rPr>
                              <w:t xml:space="preserve"> Plot:</w:t>
                            </w:r>
                          </w:p>
                          <w:p w14:paraId="6EEC195B" w14:textId="24FB5DF6" w:rsidR="007553B2" w:rsidRDefault="007553B2" w:rsidP="007553B2">
                            <w:r>
                              <w:rPr>
                                <w:rFonts w:hint="eastAsia"/>
                              </w:rPr>
                              <w:t xml:space="preserve">Results for </w:t>
                            </w:r>
                            <w:r w:rsidR="001F7FE1" w:rsidRPr="001F7FE1">
                              <w:t>selected biomarker</w:t>
                            </w:r>
                            <w:r>
                              <w:rPr>
                                <w:rFonts w:hint="eastAsia"/>
                              </w:rPr>
                              <w:t>:</w:t>
                            </w:r>
                          </w:p>
                          <w:p w14:paraId="02A510FB" w14:textId="051AC042" w:rsidR="001F7FE1" w:rsidRDefault="001F7FE1" w:rsidP="001F7FE1">
                            <w:pPr>
                              <w:pStyle w:val="ListParagraph"/>
                              <w:numPr>
                                <w:ilvl w:val="0"/>
                                <w:numId w:val="4"/>
                              </w:numPr>
                            </w:pPr>
                            <w:r>
                              <w:t>CAH appears to have a higher systolic blood pressure value around age 60</w:t>
                            </w:r>
                          </w:p>
                          <w:p w14:paraId="118920AA" w14:textId="27C9078C" w:rsidR="001F7FE1" w:rsidRDefault="001F7FE1" w:rsidP="001F7FE1">
                            <w:pPr>
                              <w:pStyle w:val="ListParagraph"/>
                              <w:numPr>
                                <w:ilvl w:val="0"/>
                                <w:numId w:val="4"/>
                              </w:numPr>
                            </w:pPr>
                            <w:r>
                              <w:t>The trend plot supports comparison of age-related patterns between groups</w:t>
                            </w:r>
                          </w:p>
                          <w:p w14:paraId="54B6C511" w14:textId="08ECDCA1" w:rsidR="001F7FE1" w:rsidRDefault="001F7FE1" w:rsidP="001F7FE1">
                            <w:pPr>
                              <w:pStyle w:val="ListParagraph"/>
                              <w:numPr>
                                <w:ilvl w:val="0"/>
                                <w:numId w:val="4"/>
                              </w:numPr>
                            </w:pPr>
                            <w:r w:rsidRPr="001F7FE1">
                              <w:rPr>
                                <w:b/>
                                <w:bCs/>
                              </w:rPr>
                              <w:t>Hovering</w:t>
                            </w:r>
                            <w:r>
                              <w:t xml:space="preserve"> over the points provides more detailed values for exploration</w:t>
                            </w:r>
                          </w:p>
                          <w:p w14:paraId="4EC48974" w14:textId="7189C37E" w:rsidR="007553B2" w:rsidRDefault="007553B2" w:rsidP="001F7FE1">
                            <w:pPr>
                              <w:ind w:left="360"/>
                              <w:rPr>
                                <w:rFonts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64ACD" id="_x0000_s1029" type="#_x0000_t202" style="position:absolute;margin-left:298.45pt;margin-top:59.95pt;width:232.35pt;height:221.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" fillcolor="white [3201]" strokeweight=".5pt">
                <v:textbox>
                  <w:txbxContent>
                    <w:p w14:paraId="18B4E619" w14:textId="27395775" w:rsidR="007553B2" w:rsidRDefault="007553B2" w:rsidP="007553B2">
                      <w:r>
                        <w:rPr>
                          <w:rFonts w:hint="eastAsia"/>
                        </w:rPr>
                        <w:t>Age Trend</w:t>
                      </w:r>
                      <w:r>
                        <w:rPr>
                          <w:rFonts w:hint="eastAsia"/>
                        </w:rPr>
                        <w:t xml:space="preserve"> Plot:</w:t>
                      </w:r>
                    </w:p>
                    <w:p w14:paraId="6EEC195B" w14:textId="24FB5DF6" w:rsidR="007553B2" w:rsidRDefault="007553B2" w:rsidP="007553B2">
                      <w:r>
                        <w:rPr>
                          <w:rFonts w:hint="eastAsia"/>
                        </w:rPr>
                        <w:t xml:space="preserve">Results for </w:t>
                      </w:r>
                      <w:r w:rsidR="001F7FE1" w:rsidRPr="001F7FE1">
                        <w:t>selected biomarker</w:t>
                      </w:r>
                      <w:r>
                        <w:rPr>
                          <w:rFonts w:hint="eastAsia"/>
                        </w:rPr>
                        <w:t>:</w:t>
                      </w:r>
                    </w:p>
                    <w:p w14:paraId="02A510FB" w14:textId="051AC042" w:rsidR="001F7FE1" w:rsidRDefault="001F7FE1" w:rsidP="001F7FE1">
                      <w:pPr>
                        <w:pStyle w:val="ListParagraph"/>
                        <w:numPr>
                          <w:ilvl w:val="0"/>
                          <w:numId w:val="4"/>
                        </w:numPr>
                      </w:pPr>
                      <w:r>
                        <w:t>CAH appears to have a higher systolic blood pressure value around age 60</w:t>
                      </w:r>
                    </w:p>
                    <w:p w14:paraId="118920AA" w14:textId="27C9078C" w:rsidR="001F7FE1" w:rsidRDefault="001F7FE1" w:rsidP="001F7FE1">
                      <w:pPr>
                        <w:pStyle w:val="ListParagraph"/>
                        <w:numPr>
                          <w:ilvl w:val="0"/>
                          <w:numId w:val="4"/>
                        </w:numPr>
                      </w:pPr>
                      <w:r>
                        <w:t>The trend plot supports comparison of age-related patterns between groups</w:t>
                      </w:r>
                    </w:p>
                    <w:p w14:paraId="54B6C511" w14:textId="08ECDCA1" w:rsidR="001F7FE1" w:rsidRDefault="001F7FE1" w:rsidP="001F7FE1">
                      <w:pPr>
                        <w:pStyle w:val="ListParagraph"/>
                        <w:numPr>
                          <w:ilvl w:val="0"/>
                          <w:numId w:val="4"/>
                        </w:numPr>
                      </w:pPr>
                      <w:r w:rsidRPr="001F7FE1">
                        <w:rPr>
                          <w:b/>
                          <w:bCs/>
                        </w:rPr>
                        <w:t>Hovering</w:t>
                      </w:r>
                      <w:r>
                        <w:t xml:space="preserve"> over the points provides more detailed values for exploration</w:t>
                      </w:r>
                    </w:p>
                    <w:p w14:paraId="4EC48974" w14:textId="7189C37E" w:rsidR="007553B2" w:rsidRDefault="007553B2" w:rsidP="001F7FE1">
                      <w:pPr>
                        <w:ind w:left="360"/>
                        <w:rPr>
                          <w:rFonts w:hint="eastAsia"/>
                        </w:rPr>
                      </w:pPr>
                    </w:p>
                  </w:txbxContent>
                </v:textbox>
              </v:shape>
            </w:pict>
          </mc:Fallback>
        </mc:AlternateContent>
      </w:r>
      <w:r>
        <w:rPr>
          <w:rFonts w:hint="eastAsia"/>
          <w:noProof/>
        </w:rPr>
        <w:drawing>
          <wp:inline distT="0" distB="0" distL="0" distR="0" wp14:anchorId="2AA23468" wp14:editId="5DDCE298">
            <wp:extent cx="4843849" cy="3006458"/>
            <wp:effectExtent l="0" t="0" r="0" b="3810"/>
            <wp:docPr id="2005389182" name="Picture 10" descr="A graph of blood pressure chan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89182" name="Picture 10" descr="A graph of blood pressure chang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31456" cy="3060834"/>
                    </a:xfrm>
                    <a:prstGeom prst="rect">
                      <a:avLst/>
                    </a:prstGeom>
                  </pic:spPr>
                </pic:pic>
              </a:graphicData>
            </a:graphic>
          </wp:inline>
        </w:drawing>
      </w:r>
    </w:p>
    <w:p w14:paraId="4A0040C9" w14:textId="6693E139" w:rsidR="001F7FE1" w:rsidRPr="001F7FE1" w:rsidRDefault="001F7FE1" w:rsidP="001F7FE1">
      <w:pPr>
        <w:rPr>
          <w:rFonts w:ascii="Calibri" w:eastAsia="Times New Roman" w:hAnsi="Calibri" w:cs="Calibri" w:hint="eastAsia"/>
          <w:b/>
          <w:bCs/>
          <w:kern w:val="0"/>
          <w14:ligatures w14:val="none"/>
        </w:rPr>
      </w:pPr>
      <w:r w:rsidRPr="001F7FE1">
        <w:rPr>
          <w:rFonts w:ascii="Calibri" w:eastAsia="Times New Roman" w:hAnsi="Calibri" w:cs="Calibri"/>
          <w:b/>
          <w:bCs/>
          <w:kern w:val="0"/>
          <w14:ligatures w14:val="none"/>
        </w:rPr>
        <w:lastRenderedPageBreak/>
        <w:t>1. Why did you place the visualizations where you did?</w:t>
      </w:r>
    </w:p>
    <w:p w14:paraId="06C2351E" w14:textId="77777777" w:rsidR="001F7FE1" w:rsidRPr="001F7FE1" w:rsidRDefault="001F7FE1" w:rsidP="001F7FE1">
      <w:pPr>
        <w:rPr>
          <w:rFonts w:ascii="Calibri" w:eastAsia="Times New Roman" w:hAnsi="Calibri" w:cs="Calibri"/>
          <w:kern w:val="0"/>
          <w14:ligatures w14:val="none"/>
        </w:rPr>
      </w:pPr>
      <w:r w:rsidRPr="001F7FE1">
        <w:rPr>
          <w:rFonts w:ascii="Calibri" w:eastAsia="Times New Roman" w:hAnsi="Calibri" w:cs="Calibri"/>
          <w:kern w:val="0"/>
          <w14:ligatures w14:val="none"/>
        </w:rPr>
        <w:t>I placed the biomarker dropdown near the top so that viewers can immediately choose which cardiometabolic indicator they want to examine. I placed the main comparison boxplot in the upper left because it provides the most direct and simple overview of group differences between CAH patients and female referents. I placed a short results summary to the right of the plot so that viewers can quickly connect the visual pattern with the main takeaway. I then placed the age trend plot below to support a more detailed follow-up question about how systolic blood pressure changes across age, with its interpretation box also placed on the right for easy reference.</w:t>
      </w:r>
    </w:p>
    <w:p w14:paraId="637C680F" w14:textId="77777777" w:rsidR="001F7FE1" w:rsidRPr="001F7FE1" w:rsidRDefault="001F7FE1" w:rsidP="001F7FE1">
      <w:pPr>
        <w:rPr>
          <w:rFonts w:ascii="Calibri" w:eastAsia="Times New Roman" w:hAnsi="Calibri" w:cs="Calibri"/>
          <w:b/>
          <w:bCs/>
          <w:kern w:val="0"/>
          <w14:ligatures w14:val="none"/>
        </w:rPr>
      </w:pPr>
    </w:p>
    <w:p w14:paraId="3CD08DC2" w14:textId="5CA6D8BF" w:rsidR="001F7FE1" w:rsidRPr="001F7FE1" w:rsidRDefault="001F7FE1" w:rsidP="001F7FE1">
      <w:pPr>
        <w:rPr>
          <w:rFonts w:ascii="Calibri" w:eastAsia="Times New Roman" w:hAnsi="Calibri" w:cs="Calibri" w:hint="eastAsia"/>
          <w:b/>
          <w:bCs/>
          <w:kern w:val="0"/>
          <w14:ligatures w14:val="none"/>
        </w:rPr>
      </w:pPr>
      <w:r w:rsidRPr="001F7FE1">
        <w:rPr>
          <w:rFonts w:ascii="Calibri" w:eastAsia="Times New Roman" w:hAnsi="Calibri" w:cs="Calibri"/>
          <w:b/>
          <w:bCs/>
          <w:kern w:val="0"/>
          <w14:ligatures w14:val="none"/>
        </w:rPr>
        <w:t>2. How is System 1 thinking activated in your dashboard layout?</w:t>
      </w:r>
    </w:p>
    <w:p w14:paraId="1E7B175B" w14:textId="32489B12" w:rsidR="001F7FE1" w:rsidRPr="001F7FE1" w:rsidRDefault="001F7FE1" w:rsidP="001F7FE1">
      <w:pPr>
        <w:rPr>
          <w:rFonts w:ascii="Calibri" w:eastAsia="Times New Roman" w:hAnsi="Calibri" w:cs="Calibri"/>
          <w:b/>
          <w:bCs/>
          <w:kern w:val="0"/>
          <w14:ligatures w14:val="none"/>
        </w:rPr>
      </w:pPr>
      <w:r w:rsidRPr="001F7FE1">
        <w:rPr>
          <w:rFonts w:ascii="Calibri" w:eastAsia="Times New Roman" w:hAnsi="Calibri" w:cs="Calibri"/>
          <w:kern w:val="0"/>
          <w14:ligatures w14:val="none"/>
        </w:rPr>
        <w:t xml:space="preserve">System 1 thinking is activated by making the top of the dashboard simple, visually clear, and easy to understand </w:t>
      </w:r>
      <w:proofErr w:type="gramStart"/>
      <w:r w:rsidRPr="001F7FE1">
        <w:rPr>
          <w:rFonts w:ascii="Calibri" w:eastAsia="Times New Roman" w:hAnsi="Calibri" w:cs="Calibri"/>
          <w:kern w:val="0"/>
          <w14:ligatures w14:val="none"/>
        </w:rPr>
        <w:t>at a glance</w:t>
      </w:r>
      <w:proofErr w:type="gramEnd"/>
      <w:r w:rsidRPr="001F7FE1">
        <w:rPr>
          <w:rFonts w:ascii="Calibri" w:eastAsia="Times New Roman" w:hAnsi="Calibri" w:cs="Calibri"/>
          <w:kern w:val="0"/>
          <w14:ligatures w14:val="none"/>
        </w:rPr>
        <w:t>. The title and short guiding sentence introduce the story immediately, and the dropdown keeps the dashboard uncluttered by allowing the viewer to focus on one biomarker at a time. The main comparison plot is placed prominently near the top so that viewers can quickly form an intuitive impression of the group differences. The short text box beside the plot reinforces the main message without requiring the viewer to interpret every detail on their own.</w:t>
      </w:r>
    </w:p>
    <w:p w14:paraId="585AF54C" w14:textId="07D60323" w:rsidR="001F7FE1" w:rsidRPr="001F7FE1" w:rsidRDefault="001F7FE1" w:rsidP="001F7FE1">
      <w:pPr>
        <w:rPr>
          <w:rFonts w:ascii="Calibri" w:eastAsia="Times New Roman" w:hAnsi="Calibri" w:cs="Calibri" w:hint="eastAsia"/>
          <w:b/>
          <w:bCs/>
          <w:kern w:val="0"/>
          <w14:ligatures w14:val="none"/>
        </w:rPr>
      </w:pPr>
      <w:r w:rsidRPr="001F7FE1">
        <w:rPr>
          <w:rFonts w:ascii="Calibri" w:eastAsia="Times New Roman" w:hAnsi="Calibri" w:cs="Calibri"/>
          <w:b/>
          <w:bCs/>
          <w:kern w:val="0"/>
          <w14:ligatures w14:val="none"/>
        </w:rPr>
        <w:t>3. How will your dashboard enable System 2 thinking?</w:t>
      </w:r>
    </w:p>
    <w:p w14:paraId="3A5B691E" w14:textId="1D00F7B9" w:rsidR="001F7FE1" w:rsidRPr="001F7FE1" w:rsidRDefault="001F7FE1" w:rsidP="001F7FE1">
      <w:pPr>
        <w:rPr>
          <w:rFonts w:hint="eastAsia"/>
        </w:rPr>
      </w:pPr>
      <w:r w:rsidRPr="001F7FE1">
        <w:rPr>
          <w:rFonts w:ascii="Calibri" w:eastAsia="Times New Roman" w:hAnsi="Calibri" w:cs="Calibri"/>
          <w:kern w:val="0"/>
          <w14:ligatures w14:val="none"/>
        </w:rPr>
        <w:t>The dashboard supports System 2 thinking by allowing viewers to move from a simple overall comparison to a more detailed exploration of the data. The dropdown menu enables users to switch between SBP and HDL, which allows them to examine more than one biomarker without overcrowding the layout. The interactive hover features also support deeper exploration: in the main comparison plot, hovering over the mean marker reveals the group mean, median, and number of participants, while in the age trend plot, hovering over each point reveals age, mean systolic blood pressure, and the number of observations. These features encourage viewers to go beyond the first visual impression and examine the data more carefully.</w:t>
      </w:r>
    </w:p>
    <w:sectPr w:rsidR="001F7FE1" w:rsidRPr="001F7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0CF"/>
    <w:multiLevelType w:val="multilevel"/>
    <w:tmpl w:val="F84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024EF"/>
    <w:multiLevelType w:val="hybridMultilevel"/>
    <w:tmpl w:val="3D3A2F68"/>
    <w:lvl w:ilvl="0" w:tplc="AE16138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F478F"/>
    <w:multiLevelType w:val="hybridMultilevel"/>
    <w:tmpl w:val="1F321218"/>
    <w:lvl w:ilvl="0" w:tplc="BBCABA5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14332C"/>
    <w:multiLevelType w:val="hybridMultilevel"/>
    <w:tmpl w:val="DFB82664"/>
    <w:lvl w:ilvl="0" w:tplc="B0EA735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6728700">
    <w:abstractNumId w:val="1"/>
  </w:num>
  <w:num w:numId="2" w16cid:durableId="264197495">
    <w:abstractNumId w:val="0"/>
  </w:num>
  <w:num w:numId="3" w16cid:durableId="1216551459">
    <w:abstractNumId w:val="2"/>
  </w:num>
  <w:num w:numId="4" w16cid:durableId="827867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B2"/>
    <w:rsid w:val="000306A6"/>
    <w:rsid w:val="00030EAE"/>
    <w:rsid w:val="000448EF"/>
    <w:rsid w:val="000E41F0"/>
    <w:rsid w:val="001355AF"/>
    <w:rsid w:val="00143F86"/>
    <w:rsid w:val="00165168"/>
    <w:rsid w:val="001F7FE1"/>
    <w:rsid w:val="002261B3"/>
    <w:rsid w:val="00361536"/>
    <w:rsid w:val="00362F06"/>
    <w:rsid w:val="00425CD4"/>
    <w:rsid w:val="004E4A13"/>
    <w:rsid w:val="00581353"/>
    <w:rsid w:val="005E6BE2"/>
    <w:rsid w:val="005F0313"/>
    <w:rsid w:val="005F15FC"/>
    <w:rsid w:val="00624F9B"/>
    <w:rsid w:val="00653EEB"/>
    <w:rsid w:val="00663E35"/>
    <w:rsid w:val="007246C3"/>
    <w:rsid w:val="00744A6A"/>
    <w:rsid w:val="0074781C"/>
    <w:rsid w:val="007553B2"/>
    <w:rsid w:val="007949C4"/>
    <w:rsid w:val="007A4535"/>
    <w:rsid w:val="00826799"/>
    <w:rsid w:val="00843410"/>
    <w:rsid w:val="008E3FB2"/>
    <w:rsid w:val="008F7A3C"/>
    <w:rsid w:val="00941D19"/>
    <w:rsid w:val="00A25E0B"/>
    <w:rsid w:val="00A55FBD"/>
    <w:rsid w:val="00A97403"/>
    <w:rsid w:val="00AB47AE"/>
    <w:rsid w:val="00AE7F1C"/>
    <w:rsid w:val="00B3525E"/>
    <w:rsid w:val="00B45546"/>
    <w:rsid w:val="00BB7CF0"/>
    <w:rsid w:val="00C27412"/>
    <w:rsid w:val="00CB28A5"/>
    <w:rsid w:val="00CD0035"/>
    <w:rsid w:val="00D052BD"/>
    <w:rsid w:val="00D23693"/>
    <w:rsid w:val="00DB5C6C"/>
    <w:rsid w:val="00DC2B98"/>
    <w:rsid w:val="00DF699A"/>
    <w:rsid w:val="00E01110"/>
    <w:rsid w:val="00E75F8A"/>
    <w:rsid w:val="00EB70DC"/>
    <w:rsid w:val="00F91683"/>
    <w:rsid w:val="00F91F94"/>
    <w:rsid w:val="00FB237B"/>
    <w:rsid w:val="00FD5669"/>
    <w:rsid w:val="00FF0058"/>
    <w:rsid w:val="00FF0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F3388"/>
  <w15:chartTrackingRefBased/>
  <w15:docId w15:val="{38439B5F-D40A-594E-8885-98365FD4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5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5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3B2"/>
    <w:rPr>
      <w:rFonts w:eastAsiaTheme="majorEastAsia" w:cstheme="majorBidi"/>
      <w:color w:val="272727" w:themeColor="text1" w:themeTint="D8"/>
    </w:rPr>
  </w:style>
  <w:style w:type="paragraph" w:styleId="Title">
    <w:name w:val="Title"/>
    <w:basedOn w:val="Normal"/>
    <w:next w:val="Normal"/>
    <w:link w:val="TitleChar"/>
    <w:uiPriority w:val="10"/>
    <w:qFormat/>
    <w:rsid w:val="00755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3B2"/>
    <w:pPr>
      <w:spacing w:before="160"/>
      <w:jc w:val="center"/>
    </w:pPr>
    <w:rPr>
      <w:i/>
      <w:iCs/>
      <w:color w:val="404040" w:themeColor="text1" w:themeTint="BF"/>
    </w:rPr>
  </w:style>
  <w:style w:type="character" w:customStyle="1" w:styleId="QuoteChar">
    <w:name w:val="Quote Char"/>
    <w:basedOn w:val="DefaultParagraphFont"/>
    <w:link w:val="Quote"/>
    <w:uiPriority w:val="29"/>
    <w:rsid w:val="007553B2"/>
    <w:rPr>
      <w:i/>
      <w:iCs/>
      <w:color w:val="404040" w:themeColor="text1" w:themeTint="BF"/>
    </w:rPr>
  </w:style>
  <w:style w:type="paragraph" w:styleId="ListParagraph">
    <w:name w:val="List Paragraph"/>
    <w:basedOn w:val="Normal"/>
    <w:uiPriority w:val="34"/>
    <w:qFormat/>
    <w:rsid w:val="007553B2"/>
    <w:pPr>
      <w:ind w:left="720"/>
      <w:contextualSpacing/>
    </w:pPr>
  </w:style>
  <w:style w:type="character" w:styleId="IntenseEmphasis">
    <w:name w:val="Intense Emphasis"/>
    <w:basedOn w:val="DefaultParagraphFont"/>
    <w:uiPriority w:val="21"/>
    <w:qFormat/>
    <w:rsid w:val="007553B2"/>
    <w:rPr>
      <w:i/>
      <w:iCs/>
      <w:color w:val="0F4761" w:themeColor="accent1" w:themeShade="BF"/>
    </w:rPr>
  </w:style>
  <w:style w:type="paragraph" w:styleId="IntenseQuote">
    <w:name w:val="Intense Quote"/>
    <w:basedOn w:val="Normal"/>
    <w:next w:val="Normal"/>
    <w:link w:val="IntenseQuoteChar"/>
    <w:uiPriority w:val="30"/>
    <w:qFormat/>
    <w:rsid w:val="00755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3B2"/>
    <w:rPr>
      <w:i/>
      <w:iCs/>
      <w:color w:val="0F4761" w:themeColor="accent1" w:themeShade="BF"/>
    </w:rPr>
  </w:style>
  <w:style w:type="character" w:styleId="IntenseReference">
    <w:name w:val="Intense Reference"/>
    <w:basedOn w:val="DefaultParagraphFont"/>
    <w:uiPriority w:val="32"/>
    <w:qFormat/>
    <w:rsid w:val="007553B2"/>
    <w:rPr>
      <w:b/>
      <w:bCs/>
      <w:smallCaps/>
      <w:color w:val="0F4761" w:themeColor="accent1" w:themeShade="BF"/>
      <w:spacing w:val="5"/>
    </w:rPr>
  </w:style>
  <w:style w:type="paragraph" w:customStyle="1" w:styleId="p2">
    <w:name w:val="p2"/>
    <w:basedOn w:val="Normal"/>
    <w:rsid w:val="001F7F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F7F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1F7F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311</Words>
  <Characters>2086</Characters>
  <Application>Microsoft Office Word</Application>
  <DocSecurity>0</DocSecurity>
  <Lines>41</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 Zihan</dc:creator>
  <cp:keywords/>
  <dc:description/>
  <cp:lastModifiedBy>Guo, Zihan</cp:lastModifiedBy>
  <cp:revision>1</cp:revision>
  <dcterms:created xsi:type="dcterms:W3CDTF">2026-03-16T23:17:00Z</dcterms:created>
  <dcterms:modified xsi:type="dcterms:W3CDTF">2026-03-16T23:36:00Z</dcterms:modified>
</cp:coreProperties>
</file>