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将军与抽奖</w:t>
      </w:r>
    </w:p>
    <w:p>
      <w:pPr>
        <w:pStyle w:val="FirstParagraph"/>
        <w:rPr/>
      </w:pPr>
      <w:bookmarkStart w:id="0" w:name="title-block-header"/>
      <w:bookmarkStart w:id="1" w:name="将军与抽奖"/>
      <w:bookmarkStart w:id="2" w:name="wrapper"/>
      <w:bookmarkEnd w:id="0"/>
      <w:bookmarkEnd w:id="1"/>
      <w:r>
        <w:rPr/>
        <w:t>自从上次看过电影梅吉的心头似乎稍稍的看到一丝亮光，这让他对周遭的沮丧和不如意稍显宽慰。</w:t>
      </w:r>
      <w:r>
        <w:rPr/>
        <w:t>tedddy</w:t>
      </w:r>
      <w:r>
        <w:rPr/>
        <w:t>的遭遇让他相信对生活的以外与不如意还是有些补救与改变的机会。</w:t>
      </w:r>
    </w:p>
    <w:p>
      <w:pPr>
        <w:pStyle w:val="TextBody"/>
        <w:rPr/>
      </w:pPr>
      <w:r>
        <w:rPr/>
        <w:t>在一个盛夏暴晒的日子梅吉来到了国家图书馆，这里宽松的阅读环境，凉爽的空调似乎成了他夏日避暑的必到之地。位于二层的自然科学书籍阅览室是他每每光顾的地方。</w:t>
      </w:r>
    </w:p>
    <w:p>
      <w:pPr>
        <w:pStyle w:val="TextBody"/>
        <w:rPr/>
      </w:pPr>
      <w:r>
        <w:rPr/>
        <w:t>每个时代是什么左右了人们思想，每个时代的人们有着各自的思考。好像在牛顿之后的那个时代，人们对于数学天文有了更多的期待，随之而来的是蒸汽机，工业革命的进步，而到了达尔文时代人们又对自身的起源有了新的认识，从而对家庭、家族、的繁衍生息有了更多的认识与期待。而当代随着量子力学领域的突破，人工智能、大数据的引入人们对生活的有有了更多的思考，虽然这几年人类经历了新的疫情挑战。但是新技术新科技的应用让人们似乎相对过往更加迅速的克服了困境，从而依然对生活充满了期望。</w:t>
      </w:r>
    </w:p>
    <w:p>
      <w:pPr>
        <w:pStyle w:val="Heading3"/>
        <w:rPr/>
      </w:pPr>
      <w:bookmarkStart w:id="3" w:name="硬币与命运wangjinwei2019"/>
      <w:r>
        <w:rPr/>
        <w:t>硬币与命运</w:t>
      </w:r>
      <w:r>
        <w:rPr>
          <w:vertAlign w:val="superscript"/>
        </w:rPr>
        <w:t>[1]</w:t>
      </w:r>
    </w:p>
    <w:p>
      <w:pPr>
        <w:pStyle w:val="FirstParagraph"/>
        <w:rPr/>
      </w:pPr>
      <w:r>
        <w:rPr/>
        <w:t>所以梅吉快速的找到了自己想要读的一本量子理论科普书籍，经过几个小时的阅读。让他头脑又变得膨胀。好在书中一个关于硬币与命运的故事让他过目不忘。故事是这样的：据说在一场重要的战争中，一位将军决定要发动进攻。虽然他的军队在人数上完全不占优势，但他依然坚信能够赢得胜利，不过他的士兵却对此表示怀疑。</w:t>
      </w:r>
    </w:p>
    <w:p>
      <w:pPr>
        <w:pStyle w:val="TextBody"/>
        <w:rPr/>
      </w:pPr>
      <w:r>
        <w:rPr/>
        <w:t>在上战场的途中，他们路过一座神庙。将军和军队一起停下来祈祷。然后拿出一枚硬币大声说：“现在我抛起这枚硬币，如果正面朝上，就说明我们能胜利；如果反面朝上，就说明我们会失败。命运即将揭晓。” 说着将军将硬币抛向空中，所有人都焦虑地注释着，硬币落下来是正面。看到这个结果，士兵们立马士气大振，充满了必胜的信心。他们奋勇作战，最终打败了敌人，赢得了胜利。</w:t>
      </w:r>
    </w:p>
    <w:p>
      <w:pPr>
        <w:pStyle w:val="TextBody"/>
        <w:rPr/>
      </w:pPr>
      <w:r>
        <w:rPr/>
        <w:t xml:space="preserve">战斗结束后，一个中尉对将军说：“没有人可以改变命运。” “完全正确！”将军一边回答，一边给中尉看了他的硬币：两面的图案是一样的正面。 这则寓言告诉我们的是，在量子世界中，我们不能选择那种可能性坍缩 </w:t>
      </w:r>
      <w:r>
        <w:rPr/>
        <w:t>;</w:t>
      </w:r>
      <w:r>
        <w:rPr/>
        <w:t>但在人类行为中，态度总是处于能力之上，而人才是命运的主宰。</w:t>
      </w:r>
    </w:p>
    <w:p>
      <w:pPr>
        <w:pStyle w:val="TextBody"/>
        <w:rPr/>
      </w:pPr>
      <w:r>
        <w:rPr/>
        <w:t>在图书馆经过短暂的充电，梅突然想让侦探</w:t>
      </w:r>
      <w:r>
        <w:rPr/>
        <w:t>teddy</w:t>
      </w:r>
      <w:r>
        <w:rPr/>
        <w:t>从他（曾经的程序员）的角度来讲讲期待对于生活甚至命运的影响。在经过</w:t>
      </w:r>
      <w:r>
        <w:rPr/>
        <w:t>email</w:t>
      </w:r>
      <w:r>
        <w:rPr/>
        <w:t>沟通后，果然没过多久</w:t>
      </w:r>
      <w:r>
        <w:rPr/>
        <w:t>teddy</w:t>
      </w:r>
      <w:r>
        <w:rPr/>
        <w:t>发来了他关于期待（望）在日常生活中的应用的文章。</w:t>
      </w:r>
      <w:bookmarkEnd w:id="3"/>
    </w:p>
    <w:p>
      <w:pPr>
        <w:pStyle w:val="Heading3"/>
        <w:rPr/>
      </w:pPr>
      <w:bookmarkStart w:id="4" w:name="抽奖问题zotero-46"/>
      <w:r>
        <w:rPr/>
        <w:t>抽奖问题</w:t>
      </w:r>
      <w:r>
        <w:rPr>
          <w:vertAlign w:val="superscript"/>
        </w:rPr>
        <w:t>[2]</w:t>
      </w:r>
    </w:p>
    <w:p>
      <w:pPr>
        <w:pStyle w:val="FirstParagraph"/>
        <w:rPr/>
      </w:pPr>
      <w:r>
        <w:rPr/>
        <w:t>假设某百货超市现有一批快到期的日用产品急需处理，超市老板设计了免费抽奖活动来处理掉了这些商品。纸箱中装有大小相同的</w:t>
      </w:r>
      <w:r>
        <w:rPr/>
        <w:t>20</w:t>
      </w:r>
      <w:r>
        <w:rPr/>
        <w:t>个球，</w:t>
      </w:r>
      <w:r>
        <w:rPr/>
        <w:t>10</w:t>
      </w:r>
      <w:r>
        <w:rPr/>
        <w:t>个</w:t>
      </w:r>
      <w:r>
        <w:rPr/>
        <w:t>10</w:t>
      </w:r>
      <w:r>
        <w:rPr/>
        <w:t>分，</w:t>
      </w:r>
      <w:r>
        <w:rPr/>
        <w:t>10</w:t>
      </w:r>
      <w:r>
        <w:rPr/>
        <w:t>个</w:t>
      </w:r>
      <w:r>
        <w:rPr/>
        <w:t>5</w:t>
      </w:r>
      <w:r>
        <w:rPr/>
        <w:t>分，从中摸出</w:t>
      </w:r>
      <w:r>
        <w:rPr/>
        <w:t>10</w:t>
      </w:r>
      <w:r>
        <w:rPr/>
        <w:t>个球，摸出的</w:t>
      </w:r>
      <w:r>
        <w:rPr/>
        <w:t>10</w:t>
      </w:r>
      <w:r>
        <w:rPr/>
        <w:t>个球的分数之和即为中奖分数，获奖如下：</w:t>
      </w:r>
    </w:p>
    <w:p>
      <w:pPr>
        <w:pStyle w:val="TextBody"/>
        <w:rPr/>
      </w:pPr>
      <w:r>
        <w:rPr/>
        <w:t xml:space="preserve">一等奖 </w:t>
      </w:r>
      <w:r>
        <w:rPr/>
        <w:t>100</w:t>
      </w:r>
      <w:r>
        <w:rPr/>
        <w:t>分，冰柜一个，价值</w:t>
      </w:r>
      <w:r>
        <w:rPr/>
        <w:t>2500</w:t>
      </w:r>
      <w:r>
        <w:rPr/>
        <w:t>元；</w:t>
      </w:r>
    </w:p>
    <w:p>
      <w:pPr>
        <w:pStyle w:val="TextBody"/>
        <w:rPr/>
      </w:pPr>
      <w:r>
        <w:rPr/>
        <w:t xml:space="preserve">二等奖 </w:t>
      </w:r>
      <w:r>
        <w:rPr/>
        <w:t>50</w:t>
      </w:r>
      <w:r>
        <w:rPr/>
        <w:t>分， 电视机一个，价值</w:t>
      </w:r>
      <w:r>
        <w:rPr/>
        <w:t>1000</w:t>
      </w:r>
      <w:r>
        <w:rPr/>
        <w:t>元；</w:t>
      </w:r>
    </w:p>
    <w:p>
      <w:pPr>
        <w:pStyle w:val="TextBody"/>
        <w:rPr/>
      </w:pPr>
      <w:r>
        <w:rPr/>
        <w:t xml:space="preserve">三等奖 </w:t>
      </w:r>
      <w:r>
        <w:rPr/>
        <w:t>95</w:t>
      </w:r>
      <w:r>
        <w:rPr/>
        <w:t>分， 洗发液</w:t>
      </w:r>
      <w:r>
        <w:rPr/>
        <w:t>8</w:t>
      </w:r>
      <w:r>
        <w:rPr/>
        <w:t>瓶，价值</w:t>
      </w:r>
      <w:r>
        <w:rPr/>
        <w:t>176</w:t>
      </w:r>
      <w:r>
        <w:rPr/>
        <w:t>元；</w:t>
      </w:r>
    </w:p>
    <w:p>
      <w:pPr>
        <w:pStyle w:val="TextBody"/>
        <w:rPr/>
      </w:pPr>
      <w:r>
        <w:rPr/>
        <w:t xml:space="preserve">四等奖 </w:t>
      </w:r>
      <w:r>
        <w:rPr/>
        <w:t>55</w:t>
      </w:r>
      <w:r>
        <w:rPr/>
        <w:t>分， 洗发液</w:t>
      </w:r>
      <w:r>
        <w:rPr/>
        <w:t>4</w:t>
      </w:r>
      <w:r>
        <w:rPr/>
        <w:t>瓶，价值</w:t>
      </w:r>
      <w:r>
        <w:rPr/>
        <w:t>88</w:t>
      </w:r>
      <w:r>
        <w:rPr/>
        <w:t>元；</w:t>
      </w:r>
    </w:p>
    <w:p>
      <w:pPr>
        <w:pStyle w:val="TextBody"/>
        <w:rPr/>
      </w:pPr>
      <w:r>
        <w:rPr/>
        <w:t xml:space="preserve">五等奖 </w:t>
      </w:r>
      <w:r>
        <w:rPr/>
        <w:t>60</w:t>
      </w:r>
      <w:r>
        <w:rPr/>
        <w:t>分， 洗发液</w:t>
      </w:r>
      <w:r>
        <w:rPr/>
        <w:t>2</w:t>
      </w:r>
      <w:r>
        <w:rPr/>
        <w:t>瓶，价值</w:t>
      </w:r>
      <w:r>
        <w:rPr/>
        <w:t>44</w:t>
      </w:r>
      <w:r>
        <w:rPr/>
        <w:t>元；</w:t>
      </w:r>
    </w:p>
    <w:p>
      <w:pPr>
        <w:pStyle w:val="TextBody"/>
        <w:rPr/>
      </w:pPr>
      <w:r>
        <w:rPr/>
        <w:t xml:space="preserve">六等奖 </w:t>
      </w:r>
      <w:r>
        <w:rPr/>
        <w:t>65</w:t>
      </w:r>
      <w:r>
        <w:rPr/>
        <w:t>分， 牙膏一盒， 价值</w:t>
      </w:r>
      <w:r>
        <w:rPr/>
        <w:t>8</w:t>
      </w:r>
      <w:r>
        <w:rPr/>
        <w:t>元；</w:t>
      </w:r>
    </w:p>
    <w:p>
      <w:pPr>
        <w:pStyle w:val="TextBody"/>
        <w:rPr/>
      </w:pPr>
      <w:r>
        <w:rPr/>
        <w:t xml:space="preserve">七等奖 </w:t>
      </w:r>
      <w:r>
        <w:rPr/>
        <w:t>70</w:t>
      </w:r>
      <w:r>
        <w:rPr/>
        <w:t>分， 洗衣粉一袋，价值</w:t>
      </w:r>
      <w:r>
        <w:rPr/>
        <w:t>5</w:t>
      </w:r>
      <w:r>
        <w:rPr/>
        <w:t>元；</w:t>
      </w:r>
    </w:p>
    <w:p>
      <w:pPr>
        <w:pStyle w:val="TextBody"/>
        <w:rPr/>
      </w:pPr>
      <w:r>
        <w:rPr/>
        <w:t xml:space="preserve">八等奖 </w:t>
      </w:r>
      <w:r>
        <w:rPr/>
        <w:t>85</w:t>
      </w:r>
      <w:r>
        <w:rPr/>
        <w:t>分， 香皂一块， 价值</w:t>
      </w:r>
      <w:r>
        <w:rPr/>
        <w:t>3</w:t>
      </w:r>
      <w:r>
        <w:rPr/>
        <w:t>元；</w:t>
      </w:r>
    </w:p>
    <w:p>
      <w:pPr>
        <w:pStyle w:val="TextBody"/>
        <w:rPr/>
      </w:pPr>
      <w:r>
        <w:rPr/>
        <w:t xml:space="preserve">九等奖 </w:t>
      </w:r>
      <w:r>
        <w:rPr/>
        <w:t>90</w:t>
      </w:r>
      <w:r>
        <w:rPr/>
        <w:t>分， 牙刷一把， 价值</w:t>
      </w:r>
      <w:r>
        <w:rPr/>
        <w:t>2</w:t>
      </w:r>
      <w:r>
        <w:rPr/>
        <w:t>元；</w:t>
      </w:r>
    </w:p>
    <w:p>
      <w:pPr>
        <w:pStyle w:val="TextBody"/>
        <w:rPr/>
      </w:pPr>
      <w:r>
        <w:rPr/>
        <w:t xml:space="preserve">十等奖 </w:t>
      </w:r>
      <w:r>
        <w:rPr/>
        <w:t>75</w:t>
      </w:r>
      <w:r>
        <w:rPr/>
        <w:t>分与</w:t>
      </w:r>
      <w:r>
        <w:rPr/>
        <w:t>80</w:t>
      </w:r>
      <w:r>
        <w:rPr/>
        <w:t>分为优惠奖，只収成本价</w:t>
      </w:r>
      <w:r>
        <w:rPr/>
        <w:t>22</w:t>
      </w:r>
      <w:r>
        <w:rPr/>
        <w:t>元，将获得洗发液一瓶；</w:t>
      </w:r>
    </w:p>
    <w:p>
      <w:pPr>
        <w:pStyle w:val="TextBody"/>
        <w:rPr/>
      </w:pPr>
      <w:r>
        <w:rPr/>
        <w:t>根据离散量数学期望公式：</w:t>
      </w:r>
    </w:p>
    <w:p>
      <w:pPr>
        <w:pStyle w:val="TextBody"/>
        <w:jc w:val="center"/>
        <w:rPr/>
      </w:pPr>
      <w:r>
        <w:rPr/>
      </w:r>
      <m:oMathPara xmlns:m="http://schemas.openxmlformats.org/officeDocument/2006/math">
        <m:oMathParaPr>
          <m:jc m:val="center"/>
        </m:oMathParaPr>
        <m:oMath>
          <m:r>
            <w:rPr>
              <w:rFonts w:ascii="Cambria Math" w:hAnsi="Cambria Math"/>
            </w:rPr>
            <m:t xml:space="preserve">ϵ</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t>
              </m:r>
            </m:sup>
            <m:e>
              <m:sSub>
                <m:e>
                  <m:r>
                    <w:rPr>
                      <w:rFonts w:ascii="Cambria Math" w:hAnsi="Cambria Math"/>
                    </w:rPr>
                    <m:t xml:space="preserve">x</m:t>
                  </m:r>
                </m:e>
                <m:sub>
                  <m:r>
                    <w:rPr>
                      <w:rFonts w:ascii="Cambria Math" w:hAnsi="Cambria Math"/>
                    </w:rPr>
                    <m:t xml:space="preserve">k</m:t>
                  </m:r>
                </m:sub>
              </m:sSub>
            </m:e>
          </m:nary>
          <m:sSub>
            <m:e>
              <m:r>
                <w:rPr>
                  <w:rFonts w:ascii="Cambria Math" w:hAnsi="Cambria Math"/>
                </w:rPr>
                <m:t xml:space="preserve">p</m:t>
              </m:r>
            </m:e>
            <m:sub>
              <m:r>
                <w:rPr>
                  <w:rFonts w:ascii="Cambria Math" w:hAnsi="Cambria Math"/>
                </w:rPr>
                <m:t xml:space="preserve">k</m:t>
              </m:r>
            </m:sub>
          </m:sSub>
        </m:oMath>
      </m:oMathPara>
    </w:p>
    <w:tbl>
      <w:tblPr>
        <w:tblStyle w:val="Table"/>
        <w:tblW w:w="7920" w:type="dxa"/>
        <w:jc w:val="left"/>
        <w:tblInd w:w="0" w:type="dxa"/>
        <w:tblLayout w:type="fixed"/>
        <w:tblCellMar>
          <w:top w:w="0" w:type="dxa"/>
          <w:left w:w="108" w:type="dxa"/>
          <w:bottom w:w="0" w:type="dxa"/>
          <w:right w:w="108" w:type="dxa"/>
        </w:tblCellMar>
        <w:tblLook w:val="0020" w:noHBand="0" w:lastColumn="0" w:noVBand="0" w:firstColumn="0" w:lastRow="0" w:firstRow="1"/>
      </w:tblPr>
      <w:tblGrid>
        <w:gridCol w:w="1320"/>
        <w:gridCol w:w="1319"/>
        <w:gridCol w:w="1321"/>
        <w:gridCol w:w="1320"/>
        <w:gridCol w:w="1319"/>
        <w:gridCol w:w="1320"/>
      </w:tblGrid>
      <w:tr>
        <w:trPr>
          <w:tblHeader w:val="true"/>
        </w:trPr>
        <w:tc>
          <w:tcPr>
            <w:tcW w:w="13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k</m:t>
                </m:r>
              </m:oMath>
            </m:oMathPara>
          </w:p>
        </w:tc>
        <w:tc>
          <w:tcPr>
            <w:tcW w:w="1319"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3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19"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c</m:t>
                </m:r>
                <m:r>
                  <w:rPr>
                    <w:rFonts w:ascii="Cambria Math" w:hAnsi="Cambria Math"/>
                  </w:rPr>
                  <m:t xml:space="preserve">o</m:t>
                </m:r>
                <m:r>
                  <w:rPr>
                    <w:rFonts w:ascii="Cambria Math" w:hAnsi="Cambria Math"/>
                  </w:rPr>
                  <m:t xml:space="preserve">r</m:t>
                </m:r>
                <m:r>
                  <w:rPr>
                    <w:rFonts w:ascii="Cambria Math" w:hAnsi="Cambria Math"/>
                  </w:rPr>
                  <m:t xml:space="preserve">e</m:t>
                </m:r>
              </m:oMath>
            </m:oMathPara>
          </w:p>
        </w:tc>
        <w:tc>
          <w:tcPr>
            <w:tcW w:w="1319"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100</m:t>
                </m:r>
              </m:oMath>
            </m:oMathPara>
          </w:p>
        </w:tc>
        <w:tc>
          <w:tcPr>
            <w:tcW w:w="1321"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50</m:t>
                </m:r>
              </m:oMath>
            </m:oMathPara>
          </w:p>
        </w:tc>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95</m:t>
                </m:r>
              </m:oMath>
            </m:oMathPara>
          </w:p>
        </w:tc>
        <w:tc>
          <w:tcPr>
            <w:tcW w:w="1319"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55</m:t>
                </m:r>
              </m:oMath>
            </m:oMathPara>
          </w:p>
        </w:tc>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60</m:t>
                </m:r>
              </m:oMath>
            </m:oMathPara>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k</m:t>
                    </m:r>
                  </m:sub>
                </m:sSub>
              </m:oMath>
            </m:oMathPara>
          </w:p>
        </w:tc>
        <w:tc>
          <w:tcPr>
            <w:tcW w:w="1319"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5.4</m:t>
                </m:r>
                <m:r>
                  <w:rPr>
                    <w:rFonts w:ascii="Cambria Math" w:hAnsi="Cambria Math"/>
                  </w:rPr>
                  <m:t xml:space="preserve">e</m:t>
                </m:r>
                <m:r>
                  <w:rPr>
                    <w:rFonts w:ascii="Cambria Math" w:hAnsi="Cambria Math"/>
                  </w:rPr>
                  <m:t xml:space="preserve">−</m:t>
                </m:r>
                <m:r>
                  <w:rPr>
                    <w:rFonts w:ascii="Cambria Math" w:hAnsi="Cambria Math"/>
                  </w:rPr>
                  <m:t xml:space="preserve">6</m:t>
                </m:r>
              </m:oMath>
            </m:oMathPara>
          </w:p>
        </w:tc>
        <w:tc>
          <w:tcPr>
            <w:tcW w:w="1321"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5.4</m:t>
                </m:r>
                <m:r>
                  <w:rPr>
                    <w:rFonts w:ascii="Cambria Math" w:hAnsi="Cambria Math"/>
                  </w:rPr>
                  <m:t xml:space="preserve">e</m:t>
                </m:r>
                <m:r>
                  <w:rPr>
                    <w:rFonts w:ascii="Cambria Math" w:hAnsi="Cambria Math"/>
                  </w:rPr>
                  <m:t xml:space="preserve">−</m:t>
                </m:r>
                <m:r>
                  <w:rPr>
                    <w:rFonts w:ascii="Cambria Math" w:hAnsi="Cambria Math"/>
                  </w:rPr>
                  <m:t xml:space="preserve">6</m:t>
                </m:r>
              </m:oMath>
            </m:oMathPara>
          </w:p>
        </w:tc>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5.4</m:t>
                </m:r>
                <m:r>
                  <w:rPr>
                    <w:rFonts w:ascii="Cambria Math" w:hAnsi="Cambria Math"/>
                  </w:rPr>
                  <m:t xml:space="preserve">e</m:t>
                </m:r>
                <m:r>
                  <w:rPr>
                    <w:rFonts w:ascii="Cambria Math" w:hAnsi="Cambria Math"/>
                  </w:rPr>
                  <m:t xml:space="preserve">−</m:t>
                </m:r>
                <m:r>
                  <w:rPr>
                    <w:rFonts w:ascii="Cambria Math" w:hAnsi="Cambria Math"/>
                  </w:rPr>
                  <m:t xml:space="preserve">4</m:t>
                </m:r>
              </m:oMath>
            </m:oMathPara>
          </w:p>
        </w:tc>
        <w:tc>
          <w:tcPr>
            <w:tcW w:w="1319"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5.4</m:t>
                </m:r>
                <m:r>
                  <w:rPr>
                    <w:rFonts w:ascii="Cambria Math" w:hAnsi="Cambria Math"/>
                  </w:rPr>
                  <m:t xml:space="preserve">e</m:t>
                </m:r>
                <m:r>
                  <w:rPr>
                    <w:rFonts w:ascii="Cambria Math" w:hAnsi="Cambria Math"/>
                  </w:rPr>
                  <m:t xml:space="preserve">−</m:t>
                </m:r>
                <m:r>
                  <w:rPr>
                    <w:rFonts w:ascii="Cambria Math" w:hAnsi="Cambria Math"/>
                  </w:rPr>
                  <m:t xml:space="preserve">4</m:t>
                </m:r>
              </m:oMath>
            </m:oMathPara>
          </w:p>
        </w:tc>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1.1</m:t>
                </m:r>
                <m:r>
                  <w:rPr>
                    <w:rFonts w:ascii="Cambria Math" w:hAnsi="Cambria Math"/>
                  </w:rPr>
                  <m:t xml:space="preserve">e</m:t>
                </m:r>
                <m:r>
                  <w:rPr>
                    <w:rFonts w:ascii="Cambria Math" w:hAnsi="Cambria Math"/>
                  </w:rPr>
                  <m:t xml:space="preserve">−</m:t>
                </m:r>
                <m:r>
                  <w:rPr>
                    <w:rFonts w:ascii="Cambria Math" w:hAnsi="Cambria Math"/>
                  </w:rPr>
                  <m:t xml:space="preserve">2</m:t>
                </m:r>
              </m:oMath>
            </m:oMathPara>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k</m:t>
                    </m:r>
                  </m:sub>
                </m:sSub>
              </m:oMath>
            </m:oMathPara>
          </w:p>
        </w:tc>
        <w:tc>
          <w:tcPr>
            <w:tcW w:w="1319"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2500</m:t>
                </m:r>
              </m:oMath>
            </m:oMathPara>
          </w:p>
        </w:tc>
        <w:tc>
          <w:tcPr>
            <w:tcW w:w="1321"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1000</m:t>
                </m:r>
              </m:oMath>
            </m:oMathPara>
          </w:p>
        </w:tc>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176</m:t>
                </m:r>
              </m:oMath>
            </m:oMathPara>
          </w:p>
        </w:tc>
        <w:tc>
          <w:tcPr>
            <w:tcW w:w="1319"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88</m:t>
                </m:r>
              </m:oMath>
            </m:oMathPara>
          </w:p>
        </w:tc>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44</m:t>
                </m:r>
              </m:oMath>
            </m:oMathPara>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sSub>
                  <m:e>
                    <m:r>
                      <w:rPr>
                        <w:rFonts w:ascii="Cambria Math" w:hAnsi="Cambria Math"/>
                      </w:rPr>
                      <m:t xml:space="preserve">ϵ</m:t>
                    </m:r>
                  </m:e>
                  <m:sub>
                    <m:r>
                      <w:rPr>
                        <w:rFonts w:ascii="Cambria Math" w:hAnsi="Cambria Math"/>
                      </w:rPr>
                      <m:t xml:space="preserve">k</m:t>
                    </m:r>
                  </m:sub>
                </m:sSub>
              </m:oMath>
            </m:oMathPara>
          </w:p>
        </w:tc>
        <w:tc>
          <w:tcPr>
            <w:tcW w:w="1319"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1.35</m:t>
                </m:r>
                <m:r>
                  <w:rPr>
                    <w:rFonts w:ascii="Cambria Math" w:hAnsi="Cambria Math"/>
                  </w:rPr>
                  <m:t xml:space="preserve">e</m:t>
                </m:r>
                <m:r>
                  <w:rPr>
                    <w:rFonts w:ascii="Cambria Math" w:hAnsi="Cambria Math"/>
                  </w:rPr>
                  <m:t xml:space="preserve">−</m:t>
                </m:r>
                <m:r>
                  <w:rPr>
                    <w:rFonts w:ascii="Cambria Math" w:hAnsi="Cambria Math"/>
                  </w:rPr>
                  <m:t xml:space="preserve">2</m:t>
                </m:r>
              </m:oMath>
            </m:oMathPara>
          </w:p>
        </w:tc>
        <w:tc>
          <w:tcPr>
            <w:tcW w:w="1321"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5.4</m:t>
                </m:r>
                <m:r>
                  <w:rPr>
                    <w:rFonts w:ascii="Cambria Math" w:hAnsi="Cambria Math"/>
                  </w:rPr>
                  <m:t xml:space="preserve">e</m:t>
                </m:r>
                <m:r>
                  <w:rPr>
                    <w:rFonts w:ascii="Cambria Math" w:hAnsi="Cambria Math"/>
                  </w:rPr>
                  <m:t xml:space="preserve">−</m:t>
                </m:r>
                <m:r>
                  <w:rPr>
                    <w:rFonts w:ascii="Cambria Math" w:hAnsi="Cambria Math"/>
                  </w:rPr>
                  <m:t xml:space="preserve">3</m:t>
                </m:r>
              </m:oMath>
            </m:oMathPara>
          </w:p>
        </w:tc>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9.5</m:t>
                </m:r>
                <m:r>
                  <w:rPr>
                    <w:rFonts w:ascii="Cambria Math" w:hAnsi="Cambria Math"/>
                  </w:rPr>
                  <m:t xml:space="preserve">e</m:t>
                </m:r>
                <m:r>
                  <w:rPr>
                    <w:rFonts w:ascii="Cambria Math" w:hAnsi="Cambria Math"/>
                  </w:rPr>
                  <m:t xml:space="preserve">−</m:t>
                </m:r>
                <m:r>
                  <w:rPr>
                    <w:rFonts w:ascii="Cambria Math" w:hAnsi="Cambria Math"/>
                  </w:rPr>
                  <m:t xml:space="preserve">2</m:t>
                </m:r>
              </m:oMath>
            </m:oMathPara>
          </w:p>
        </w:tc>
        <w:tc>
          <w:tcPr>
            <w:tcW w:w="1319"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4.75</m:t>
                </m:r>
                <m:r>
                  <w:rPr>
                    <w:rFonts w:ascii="Cambria Math" w:hAnsi="Cambria Math"/>
                  </w:rPr>
                  <m:t xml:space="preserve">e</m:t>
                </m:r>
                <m:r>
                  <w:rPr>
                    <w:rFonts w:ascii="Cambria Math" w:hAnsi="Cambria Math"/>
                  </w:rPr>
                  <m:t xml:space="preserve">−</m:t>
                </m:r>
                <m:r>
                  <w:rPr>
                    <w:rFonts w:ascii="Cambria Math" w:hAnsi="Cambria Math"/>
                  </w:rPr>
                  <m:t xml:space="preserve">2</m:t>
                </m:r>
              </m:oMath>
            </m:oMathPara>
          </w:p>
        </w:tc>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4.84</m:t>
                </m:r>
                <m:r>
                  <w:rPr>
                    <w:rFonts w:ascii="Cambria Math" w:hAnsi="Cambria Math"/>
                  </w:rPr>
                  <m:t xml:space="preserve">e</m:t>
                </m:r>
                <m:r>
                  <w:rPr>
                    <w:rFonts w:ascii="Cambria Math" w:hAnsi="Cambria Math"/>
                  </w:rPr>
                  <m:t xml:space="preserve">−</m:t>
                </m:r>
                <m:r>
                  <w:rPr>
                    <w:rFonts w:ascii="Cambria Math" w:hAnsi="Cambria Math"/>
                  </w:rPr>
                  <m:t xml:space="preserve">1</m:t>
                </m:r>
              </m:oMath>
            </m:oMathPara>
          </w:p>
        </w:tc>
      </w:tr>
    </w:tbl>
    <w:p>
      <w:pPr>
        <w:pStyle w:val="Normal"/>
        <w:rPr/>
      </w:pPr>
      <w:r>
        <w:rPr/>
      </w:r>
    </w:p>
    <w:tbl>
      <w:tblPr>
        <w:tblStyle w:val="Table"/>
        <w:tblW w:w="7917" w:type="dxa"/>
        <w:jc w:val="left"/>
        <w:tblInd w:w="0" w:type="dxa"/>
        <w:tblLayout w:type="fixed"/>
        <w:tblCellMar>
          <w:top w:w="0" w:type="dxa"/>
          <w:left w:w="108" w:type="dxa"/>
          <w:bottom w:w="0" w:type="dxa"/>
          <w:right w:w="108" w:type="dxa"/>
        </w:tblCellMar>
        <w:tblLook w:val="0020" w:noHBand="0" w:lastColumn="0" w:noVBand="0" w:firstColumn="0" w:lastRow="0" w:firstRow="1"/>
      </w:tblPr>
      <w:tblGrid>
        <w:gridCol w:w="1131"/>
        <w:gridCol w:w="1130"/>
        <w:gridCol w:w="1132"/>
        <w:gridCol w:w="1130"/>
        <w:gridCol w:w="1132"/>
        <w:gridCol w:w="1130"/>
        <w:gridCol w:w="1131"/>
      </w:tblGrid>
      <w:tr>
        <w:trPr>
          <w:tblHeader w:val="true"/>
        </w:trPr>
        <w:tc>
          <w:tcPr>
            <w:tcW w:w="113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k</m:t>
                </m:r>
              </m:oMath>
            </m:oMathPara>
          </w:p>
        </w:tc>
        <w:tc>
          <w:tcPr>
            <w:tcW w:w="113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6</w:t>
            </w:r>
          </w:p>
        </w:tc>
        <w:tc>
          <w:tcPr>
            <w:tcW w:w="1132"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7</w:t>
            </w:r>
          </w:p>
        </w:tc>
        <w:tc>
          <w:tcPr>
            <w:tcW w:w="113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8</w:t>
            </w:r>
          </w:p>
        </w:tc>
        <w:tc>
          <w:tcPr>
            <w:tcW w:w="1132"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c>
          <w:tcPr>
            <w:tcW w:w="113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10</w:t>
            </w:r>
          </w:p>
        </w:tc>
        <w:tc>
          <w:tcPr>
            <w:tcW w:w="113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11</w:t>
            </w:r>
          </w:p>
        </w:tc>
      </w:tr>
      <w:tr>
        <w:trPr/>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c</m:t>
                </m:r>
                <m:r>
                  <w:rPr>
                    <w:rFonts w:ascii="Cambria Math" w:hAnsi="Cambria Math"/>
                  </w:rPr>
                  <m:t xml:space="preserve">o</m:t>
                </m:r>
                <m:r>
                  <w:rPr>
                    <w:rFonts w:ascii="Cambria Math" w:hAnsi="Cambria Math"/>
                  </w:rPr>
                  <m:t xml:space="preserve">r</m:t>
                </m:r>
                <m:r>
                  <w:rPr>
                    <w:rFonts w:ascii="Cambria Math" w:hAnsi="Cambria Math"/>
                  </w:rPr>
                  <m:t xml:space="preserve">e</m:t>
                </m:r>
              </m:oMath>
            </m:oMathPara>
          </w:p>
        </w:tc>
        <w:tc>
          <w:tcPr>
            <w:tcW w:w="113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65</m:t>
                </m:r>
              </m:oMath>
            </m:oMathPara>
          </w:p>
        </w:tc>
        <w:tc>
          <w:tcPr>
            <w:tcW w:w="1132"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70</m:t>
                </m:r>
              </m:oMath>
            </m:oMathPara>
          </w:p>
        </w:tc>
        <w:tc>
          <w:tcPr>
            <w:tcW w:w="113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85</m:t>
                </m:r>
              </m:oMath>
            </m:oMathPara>
          </w:p>
        </w:tc>
        <w:tc>
          <w:tcPr>
            <w:tcW w:w="1132"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90</m:t>
                </m:r>
              </m:oMath>
            </m:oMathPara>
          </w:p>
        </w:tc>
        <w:tc>
          <w:tcPr>
            <w:tcW w:w="113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75</m:t>
                </m:r>
              </m:oMath>
            </m:oMathPara>
          </w:p>
        </w:tc>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80</m:t>
                </m:r>
              </m:oMath>
            </m:oMathPara>
          </w:p>
        </w:tc>
      </w:tr>
      <w:tr>
        <w:trPr/>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k</m:t>
                    </m:r>
                  </m:sub>
                </m:sSub>
              </m:oMath>
            </m:oMathPara>
          </w:p>
        </w:tc>
        <w:tc>
          <w:tcPr>
            <w:tcW w:w="113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7.8</m:t>
                </m:r>
                <m:r>
                  <w:rPr>
                    <w:rFonts w:ascii="Cambria Math" w:hAnsi="Cambria Math"/>
                  </w:rPr>
                  <m:t xml:space="preserve">e</m:t>
                </m:r>
                <m:r>
                  <w:rPr>
                    <w:rFonts w:ascii="Cambria Math" w:hAnsi="Cambria Math"/>
                  </w:rPr>
                  <m:t xml:space="preserve">−</m:t>
                </m:r>
                <m:r>
                  <w:rPr>
                    <w:rFonts w:ascii="Cambria Math" w:hAnsi="Cambria Math"/>
                  </w:rPr>
                  <m:t xml:space="preserve">2</m:t>
                </m:r>
              </m:oMath>
            </m:oMathPara>
          </w:p>
        </w:tc>
        <w:tc>
          <w:tcPr>
            <w:tcW w:w="1132"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2.4</m:t>
                </m:r>
                <m:r>
                  <w:rPr>
                    <w:rFonts w:ascii="Cambria Math" w:hAnsi="Cambria Math"/>
                  </w:rPr>
                  <m:t xml:space="preserve">e</m:t>
                </m:r>
                <m:r>
                  <w:rPr>
                    <w:rFonts w:ascii="Cambria Math" w:hAnsi="Cambria Math"/>
                  </w:rPr>
                  <m:t xml:space="preserve">−</m:t>
                </m:r>
                <m:r>
                  <w:rPr>
                    <w:rFonts w:ascii="Cambria Math" w:hAnsi="Cambria Math"/>
                  </w:rPr>
                  <m:t xml:space="preserve">1</m:t>
                </m:r>
              </m:oMath>
            </m:oMathPara>
          </w:p>
        </w:tc>
        <w:tc>
          <w:tcPr>
            <w:tcW w:w="113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7.8</m:t>
                </m:r>
                <m:r>
                  <w:rPr>
                    <w:rFonts w:ascii="Cambria Math" w:hAnsi="Cambria Math"/>
                  </w:rPr>
                  <m:t xml:space="preserve">e</m:t>
                </m:r>
                <m:r>
                  <w:rPr>
                    <w:rFonts w:ascii="Cambria Math" w:hAnsi="Cambria Math"/>
                  </w:rPr>
                  <m:t xml:space="preserve">−</m:t>
                </m:r>
                <m:r>
                  <w:rPr>
                    <w:rFonts w:ascii="Cambria Math" w:hAnsi="Cambria Math"/>
                  </w:rPr>
                  <m:t xml:space="preserve">2</m:t>
                </m:r>
              </m:oMath>
            </m:oMathPara>
          </w:p>
        </w:tc>
        <w:tc>
          <w:tcPr>
            <w:tcW w:w="1132"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1.1</m:t>
                </m:r>
                <m:r>
                  <w:rPr>
                    <w:rFonts w:ascii="Cambria Math" w:hAnsi="Cambria Math"/>
                  </w:rPr>
                  <m:t xml:space="preserve">e</m:t>
                </m:r>
                <m:r>
                  <w:rPr>
                    <w:rFonts w:ascii="Cambria Math" w:hAnsi="Cambria Math"/>
                  </w:rPr>
                  <m:t xml:space="preserve">−</m:t>
                </m:r>
                <m:r>
                  <w:rPr>
                    <w:rFonts w:ascii="Cambria Math" w:hAnsi="Cambria Math"/>
                  </w:rPr>
                  <m:t xml:space="preserve">2</m:t>
                </m:r>
              </m:oMath>
            </m:oMathPara>
          </w:p>
        </w:tc>
        <w:tc>
          <w:tcPr>
            <w:tcW w:w="113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3.4</m:t>
                </m:r>
                <m:r>
                  <w:rPr>
                    <w:rFonts w:ascii="Cambria Math" w:hAnsi="Cambria Math"/>
                  </w:rPr>
                  <m:t xml:space="preserve">e</m:t>
                </m:r>
                <m:r>
                  <w:rPr>
                    <w:rFonts w:ascii="Cambria Math" w:hAnsi="Cambria Math"/>
                  </w:rPr>
                  <m:t xml:space="preserve">−</m:t>
                </m:r>
                <m:r>
                  <w:rPr>
                    <w:rFonts w:ascii="Cambria Math" w:hAnsi="Cambria Math"/>
                  </w:rPr>
                  <m:t xml:space="preserve">1</m:t>
                </m:r>
              </m:oMath>
            </m:oMathPara>
          </w:p>
        </w:tc>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2.4</m:t>
                </m:r>
                <m:r>
                  <w:rPr>
                    <w:rFonts w:ascii="Cambria Math" w:hAnsi="Cambria Math"/>
                  </w:rPr>
                  <m:t xml:space="preserve">e</m:t>
                </m:r>
                <m:r>
                  <w:rPr>
                    <w:rFonts w:ascii="Cambria Math" w:hAnsi="Cambria Math"/>
                  </w:rPr>
                  <m:t xml:space="preserve">−</m:t>
                </m:r>
                <m:r>
                  <w:rPr>
                    <w:rFonts w:ascii="Cambria Math" w:hAnsi="Cambria Math"/>
                  </w:rPr>
                  <m:t xml:space="preserve">1</m:t>
                </m:r>
              </m:oMath>
            </m:oMathPara>
          </w:p>
        </w:tc>
      </w:tr>
      <w:tr>
        <w:trPr/>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k</m:t>
                    </m:r>
                  </m:sub>
                </m:sSub>
              </m:oMath>
            </m:oMathPara>
          </w:p>
        </w:tc>
        <w:tc>
          <w:tcPr>
            <w:tcW w:w="113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8</m:t>
                </m:r>
              </m:oMath>
            </m:oMathPara>
          </w:p>
        </w:tc>
        <w:tc>
          <w:tcPr>
            <w:tcW w:w="1132"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5</m:t>
                </m:r>
              </m:oMath>
            </m:oMathPara>
          </w:p>
        </w:tc>
        <w:tc>
          <w:tcPr>
            <w:tcW w:w="113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3</m:t>
                </m:r>
              </m:oMath>
            </m:oMathPara>
          </w:p>
        </w:tc>
        <w:tc>
          <w:tcPr>
            <w:tcW w:w="1132"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2</m:t>
                </m:r>
              </m:oMath>
            </m:oMathPara>
          </w:p>
        </w:tc>
        <w:tc>
          <w:tcPr>
            <w:tcW w:w="113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22</m:t>
                </m:r>
              </m:oMath>
            </m:oMathPara>
          </w:p>
        </w:tc>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22</m:t>
                </m:r>
              </m:oMath>
            </m:oMathPara>
          </w:p>
        </w:tc>
      </w:tr>
      <w:tr>
        <w:trPr/>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sSub>
                  <m:e>
                    <m:r>
                      <w:rPr>
                        <w:rFonts w:ascii="Cambria Math" w:hAnsi="Cambria Math"/>
                      </w:rPr>
                      <m:t xml:space="preserve">ϵ</m:t>
                    </m:r>
                  </m:e>
                  <m:sub>
                    <m:r>
                      <w:rPr>
                        <w:rFonts w:ascii="Cambria Math" w:hAnsi="Cambria Math"/>
                      </w:rPr>
                      <m:t xml:space="preserve">k</m:t>
                    </m:r>
                  </m:sub>
                </m:sSub>
              </m:oMath>
            </m:oMathPara>
          </w:p>
        </w:tc>
        <w:tc>
          <w:tcPr>
            <w:tcW w:w="113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6.24</m:t>
                </m:r>
                <m:r>
                  <w:rPr>
                    <w:rFonts w:ascii="Cambria Math" w:hAnsi="Cambria Math"/>
                  </w:rPr>
                  <m:t xml:space="preserve">e</m:t>
                </m:r>
                <m:r>
                  <w:rPr>
                    <w:rFonts w:ascii="Cambria Math" w:hAnsi="Cambria Math"/>
                  </w:rPr>
                  <m:t xml:space="preserve">−</m:t>
                </m:r>
                <m:r>
                  <w:rPr>
                    <w:rFonts w:ascii="Cambria Math" w:hAnsi="Cambria Math"/>
                  </w:rPr>
                  <m:t xml:space="preserve">1</m:t>
                </m:r>
              </m:oMath>
            </m:oMathPara>
          </w:p>
        </w:tc>
        <w:tc>
          <w:tcPr>
            <w:tcW w:w="1132"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1.2</m:t>
                </m:r>
              </m:oMath>
            </m:oMathPara>
          </w:p>
        </w:tc>
        <w:tc>
          <w:tcPr>
            <w:tcW w:w="113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2.34</m:t>
                </m:r>
                <m:r>
                  <w:rPr>
                    <w:rFonts w:ascii="Cambria Math" w:hAnsi="Cambria Math"/>
                  </w:rPr>
                  <m:t xml:space="preserve">e</m:t>
                </m:r>
                <m:r>
                  <w:rPr>
                    <w:rFonts w:ascii="Cambria Math" w:hAnsi="Cambria Math"/>
                  </w:rPr>
                  <m:t xml:space="preserve">−</m:t>
                </m:r>
                <m:r>
                  <w:rPr>
                    <w:rFonts w:ascii="Cambria Math" w:hAnsi="Cambria Math"/>
                  </w:rPr>
                  <m:t xml:space="preserve">1</m:t>
                </m:r>
              </m:oMath>
            </m:oMathPara>
          </w:p>
        </w:tc>
        <w:tc>
          <w:tcPr>
            <w:tcW w:w="1132"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2.2</m:t>
                </m:r>
                <m:r>
                  <w:rPr>
                    <w:rFonts w:ascii="Cambria Math" w:hAnsi="Cambria Math"/>
                  </w:rPr>
                  <m:t xml:space="preserve">e</m:t>
                </m:r>
                <m:r>
                  <w:rPr>
                    <w:rFonts w:ascii="Cambria Math" w:hAnsi="Cambria Math"/>
                  </w:rPr>
                  <m:t xml:space="preserve">−</m:t>
                </m:r>
                <m:r>
                  <w:rPr>
                    <w:rFonts w:ascii="Cambria Math" w:hAnsi="Cambria Math"/>
                  </w:rPr>
                  <m:t xml:space="preserve">2</m:t>
                </m:r>
              </m:oMath>
            </m:oMathPara>
          </w:p>
        </w:tc>
        <w:tc>
          <w:tcPr>
            <w:tcW w:w="1130"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7.48</m:t>
                </m:r>
              </m:oMath>
            </m:oMathPara>
          </w:p>
        </w:tc>
        <w:tc>
          <w:tcPr>
            <w:tcW w:w="1131" w:type="dxa"/>
            <w:tcBorders/>
          </w:tcPr>
          <w:p>
            <w:pPr>
              <w:pStyle w:val="Compact"/>
              <w:widowControl/>
              <w:spacing w:before="36" w:after="36"/>
              <w:jc w:val="center"/>
              <w:rPr>
                <w:rFonts w:ascii="Cambria" w:hAnsi="Cambria" w:eastAsia="Cambria" w:cs=""/>
                <w:kern w:val="0"/>
                <w:sz w:val="24"/>
                <w:szCs w:val="24"/>
                <w:lang w:val="en-US" w:eastAsia="en-US" w:bidi="ar-SA"/>
              </w:rPr>
            </w:pPr>
            <w:r>
              <w:rPr>
                <w:rFonts w:ascii="Cambria" w:hAnsi="Cambria" w:cs=""/>
                <w:kern w:val="0"/>
                <w:sz w:val="24"/>
                <w:szCs w:val="24"/>
                <w:lang w:val="en-US" w:eastAsia="en-US" w:bidi="ar-SA"/>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5.28</m:t>
                </m:r>
              </m:oMath>
            </m:oMathPara>
          </w:p>
        </w:tc>
      </w:tr>
    </w:tbl>
    <w:p>
      <w:pPr>
        <w:pStyle w:val="CaptionedFigure"/>
        <w:rPr/>
      </w:pPr>
      <w:r>
        <w:rPr/>
        <w:drawing>
          <wp:inline distT="0" distB="0" distL="0" distR="0">
            <wp:extent cx="5334000" cy="4000500"/>
            <wp:effectExtent l="0" t="0" r="0" b="0"/>
            <wp:docPr id="1" name="Picture" descr="This is an image, created by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his is an image, created by Python."/>
                    <pic:cNvPicPr>
                      <a:picLocks noChangeAspect="1" noChangeArrowheads="1"/>
                    </pic:cNvPicPr>
                  </pic:nvPicPr>
                  <pic:blipFill>
                    <a:blip r:embed="rId2"/>
                    <a:stretch>
                      <a:fillRect/>
                    </a:stretch>
                  </pic:blipFill>
                  <pic:spPr bwMode="auto">
                    <a:xfrm>
                      <a:off x="0" y="0"/>
                      <a:ext cx="5334000" cy="4000500"/>
                    </a:xfrm>
                    <a:prstGeom prst="rect">
                      <a:avLst/>
                    </a:prstGeom>
                  </pic:spPr>
                </pic:pic>
              </a:graphicData>
            </a:graphic>
          </wp:inline>
        </w:drawing>
      </w:r>
    </w:p>
    <w:p>
      <w:pPr>
        <w:pStyle w:val="ImageCaption"/>
        <w:rPr/>
      </w:pPr>
      <w:r>
        <w:rPr/>
        <w:t xml:space="preserve">This is an image, created by </w:t>
      </w:r>
      <w:r>
        <w:rPr>
          <w:b/>
          <w:bCs/>
        </w:rPr>
        <w:t>Python</w:t>
      </w:r>
      <w:r>
        <w:rPr/>
        <w:t>.</w:t>
      </w:r>
    </w:p>
    <w:p>
      <w:pPr>
        <w:pStyle w:val="TextBody"/>
        <w:rPr/>
      </w:pPr>
      <w:r>
        <w:rPr/>
        <w:t>分析：表面上看整个活动对顾客都是有利的，一等奖到九等奖都是白得的，只有十等奖才收取一点成本价。但经过分析可以知道商家真的就亏损了吗？顾客就真能从中获得抽取大奖的机会吗？求得其期望值便可真相大白。摸出</w:t>
      </w:r>
      <w:r>
        <w:rPr/>
        <w:t>10</w:t>
      </w:r>
      <w:r>
        <w:rPr/>
        <w:t>个球的分值只有</w:t>
      </w:r>
      <w:r>
        <w:rPr/>
        <w:t>11</w:t>
      </w:r>
      <w:r>
        <w:rPr/>
        <w:t>种情况，用</w:t>
      </w:r>
      <w:r>
        <w:rPr/>
        <w:t>X</w:t>
      </w:r>
      <w:r>
        <w:rPr/>
        <w:t>表示摸奖者获得的奖励金额数，计算得到</w:t>
      </w:r>
      <w:r>
        <w:rPr/>
        <w:t>E(X)=-10.098</w:t>
      </w:r>
      <w:r>
        <w:rPr/>
        <w:t>，表明商家在平均每一次的抽奖中将获得</w:t>
      </w:r>
      <w:r>
        <w:rPr/>
        <w:t>10.098</w:t>
      </w:r>
      <w:r>
        <w:rPr/>
        <w:t xml:space="preserve">元，而平均每个抽奖者将花 </w:t>
      </w:r>
      <w:r>
        <w:rPr/>
        <w:t>10.098</w:t>
      </w:r>
      <w:r>
        <w:rPr/>
        <w:t>元来享受这种免费的抽奖。 从而可以看出顾客真的就占到大便宜了吗？相反，商家采用这种方法不仅把快要到期的商品处理出去了，而且还为超市大量集聚了人气，一举多得。此百货超市老板运用数学期望估计出了他不会亏损而做了这个免费抽奖活动，最后一举多得，从中可看出了数学期望这一科学的方法在经济决策中的重要性。</w:t>
      </w:r>
    </w:p>
    <w:p>
      <w:pPr>
        <w:pStyle w:val="TextBody"/>
        <w:rPr/>
      </w:pPr>
      <w:r>
        <w:rPr/>
        <w:t>文章的后面</w:t>
      </w:r>
      <w:r>
        <w:rPr/>
        <w:t>teddy</w:t>
      </w:r>
      <w:r>
        <w:rPr/>
        <w:t>给出了自己对于将军抛硬币与商场抽奖两件事情的看法，他们都利用了大概率事件发生的几率与人们贪财心理，前者战争的胜负本来存在极大的可能</w:t>
      </w:r>
      <w:r>
        <w:rPr/>
        <w:t>:</w:t>
      </w:r>
      <w:r>
        <w:rPr/>
        <w:t>胜</w:t>
      </w:r>
      <w:r>
        <w:rPr/>
        <w:t>/</w:t>
      </w:r>
      <w:r>
        <w:rPr/>
        <w:t>负各有</w:t>
      </w:r>
      <w:r>
        <w:rPr/>
        <w:t>50%</w:t>
      </w:r>
      <w:r>
        <w:rPr/>
        <w:t>的机会，后者抽奖者抽中</w:t>
      </w:r>
      <w:r>
        <w:rPr/>
        <w:t>75</w:t>
      </w:r>
      <w:r>
        <w:rPr/>
        <w:t>分与</w:t>
      </w:r>
      <w:r>
        <w:rPr/>
        <w:t>80</w:t>
      </w:r>
      <w:r>
        <w:rPr/>
        <w:t>分的概率分别为</w:t>
      </w:r>
      <w:r>
        <w:rPr/>
        <w:t>0.34</w:t>
      </w:r>
      <w:r>
        <w:rPr/>
        <w:t>和</w:t>
      </w:r>
      <w:r>
        <w:rPr/>
        <w:t>0.24</w:t>
      </w:r>
      <w:r>
        <w:rPr/>
        <w:t>（约和为</w:t>
      </w:r>
      <w:r>
        <w:rPr/>
        <w:t>0.58</w:t>
      </w:r>
      <w:r>
        <w:rPr/>
        <w:t>）。前者将军用金币作为占卜工具具有很强的心理暗示</w:t>
      </w:r>
      <w:r>
        <w:rPr/>
        <w:t>,</w:t>
      </w:r>
      <w:r>
        <w:rPr/>
        <w:t>意味着战胜方会获得额外的金钱与资源，后者商场利用冰柜、电视机作为摸奖的诱饵使得人们相信自己就是那个幸运儿（其实摸中</w:t>
      </w:r>
      <w:r>
        <w:rPr/>
        <w:t>100</w:t>
      </w:r>
      <w:r>
        <w:rPr/>
        <w:t>分和</w:t>
      </w:r>
      <w:r>
        <w:rPr/>
        <w:t>50</w:t>
      </w:r>
      <w:r>
        <w:rPr/>
        <w:t>分的概率仅为</w:t>
      </w:r>
      <w:r>
        <w:rPr/>
        <w:t>10</w:t>
      </w:r>
      <w:r>
        <w:rPr/>
        <w:t>的</w:t>
      </w:r>
      <w:r>
        <w:rPr/>
        <w:t>-6</w:t>
      </w:r>
      <w:r>
        <w:rPr/>
        <w:t>次方的机会）。让人门对自己增加了期望，前者达到了取胜的目的而后者则使得商场实现了盈利。</w:t>
      </w:r>
      <w:bookmarkEnd w:id="4"/>
    </w:p>
    <w:p>
      <w:pPr>
        <w:pStyle w:val="Heading3"/>
        <w:rPr/>
      </w:pPr>
      <w:bookmarkStart w:id="5" w:name="梅先生的结论"/>
      <w:r>
        <w:rPr/>
        <w:t>梅先生的结论</w:t>
      </w:r>
    </w:p>
    <w:p>
      <w:pPr>
        <w:pStyle w:val="FirstParagraph"/>
        <w:rPr/>
      </w:pPr>
      <w:r>
        <w:rPr/>
        <w:t>看来期望对人的行为影响还是很大的，当我们遭遇生活的不如意与沮丧的时候，尽快走出心理的阴影找到人生大概率事件并投入热情与专注就像那位将军在战斗开始时的行为，还有</w:t>
      </w:r>
      <w:r>
        <w:rPr/>
        <w:t>teddy</w:t>
      </w:r>
      <w:r>
        <w:rPr/>
        <w:t>在中考不如意后，找到自己的自信并坚持的努力下去而非抱怨沉沦是我们每个人学着走出困境的不二选择。</w:t>
      </w:r>
      <w:bookmarkEnd w:id="5"/>
    </w:p>
    <w:p>
      <w:pPr>
        <w:pStyle w:val="Heading3"/>
        <w:rPr/>
      </w:pPr>
      <w:bookmarkStart w:id="6" w:name="wrapper"/>
      <w:bookmarkStart w:id="7" w:name="reference"/>
      <w:r>
        <w:rPr/>
        <w:t>Reference</w:t>
      </w:r>
      <w:bookmarkEnd w:id="6"/>
      <w:bookmarkEnd w:id="7"/>
    </w:p>
    <w:p>
      <w:pPr>
        <w:pStyle w:val="Bibliography"/>
        <w:rPr/>
      </w:pPr>
      <w:bookmarkStart w:id="8" w:name="refs"/>
      <w:bookmarkStart w:id="9" w:name="ref-WangJinWei2019"/>
      <w:r>
        <w:rPr/>
        <w:t>[1]</w:t>
      </w:r>
    </w:p>
    <w:p>
      <w:pPr>
        <w:pStyle w:val="Bibliography"/>
        <w:rPr/>
      </w:pPr>
      <w:r>
        <w:rPr/>
        <w:t>王晋炜</w:t>
      </w:r>
      <w:r>
        <w:rPr/>
        <w:t xml:space="preserve">. </w:t>
      </w:r>
      <w:r>
        <w:rPr/>
        <w:t>邀你共进量子早餐</w:t>
      </w:r>
      <w:r>
        <w:rPr/>
        <w:t xml:space="preserve">[M]. </w:t>
      </w:r>
      <w:r>
        <w:rPr/>
        <w:t>北京</w:t>
      </w:r>
      <w:r>
        <w:rPr/>
        <w:t xml:space="preserve">: </w:t>
      </w:r>
      <w:r>
        <w:rPr/>
        <w:t>人民邮电出版社</w:t>
      </w:r>
      <w:r>
        <w:rPr/>
        <w:t>, 2019.</w:t>
      </w:r>
      <w:bookmarkEnd w:id="9"/>
    </w:p>
    <w:p>
      <w:pPr>
        <w:pStyle w:val="Bibliography"/>
        <w:rPr/>
      </w:pPr>
      <w:bookmarkStart w:id="10" w:name="ref-zotero-46"/>
      <w:r>
        <w:rPr/>
        <w:t>[2]</w:t>
      </w:r>
    </w:p>
    <w:p>
      <w:pPr>
        <w:pStyle w:val="Bibliography"/>
        <w:spacing w:before="0" w:after="200"/>
        <w:rPr/>
      </w:pPr>
      <w:r>
        <w:rPr/>
        <w:t>《数学之友》</w:t>
      </w:r>
      <w:r>
        <w:rPr/>
        <w:t xml:space="preserve">- </w:t>
      </w:r>
      <w:r>
        <w:rPr/>
        <w:t>百度学术</w:t>
      </w:r>
      <w:r>
        <w:rPr/>
        <w:t xml:space="preserve">[EB/OL]. [2023-07-20]. </w:t>
      </w:r>
      <w:hyperlink r:id="rId3">
        <w:r>
          <w:rPr>
            <w:rStyle w:val="InternetLink"/>
          </w:rPr>
          <w:t>https://xueshu.baidu.com/usercenter/journal/baseinfo?cmd=journal_page&amp;entity_id=baca1caee0c6279145f0bd655baae922&amp;tab=discuss</w:t>
        </w:r>
      </w:hyperlink>
      <w:r>
        <w:rPr/>
        <w:t>.</w:t>
      </w:r>
      <w:bookmarkEnd w:id="8"/>
      <w:bookmarkEnd w:id="1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Fallback"/>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xueshu.baidu.com/usercenter/journal/baseinfo?cmd=journal_page&amp;entity_id=baca1caee0c6279145f0bd655baae922&amp;tab=discuss"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LibreOffice/7.4.7.2$Linux_x86 LibreOffice_project/40$Build-2</Application>
  <AppVersion>15.0000</AppVersion>
  <Pages>4</Pages>
  <Words>1968</Words>
  <Characters>2254</Characters>
  <CharactersWithSpaces>2294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2023-08-11T23:06:25Z</dcterms:created>
  <dc:creator/>
  <dc:description/>
  <dc:language>zh-CN</dc:language>
  <cp:lastModifiedBy/>
  <dcterms:modified xsi:type="dcterms:W3CDTF">2023-08-11T19:07:12Z</dcterms:modified>
  <cp:revision>1</cp:revision>
  <dc:subject/>
  <dc:title>将军与抽奖</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