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数学期望</w:t>
      </w:r>
    </w:p>
    <w:bookmarkStart w:id="20" w:name="抽奖问题zotero-46"/>
    <w:p>
      <w:pPr>
        <w:pStyle w:val="Heading3"/>
      </w:pPr>
      <w:r>
        <w:t xml:space="preserve">抽奖问题</w:t>
      </w:r>
      <w:r>
        <w:rPr>
          <w:vertAlign w:val="superscript"/>
        </w:rPr>
        <w:t xml:space="preserve">[1]</w:t>
      </w:r>
    </w:p>
    <w:p>
      <w:pPr>
        <w:pStyle w:val="FirstParagraph"/>
      </w:pPr>
      <w:r>
        <w:t xml:space="preserve">假设某百货超市现有一批快到期的日用产品急需处理，超市老板设计了免费抽奖活动来处理掉了这些商品。纸箱中装有大小相同的20个球，10个10分，10个5分，从中摸出10个球，摸出的10个球的分数之和即为中奖分数，获奖如下：</w:t>
      </w:r>
    </w:p>
    <w:p>
      <w:pPr>
        <w:pStyle w:val="BodyText"/>
      </w:pPr>
      <w:r>
        <w:t xml:space="preserve">一等奖 100分，冰柜一个，价值2500元；</w:t>
      </w:r>
    </w:p>
    <w:p>
      <w:pPr>
        <w:pStyle w:val="BodyText"/>
      </w:pPr>
      <w:r>
        <w:t xml:space="preserve">二等奖 50分， 电视机一个，价值1000元；</w:t>
      </w:r>
    </w:p>
    <w:p>
      <w:pPr>
        <w:pStyle w:val="BodyText"/>
      </w:pPr>
      <w:r>
        <w:t xml:space="preserve">三等奖 95分， 洗发液8瓶，价值176元；</w:t>
      </w:r>
    </w:p>
    <w:p>
      <w:pPr>
        <w:pStyle w:val="BodyText"/>
      </w:pPr>
      <w:r>
        <w:t xml:space="preserve">四等奖 55分， 洗发液4瓶，价值88元；</w:t>
      </w:r>
    </w:p>
    <w:p>
      <w:pPr>
        <w:pStyle w:val="BodyText"/>
      </w:pPr>
      <w:r>
        <w:t xml:space="preserve">五等奖 60分， 洗发液2瓶，价值44元；</w:t>
      </w:r>
    </w:p>
    <w:p>
      <w:pPr>
        <w:pStyle w:val="BodyText"/>
      </w:pPr>
      <w:r>
        <w:t xml:space="preserve">六等奖 65分， 牙膏一盒， 价值8元；</w:t>
      </w:r>
    </w:p>
    <w:p>
      <w:pPr>
        <w:pStyle w:val="BodyText"/>
      </w:pPr>
      <w:r>
        <w:t xml:space="preserve">七等奖 70分， 洗衣粉一袋，价值5元；</w:t>
      </w:r>
    </w:p>
    <w:p>
      <w:pPr>
        <w:pStyle w:val="BodyText"/>
      </w:pPr>
      <w:r>
        <w:t xml:space="preserve">八等奖 85分， 香皂一块， 价值3元；</w:t>
      </w:r>
    </w:p>
    <w:p>
      <w:pPr>
        <w:pStyle w:val="BodyText"/>
      </w:pPr>
      <w:r>
        <w:t xml:space="preserve">九等奖 90分， 牙刷一把， 价值2元；</w:t>
      </w:r>
    </w:p>
    <w:p>
      <w:pPr>
        <w:pStyle w:val="BodyText"/>
      </w:pPr>
      <w:r>
        <w:t xml:space="preserve">十等奖 75分与80分为优惠奖，只収成本价22元，将获得洗发液一瓶；</w:t>
      </w:r>
    </w:p>
    <w:p>
      <w:pPr>
        <w:pStyle w:val="BodyText"/>
      </w:pPr>
      <w:r>
        <w:t xml:space="preserve">根据离散量数学期望公式：</w:t>
      </w:r>
    </w:p>
    <w:p>
      <w:pPr>
        <w:pStyle w:val="BodyText"/>
      </w:pPr>
      <m:oMathPara>
        <m:oMathParaPr>
          <m:jc m:val="center"/>
        </m:oMathParaPr>
        <m:oMath>
          <m:r>
            <m:t>ϵ</m:t>
          </m:r>
          <m:d>
            <m:dPr>
              <m:begChr m:val="("/>
              <m:endChr m:val=")"/>
              <m:sepChr m:val=""/>
              <m:grow/>
            </m:dPr>
            <m:e>
              <m:r>
                <m:t>X</m:t>
              </m:r>
            </m:e>
          </m:d>
          <m:r>
            <m:rPr>
              <m:sty m:val="p"/>
            </m:rPr>
            <m:t>=</m:t>
          </m:r>
          <m:nary>
            <m:naryPr>
              <m:chr m:val="∑"/>
              <m:limLoc m:val="undOvr"/>
              <m:subHide m:val="0"/>
              <m:supHide m:val="0"/>
            </m:naryPr>
            <m:sub>
              <m:r>
                <m:t>k</m:t>
              </m:r>
              <m:r>
                <m:rPr>
                  <m:sty m:val="p"/>
                </m:rPr>
                <m:t>=</m:t>
              </m:r>
              <m:r>
                <m:t>1</m:t>
              </m:r>
            </m:sub>
            <m:sup>
              <m:r>
                <m:rPr>
                  <m:sty m:val="p"/>
                </m:rPr>
                <m:t>∞</m:t>
              </m:r>
            </m:sup>
            <m:e>
              <m:sSub>
                <m:e>
                  <m:r>
                    <m:t>x</m:t>
                  </m:r>
                </m:e>
                <m:sub>
                  <m:r>
                    <m:t>k</m:t>
                  </m:r>
                </m:sub>
              </m:sSub>
            </m:e>
          </m:nary>
          <m:sSub>
            <m:e>
              <m:r>
                <m:t>p</m:t>
              </m:r>
            </m:e>
            <m:sub>
              <m:r>
                <m:t>k</m:t>
              </m:r>
            </m:sub>
          </m:sSub>
        </m:oMath>
      </m:oMathPara>
    </w:p>
    <w:tbl>
      <w:tblPr>
        <w:tblStyle w:val="Table"/>
        <w:tblW w:type="pct" w:w="5000"/>
        <w:tblLook w:firstRow="1" w:lastRow="0" w:firstColumn="0" w:lastColumn="0" w:noHBand="0" w:noVBand="0" w:val="0020"/>
      </w:tblPr>
      <w:tblGrid>
        <w:gridCol w:w="586"/>
        <w:gridCol w:w="684"/>
        <w:gridCol w:w="684"/>
        <w:gridCol w:w="684"/>
        <w:gridCol w:w="586"/>
        <w:gridCol w:w="684"/>
        <w:gridCol w:w="684"/>
        <w:gridCol w:w="684"/>
        <w:gridCol w:w="586"/>
        <w:gridCol w:w="684"/>
        <w:gridCol w:w="684"/>
        <w:gridCol w:w="684"/>
      </w:tblGrid>
      <w:tr>
        <w:trPr>
          <w:tblHeader w:val="true"/>
        </w:trPr>
        <w:tc>
          <w:tcPr/>
          <w:p>
            <w:pPr>
              <w:pStyle w:val="Compact"/>
              <w:jc w:val="center"/>
            </w:pPr>
            <m:oMath>
              <m:r>
                <m:t>k</m:t>
              </m:r>
            </m:oMath>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9</w:t>
            </w:r>
          </w:p>
        </w:tc>
        <w:tc>
          <w:tcPr/>
          <w:p>
            <w:pPr>
              <w:pStyle w:val="Compact"/>
              <w:jc w:val="center"/>
            </w:pPr>
            <w:r>
              <w:t xml:space="preserve">10</w:t>
            </w:r>
          </w:p>
        </w:tc>
        <w:tc>
          <w:tcPr/>
          <w:p>
            <w:pPr>
              <w:pStyle w:val="Compact"/>
              <w:jc w:val="center"/>
            </w:pPr>
            <w:r>
              <w:t xml:space="preserve">11</w:t>
            </w:r>
          </w:p>
        </w:tc>
      </w:tr>
      <w:tr>
        <w:tc>
          <w:tcPr/>
          <w:p>
            <w:pPr>
              <w:pStyle w:val="Compact"/>
              <w:jc w:val="center"/>
            </w:pPr>
            <w:r>
              <w:t xml:space="preserve">score</w:t>
            </w:r>
          </w:p>
        </w:tc>
        <w:tc>
          <w:tcPr/>
          <w:p>
            <w:pPr>
              <w:pStyle w:val="Compact"/>
              <w:jc w:val="center"/>
            </w:pPr>
            <w:r>
              <w:t xml:space="preserve">100</w:t>
            </w:r>
          </w:p>
        </w:tc>
        <w:tc>
          <w:tcPr/>
          <w:p>
            <w:pPr>
              <w:pStyle w:val="Compact"/>
              <w:jc w:val="center"/>
            </w:pPr>
            <w:r>
              <w:t xml:space="preserve">50</w:t>
            </w:r>
          </w:p>
        </w:tc>
        <w:tc>
          <w:tcPr/>
          <w:p>
            <w:pPr>
              <w:pStyle w:val="Compact"/>
              <w:jc w:val="center"/>
            </w:pPr>
            <w:r>
              <w:t xml:space="preserve">95</w:t>
            </w:r>
          </w:p>
        </w:tc>
        <w:tc>
          <w:tcPr/>
          <w:p>
            <w:pPr>
              <w:pStyle w:val="Compact"/>
              <w:jc w:val="center"/>
            </w:pPr>
            <w:r>
              <w:t xml:space="preserve">55</w:t>
            </w:r>
          </w:p>
        </w:tc>
        <w:tc>
          <w:tcPr/>
          <w:p>
            <w:pPr>
              <w:pStyle w:val="Compact"/>
              <w:jc w:val="center"/>
            </w:pPr>
            <w:r>
              <w:t xml:space="preserve">60</w:t>
            </w:r>
          </w:p>
        </w:tc>
        <w:tc>
          <w:tcPr/>
          <w:p>
            <w:pPr>
              <w:pStyle w:val="Compact"/>
              <w:jc w:val="center"/>
            </w:pPr>
            <w:r>
              <w:t xml:space="preserve">65</w:t>
            </w:r>
          </w:p>
        </w:tc>
        <w:tc>
          <w:tcPr/>
          <w:p>
            <w:pPr>
              <w:pStyle w:val="Compact"/>
              <w:jc w:val="center"/>
            </w:pPr>
            <w:r>
              <w:t xml:space="preserve">70</w:t>
            </w:r>
          </w:p>
        </w:tc>
        <w:tc>
          <w:tcPr/>
          <w:p>
            <w:pPr>
              <w:pStyle w:val="Compact"/>
              <w:jc w:val="center"/>
            </w:pPr>
            <w:r>
              <w:t xml:space="preserve">85</w:t>
            </w:r>
          </w:p>
        </w:tc>
        <w:tc>
          <w:tcPr/>
          <w:p>
            <w:pPr>
              <w:pStyle w:val="Compact"/>
              <w:jc w:val="center"/>
            </w:pPr>
            <w:r>
              <w:t xml:space="preserve">90</w:t>
            </w:r>
          </w:p>
        </w:tc>
        <w:tc>
          <w:tcPr/>
          <w:p>
            <w:pPr>
              <w:pStyle w:val="Compact"/>
              <w:jc w:val="center"/>
            </w:pPr>
            <w:r>
              <w:t xml:space="preserve">75</w:t>
            </w:r>
          </w:p>
        </w:tc>
        <w:tc>
          <w:tcPr/>
          <w:p>
            <w:pPr>
              <w:pStyle w:val="Compact"/>
              <w:jc w:val="center"/>
            </w:pPr>
            <w:r>
              <w:t xml:space="preserve">80</w:t>
            </w:r>
          </w:p>
        </w:tc>
      </w:tr>
      <w:tr>
        <w:tc>
          <w:tcPr/>
          <w:p>
            <w:pPr>
              <w:pStyle w:val="Compact"/>
              <w:jc w:val="center"/>
            </w:pPr>
            <m:oMath>
              <m:sSub>
                <m:e>
                  <m:r>
                    <m:t>p</m:t>
                  </m:r>
                </m:e>
                <m:sub>
                  <m:r>
                    <m:t>k</m:t>
                  </m:r>
                </m:sub>
              </m:sSub>
            </m:oMath>
          </w:p>
        </w:tc>
        <w:tc>
          <w:tcPr/>
          <w:p>
            <w:pPr>
              <w:pStyle w:val="Compact"/>
              <w:jc w:val="center"/>
            </w:pPr>
            <m:oMath>
              <m:r>
                <m:t>5.4</m:t>
              </m:r>
              <m:r>
                <m:t>e</m:t>
              </m:r>
              <m:r>
                <m:rPr>
                  <m:sty m:val="p"/>
                </m:rPr>
                <m:t>−</m:t>
              </m:r>
              <m:r>
                <m:t>06</m:t>
              </m:r>
            </m:oMath>
          </w:p>
        </w:tc>
        <w:tc>
          <w:tcPr/>
          <w:p>
            <w:pPr>
              <w:pStyle w:val="Compact"/>
              <w:jc w:val="center"/>
            </w:pPr>
            <m:oMath>
              <m:r>
                <m:t>5.4</m:t>
              </m:r>
              <m:r>
                <m:t>e</m:t>
              </m:r>
              <m:r>
                <m:rPr>
                  <m:sty m:val="p"/>
                </m:rPr>
                <m:t>−</m:t>
              </m:r>
              <m:r>
                <m:t>06</m:t>
              </m:r>
            </m:oMath>
          </w:p>
        </w:tc>
        <w:tc>
          <w:tcPr/>
          <w:p>
            <w:pPr>
              <w:pStyle w:val="Compact"/>
              <w:jc w:val="center"/>
            </w:pPr>
            <m:oMath>
              <m:r>
                <m:t>5.4</m:t>
              </m:r>
              <m:r>
                <m:t>e</m:t>
              </m:r>
              <m:r>
                <m:rPr>
                  <m:sty m:val="p"/>
                </m:rPr>
                <m:t>−</m:t>
              </m:r>
              <m:r>
                <m:t>04</m:t>
              </m:r>
            </m:oMath>
          </w:p>
        </w:tc>
        <w:tc>
          <w:tcPr/>
          <w:p>
            <w:pPr>
              <w:pStyle w:val="Compact"/>
              <w:jc w:val="center"/>
            </w:pPr>
            <m:oMath>
              <m:r>
                <m:t>5.4</m:t>
              </m:r>
              <m:r>
                <m:t>e</m:t>
              </m:r>
              <m:r>
                <m:rPr>
                  <m:sty m:val="p"/>
                </m:rPr>
                <m:t>−</m:t>
              </m:r>
              <m:r>
                <m:t>04</m:t>
              </m:r>
            </m:oMath>
          </w:p>
        </w:tc>
        <w:tc>
          <w:tcPr/>
          <w:p>
            <w:pPr>
              <w:pStyle w:val="Compact"/>
              <w:jc w:val="center"/>
            </w:pPr>
            <w:r>
              <w:t xml:space="preserve">1.1e-2</w:t>
            </w:r>
          </w:p>
        </w:tc>
        <w:tc>
          <w:tcPr/>
          <w:p>
            <w:pPr>
              <w:pStyle w:val="Compact"/>
              <w:jc w:val="center"/>
            </w:pPr>
            <w:r>
              <w:t xml:space="preserve">7.8e-2</w:t>
            </w:r>
          </w:p>
        </w:tc>
        <w:tc>
          <w:tcPr/>
          <w:p>
            <w:pPr>
              <w:pStyle w:val="Compact"/>
              <w:jc w:val="center"/>
            </w:pPr>
            <w:r>
              <w:t xml:space="preserve">2.4e-1</w:t>
            </w:r>
          </w:p>
        </w:tc>
        <w:tc>
          <w:tcPr/>
          <w:p>
            <w:pPr>
              <w:pStyle w:val="Compact"/>
              <w:jc w:val="center"/>
            </w:pPr>
            <w:r>
              <w:t xml:space="preserve">7.8e-2</w:t>
            </w:r>
          </w:p>
        </w:tc>
        <w:tc>
          <w:tcPr/>
          <w:p>
            <w:pPr>
              <w:pStyle w:val="Compact"/>
              <w:jc w:val="center"/>
            </w:pPr>
            <w:r>
              <w:t xml:space="preserve">1.1e-2</w:t>
            </w:r>
          </w:p>
        </w:tc>
        <w:tc>
          <w:tcPr/>
          <w:p>
            <w:pPr>
              <w:pStyle w:val="Compact"/>
              <w:jc w:val="center"/>
            </w:pPr>
            <w:r>
              <w:t xml:space="preserve">3.4e-1</w:t>
            </w:r>
          </w:p>
        </w:tc>
        <w:tc>
          <w:tcPr/>
          <w:p>
            <w:pPr>
              <w:pStyle w:val="Compact"/>
              <w:jc w:val="center"/>
            </w:pPr>
            <w:r>
              <w:t xml:space="preserve">2.4e-1</w:t>
            </w:r>
          </w:p>
        </w:tc>
      </w:tr>
      <w:tr>
        <w:tc>
          <w:tcPr/>
          <w:p>
            <w:pPr>
              <w:pStyle w:val="Compact"/>
              <w:jc w:val="center"/>
            </w:pPr>
            <m:oMath>
              <m:sSub>
                <m:e>
                  <m:r>
                    <m:t>x</m:t>
                  </m:r>
                </m:e>
                <m:sub>
                  <m:r>
                    <m:t>k</m:t>
                  </m:r>
                </m:sub>
              </m:sSub>
            </m:oMath>
          </w:p>
        </w:tc>
        <w:tc>
          <w:tcPr/>
          <w:p>
            <w:pPr>
              <w:pStyle w:val="Compact"/>
              <w:jc w:val="center"/>
            </w:pPr>
            <w:r>
              <w:t xml:space="preserve">2500</w:t>
            </w:r>
          </w:p>
        </w:tc>
        <w:tc>
          <w:tcPr/>
          <w:p>
            <w:pPr>
              <w:pStyle w:val="Compact"/>
              <w:jc w:val="center"/>
            </w:pPr>
            <w:r>
              <w:t xml:space="preserve">1000</w:t>
            </w:r>
          </w:p>
        </w:tc>
        <w:tc>
          <w:tcPr/>
          <w:p>
            <w:pPr>
              <w:pStyle w:val="Compact"/>
              <w:jc w:val="center"/>
            </w:pPr>
            <w:r>
              <w:t xml:space="preserve">176</w:t>
            </w:r>
          </w:p>
        </w:tc>
        <w:tc>
          <w:tcPr/>
          <w:p>
            <w:pPr>
              <w:pStyle w:val="Compact"/>
              <w:jc w:val="center"/>
            </w:pPr>
            <w:r>
              <w:t xml:space="preserve">88</w:t>
            </w:r>
          </w:p>
        </w:tc>
        <w:tc>
          <w:tcPr/>
          <w:p>
            <w:pPr>
              <w:pStyle w:val="Compact"/>
              <w:jc w:val="center"/>
            </w:pPr>
            <w:r>
              <w:t xml:space="preserve">44</w:t>
            </w:r>
          </w:p>
        </w:tc>
        <w:tc>
          <w:tcPr/>
          <w:p>
            <w:pPr>
              <w:pStyle w:val="Compact"/>
              <w:jc w:val="center"/>
            </w:pPr>
            <w:r>
              <w:t xml:space="preserve">8</w:t>
            </w:r>
          </w:p>
        </w:tc>
        <w:tc>
          <w:tcPr/>
          <w:p>
            <w:pPr>
              <w:pStyle w:val="Compact"/>
              <w:jc w:val="center"/>
            </w:pPr>
            <w:r>
              <w:t xml:space="preserve">5</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-22</w:t>
            </w:r>
          </w:p>
        </w:tc>
        <w:tc>
          <w:tcPr/>
          <w:p>
            <w:pPr>
              <w:pStyle w:val="Compact"/>
              <w:jc w:val="center"/>
            </w:pPr>
            <w:r>
              <w:t xml:space="preserve">-22</w:t>
            </w:r>
          </w:p>
        </w:tc>
      </w:tr>
      <w:tr>
        <w:tc>
          <w:tcPr/>
          <w:p>
            <w:pPr>
              <w:pStyle w:val="Compact"/>
              <w:jc w:val="center"/>
            </w:pPr>
            <m:oMath>
              <m:sSub>
                <m:e>
                  <m:r>
                    <m:t>ϵ</m:t>
                  </m:r>
                </m:e>
                <m:sub>
                  <m:r>
                    <m:t>k</m:t>
                  </m:r>
                </m:sub>
              </m:sSub>
            </m:oMath>
          </w:p>
        </w:tc>
        <w:tc>
          <w:tcPr/>
          <w:p>
            <w:pPr>
              <w:pStyle w:val="Compact"/>
              <w:jc w:val="center"/>
            </w:pPr>
            <w:r>
              <w:t xml:space="preserve">0.0135</w:t>
            </w:r>
          </w:p>
        </w:tc>
        <w:tc>
          <w:tcPr/>
          <w:p>
            <w:pPr>
              <w:pStyle w:val="Compact"/>
              <w:jc w:val="center"/>
            </w:pPr>
            <w:r>
              <w:t xml:space="preserve">0.0054</w:t>
            </w:r>
          </w:p>
        </w:tc>
        <w:tc>
          <w:tcPr/>
          <w:p>
            <w:pPr>
              <w:pStyle w:val="Compact"/>
              <w:jc w:val="center"/>
            </w:pPr>
            <w:r>
              <w:t xml:space="preserve">0.095</w:t>
            </w:r>
          </w:p>
        </w:tc>
        <w:tc>
          <w:tcPr/>
          <w:p>
            <w:pPr>
              <w:pStyle w:val="Compact"/>
              <w:jc w:val="center"/>
            </w:pPr>
            <w:r>
              <w:t xml:space="preserve">0.0475</w:t>
            </w:r>
          </w:p>
        </w:tc>
        <w:tc>
          <w:tcPr/>
          <w:p>
            <w:pPr>
              <w:pStyle w:val="Compact"/>
              <w:jc w:val="center"/>
            </w:pPr>
            <w:r>
              <w:t xml:space="preserve">0.484</w:t>
            </w:r>
          </w:p>
        </w:tc>
        <w:tc>
          <w:tcPr/>
          <w:p>
            <w:pPr>
              <w:pStyle w:val="Compact"/>
              <w:jc w:val="center"/>
            </w:pPr>
            <w:r>
              <w:t xml:space="preserve">0.624</w:t>
            </w:r>
          </w:p>
        </w:tc>
        <w:tc>
          <w:tcPr/>
          <w:p>
            <w:pPr>
              <w:pStyle w:val="Compact"/>
              <w:jc w:val="center"/>
            </w:pPr>
            <w:r>
              <w:t xml:space="preserve">1.2</w:t>
            </w:r>
          </w:p>
        </w:tc>
        <w:tc>
          <w:tcPr/>
          <w:p>
            <w:pPr>
              <w:pStyle w:val="Compact"/>
              <w:jc w:val="center"/>
            </w:pPr>
            <w:r>
              <w:t xml:space="preserve">0.234</w:t>
            </w:r>
          </w:p>
        </w:tc>
        <w:tc>
          <w:tcPr/>
          <w:p>
            <w:pPr>
              <w:pStyle w:val="Compact"/>
              <w:jc w:val="center"/>
            </w:pPr>
            <w:r>
              <w:t xml:space="preserve">0.022</w:t>
            </w:r>
          </w:p>
        </w:tc>
        <w:tc>
          <w:tcPr/>
          <w:p>
            <w:pPr>
              <w:pStyle w:val="Compact"/>
              <w:jc w:val="center"/>
            </w:pPr>
            <w:r>
              <w:t xml:space="preserve">-7.48</w:t>
            </w:r>
          </w:p>
        </w:tc>
        <w:tc>
          <w:tcPr/>
          <w:p>
            <w:pPr>
              <w:pStyle w:val="Compact"/>
              <w:jc w:val="center"/>
            </w:pPr>
            <w:r>
              <w:t xml:space="preserve">-5.28</w:t>
            </w:r>
          </w:p>
        </w:tc>
      </w:tr>
    </w:tbl>
    <w:p>
      <w:pPr>
        <w:pStyle w:val="BodyText"/>
      </w:pPr>
      <w:r>
        <w:t xml:space="preserve">分析：表面上看整个活动对顾客都是有利的，一等奖到九等奖都是白得的，只有十等奖才收取一点成本价。但经过分析可以知道商家真的就亏损了吗？顾客就真能从中获得抽取大奖的机会吗？求得其期望值便可真相大白。摸出10个球的分值只有11种情况，用X表示摸奖者获得的奖励金额数，计算得到E(X)=-10.098，表明商家在平均每一次的抽奖中将获得10.098元，而平均每个抽奖者将花 10.098元来享受这种免费的抽奖。 从而可以看出顾客真的就占到大便宜了吗？相反，商家采用这种方法不仅把快要到期的商品处理出去了，而且还为超市大量集聚了人气，一举多得。此百货超市老板运用数学期望估计出了他不会亏损而做了这个免费抽奖活动，最后一举多得，从中可看出了数学期望这一科学的方法在经济决策中的重要性。</w:t>
      </w:r>
    </w:p>
    <w:bookmarkEnd w:id="20"/>
    <w:bookmarkStart w:id="24" w:name="reference"/>
    <w:p>
      <w:pPr>
        <w:pStyle w:val="Heading3"/>
      </w:pPr>
      <w:r>
        <w:t xml:space="preserve">Reference</w:t>
      </w:r>
    </w:p>
    <w:bookmarkStart w:id="23" w:name="refs"/>
    <w:bookmarkStart w:id="22" w:name="ref-zotero-46"/>
    <w:p>
      <w:pPr>
        <w:pStyle w:val="Bibliography"/>
      </w:pPr>
      <w:r>
        <w:t xml:space="preserve">[1]</w:t>
      </w:r>
      <w:r>
        <w:t xml:space="preserve"> </w:t>
      </w:r>
      <w:r>
        <w:t xml:space="preserve">	</w:t>
      </w:r>
      <w:r>
        <w:t xml:space="preserve">《数学之友》- 百度学术[EB/OL]. [2023-07-20].</w:t>
      </w:r>
      <w:r>
        <w:t xml:space="preserve"> </w:t>
      </w:r>
      <w:hyperlink r:id="rId21">
        <w:r>
          <w:rPr>
            <w:rStyle w:val="Hyperlink"/>
          </w:rPr>
          <w:t xml:space="preserve">https://xueshu.baidu.com/usercenter/journal/baseinfo?cmd=journal_page&amp;entity_id=baca1caee0c6279145f0bd655baae922&amp;tab=discuss</w:t>
        </w:r>
      </w:hyperlink>
      <w: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xueshu.baidu.com/usercenter/journal/baseinfo?cmd=journal_page&amp;entity_id=baca1caee0c6279145f0bd655baae922&amp;tab=discuss" TargetMode="External" /></Relationships>
</file>

<file path=word/_rels/footnotes.xml.rels><?xml version="1.0" encoding="UTF-8"?><Relationships xmlns="http://schemas.openxmlformats.org/package/2006/relationships"><Relationship Type="http://schemas.openxmlformats.org/officeDocument/2006/relationships/hyperlink" Id="rId21" Target="https://xueshu.baidu.com/usercenter/journal/baseinfo?cmd=journal_page&amp;entity_id=baca1caee0c6279145f0bd655baae922&amp;tab=disc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数学期望</dc:title>
  <dc:creator/>
  <cp:keywords/>
  <dcterms:created xsi:type="dcterms:W3CDTF">2023-08-10T08:51:21Z</dcterms:created>
  <dcterms:modified xsi:type="dcterms:W3CDTF">2023-08-10T08:51:21Z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fignos-caption-name">
    <vt:lpwstr>图</vt:lpwstr>
  </property>
  <property fmtid="{D5CDD505-2E9C-101B-9397-08002B2CF9AE}" pid="5" name="fignos-cleveref">
    <vt:lpwstr>True</vt:lpwstr>
  </property>
  <property fmtid="{D5CDD505-2E9C-101B-9397-08002B2CF9AE}" pid="6" name="fignos-plus-name">
    <vt:lpwstr>图</vt:lpwstr>
  </property>
  <property fmtid="{D5CDD505-2E9C-101B-9397-08002B2CF9AE}" pid="7" name="javaPath">
    <vt:lpwstr>java</vt:lpwstr>
  </property>
  <property fmtid="{D5CDD505-2E9C-101B-9397-08002B2CF9AE}" pid="8" name="plantumlPath">
    <vt:lpwstr>plantuml.jar</vt:lpwstr>
  </property>
  <property fmtid="{D5CDD505-2E9C-101B-9397-08002B2CF9AE}" pid="9" name="pythonPath">
    <vt:lpwstr>/usr/bin/python3</vt:lpwstr>
  </property>
</Properties>
</file>