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微软雅黑"/>
          <w:b/>
          <w:color w:val="1F4E79"/>
          <w:sz w:val="48"/>
        </w:rPr>
        <w:t>跨链区设计文档</w:t>
      </w:r>
    </w:p>
    <w:p>
      <w:pPr>
        <w:spacing w:after="400"/>
        <w:jc w:val="center"/>
      </w:pPr>
      <w:r>
        <w:rPr>
          <w:rFonts w:ascii="Calibri" w:hAnsi="Calibri" w:eastAsia="微软雅黑"/>
          <w:b w:val="0"/>
          <w:color w:val="5B677A"/>
          <w:sz w:val="24"/>
        </w:rPr>
        <w:t>基于 sepCross3 参考文档与 punkos-desktop 当前实现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fill="EEF6FF"/>
            <w:tcBorders>
              <w:top w:val="single" w:sz="6" w:space="0" w:color="B7CCE0"/>
              <w:left w:val="single" w:sz="6" w:space="0" w:color="B7CCE0"/>
              <w:bottom w:val="single" w:sz="6" w:space="0" w:color="B7CCE0"/>
              <w:right w:val="single" w:sz="6" w:space="0" w:color="B7CCE0"/>
            </w:tcBorders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E79"/>
                <w:sz w:val="21"/>
              </w:rPr>
              <w:t>文档定位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0"/>
              </w:rPr>
              <w:t>本文面向跨链区底层与前端页面的设计说明，重点描述系统目标、分层架构、关键模块、数据流、任务闭环和当前实现映射。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1. 设计目标</w:t>
      </w:r>
    </w:p>
    <w:p>
      <w:pPr>
        <w:spacing w:before="0" w:after="120" w:line="283" w:lineRule="auto"/>
      </w:pPr>
      <w:r>
        <w:rPr>
          <w:rFonts w:ascii="Calibri" w:hAnsi="Calibri" w:eastAsia="微软雅黑"/>
          <w:b w:val="0"/>
          <w:sz w:val="21"/>
        </w:rPr>
        <w:t>跨链区是磐古系统中的跨链互操作分区，目标是在 HubChain 与多条 SourceChain 之间建立可验证、可治理、可激励的跨链基础设施。系统既承担底层跨链协议能力，也向桌面端提供跨链浏览、治理、任务发起和中继参与页面。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把 HubChain 建设为连接 Web3 异构链的中继链，统一承载跨链任务和系统合约状态。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通过 Relay/LightClient/Source Rules 维护源链影子账本，使 HubChain 能验证源链数据。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通过 Transport 任务市场完成跨链写和跨链消息传输，支持任务创建、接单、执行证明和结算。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通过 MultiChainManager 和委员会治理管理源链、系统合约、任务类型和关键权限。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通过 punkos-desktop 前端页面向用户、管理员和搬运工暴露可操作入口。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2. 总体分层结构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2.1 跨链区与其他区的整体关系</w:t>
      </w:r>
    </w:p>
    <w:p>
      <w:pPr>
        <w:spacing w:before="0" w:after="120" w:line="283" w:lineRule="auto"/>
      </w:pPr>
      <w:r>
        <w:rPr>
          <w:rFonts w:ascii="Calibri" w:hAnsi="Calibri" w:eastAsia="微软雅黑"/>
          <w:b w:val="0"/>
          <w:sz w:val="21"/>
        </w:rPr>
        <w:t>从磐古整体架构看，跨链区不是孤立模块，而是位于治理能力、应用入口、链基础设施与外部生态之间的连接区。治理区负责系统级权限与协议管理，应用区负责用户和页面入口，链基础设施区提供账本和执行环境，外部生态则提供异构源链与 Web2/Web3 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3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kos-system-z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3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治理区对跨链区施加治理和安全约束，决定系统合约的登记、启动、参数调整和升级。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应用区通过桌面端页面或 DApp 调用跨链区，把用户跨链读写需求转换为链上任务。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链基础设施区为跨链区提供共识、执行和账本存储，是 HubChain 运行的基础。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外部生态中的 BTC、ETH、SEP 等源链通过搬运工、LightClient 和 Relay 接入跨链区。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2.2 跨链区内部总体分层结构</w:t>
      </w:r>
    </w:p>
    <w:p>
      <w:pPr>
        <w:spacing w:before="0" w:after="120" w:line="283" w:lineRule="auto"/>
      </w:pPr>
      <w:r>
        <w:rPr>
          <w:rFonts w:ascii="Calibri" w:hAnsi="Calibri" w:eastAsia="微软雅黑"/>
          <w:b w:val="0"/>
          <w:sz w:val="21"/>
        </w:rPr>
        <w:t>当前实现可以分为前端页面层、前端服务层、本地后端服务层、链上系统合约层、链下搬运与证明层、外部链与底层账本六层。其中前端页面负责用户交互，服务层负责配置和调用收口，后端服务负责聚合链上与数据库数据，底层合约负责跨链协议核心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71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chain-layer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1701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层级</w:t>
            </w:r>
          </w:p>
        </w:tc>
        <w:tc>
          <w:tcPr>
            <w:tcW w:type="dxa" w:w="2891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当前承载</w:t>
            </w:r>
          </w:p>
        </w:tc>
        <w:tc>
          <w:tcPr>
            <w:tcW w:type="dxa" w:w="4535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主要职责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前端页面层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Multichain、Manager、CrossChainTasks、CrossTasksCreated、Relay、Bridge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展示跨链区总览，执行管理、任务发起、接单、证明提交和脚本下载等操作。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前端服务层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vite/packages/table/services/crosschain.ts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统一解析 RPC、Manager、Transport 地址；封装钱包、签名、网络切换和合约调用。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本地后端服务层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services/crosschain/server.js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提供 /api 接口，读取数据库、合约地址文件和链上合约，生成 LCL proof 参数。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链上系统合约层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MultiChainManager、Transport、Relay/LightClient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管理源链和系统合约，维护影子账本，承载跨链任务生命周期。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链下搬运与证明层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relay-scripts、relayer.js、SEP relay bundle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同步源链区块头，执行目标链交易，生成证明或回填信息。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外部链与底层账本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HubChain、SEP/ETH/BTC/LCL/SSC 等源链、CrossZone 数据库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提供真实链状态、事件、影子区块和任务索引。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3. 核心模块设计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3.1 前端页面模块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1417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页面</w:t>
            </w:r>
          </w:p>
        </w:tc>
        <w:tc>
          <w:tcPr>
            <w:tcW w:type="dxa" w:w="2268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文件</w:t>
            </w:r>
          </w:p>
        </w:tc>
        <w:tc>
          <w:tcPr>
            <w:tcW w:type="dxa" w:w="3515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设计职责</w:t>
            </w:r>
          </w:p>
        </w:tc>
        <w:tc>
          <w:tcPr>
            <w:tcW w:type="dxa" w:w="1928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实现状态</w:t>
            </w:r>
          </w:p>
        </w:tc>
      </w:tr>
      <w:tr>
        <w:tc>
          <w:tcPr>
            <w:tcW w:type="dxa" w:w="141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跨链区概览</w:t>
            </w:r>
          </w:p>
        </w:tc>
        <w:tc>
          <w:tcPr>
            <w:tcW w:type="dxa" w:w="226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Multichain.vue</w:t>
            </w:r>
          </w:p>
        </w:tc>
        <w:tc>
          <w:tcPr>
            <w:tcW w:type="dxa" w:w="351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展示最新区块、源链数量、系统合约数量、源链卡片和中继合约入口。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已实现，30 秒轮询刷新，链上读取为主。</w:t>
            </w:r>
          </w:p>
        </w:tc>
      </w:tr>
      <w:tr>
        <w:tc>
          <w:tcPr>
            <w:tcW w:type="dxa" w:w="141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搬运工入口</w:t>
            </w:r>
          </w:p>
        </w:tc>
        <w:tc>
          <w:tcPr>
            <w:tcW w:type="dxa" w:w="226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Relay.vue</w:t>
            </w:r>
          </w:p>
        </w:tc>
        <w:tc>
          <w:tcPr>
            <w:tcW w:type="dxa" w:w="351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展示全节点要求、搬运脚本、下载入口和运行命令。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已实现，偏脚本分发和操作指引。</w:t>
            </w:r>
          </w:p>
        </w:tc>
      </w:tr>
      <w:tr>
        <w:tc>
          <w:tcPr>
            <w:tcW w:type="dxa" w:w="141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管理者</w:t>
            </w:r>
          </w:p>
        </w:tc>
        <w:tc>
          <w:tcPr>
            <w:tcW w:type="dxa" w:w="226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Manager.vue</w:t>
            </w:r>
          </w:p>
        </w:tc>
        <w:tc>
          <w:tcPr>
            <w:tcW w:type="dxa" w:w="351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委员会管理、邀请/接受、源链注册、任务类型注册。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已实现真实链上交互。</w:t>
            </w:r>
          </w:p>
        </w:tc>
      </w:tr>
      <w:tr>
        <w:tc>
          <w:tcPr>
            <w:tcW w:type="dxa" w:w="141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跨链任务</w:t>
            </w:r>
          </w:p>
        </w:tc>
        <w:tc>
          <w:tcPr>
            <w:tcW w:type="dxa" w:w="226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CrossChainTasks.vue</w:t>
            </w:r>
          </w:p>
        </w:tc>
        <w:tc>
          <w:tcPr>
            <w:tcW w:type="dxa" w:w="351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选择源链、任务类型、payload 和费用，调用 createTask。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部分实现，源链选择与部署约定仍需继续核对。</w:t>
            </w:r>
          </w:p>
        </w:tc>
      </w:tr>
      <w:tr>
        <w:tc>
          <w:tcPr>
            <w:tcW w:type="dxa" w:w="141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中继者</w:t>
            </w:r>
          </w:p>
        </w:tc>
        <w:tc>
          <w:tcPr>
            <w:tcW w:type="dxa" w:w="226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CrossTasksCreated.vue</w:t>
            </w:r>
          </w:p>
        </w:tc>
        <w:tc>
          <w:tcPr>
            <w:tcW w:type="dxa" w:w="351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扫描任务、质押、接单、提交证明。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已实现核心链上流程。</w:t>
            </w:r>
          </w:p>
        </w:tc>
      </w:tr>
      <w:tr>
        <w:tc>
          <w:tcPr>
            <w:tcW w:type="dxa" w:w="141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桥/详情页</w:t>
            </w:r>
          </w:p>
        </w:tc>
        <w:tc>
          <w:tcPr>
            <w:tcW w:type="dxa" w:w="226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Bridge.vue、Transaction.vue、Block.vue</w:t>
            </w:r>
          </w:p>
        </w:tc>
        <w:tc>
          <w:tcPr>
            <w:tcW w:type="dxa" w:w="351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查看桥信息、影子区块、交易和区块详情。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演示化实现，仍混用 testdata。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3.2 前端服务模块</w:t>
      </w:r>
    </w:p>
    <w:p>
      <w:pPr>
        <w:spacing w:before="0" w:after="120" w:line="283" w:lineRule="auto"/>
      </w:pPr>
      <w:r>
        <w:rPr>
          <w:rFonts w:ascii="Calibri" w:hAnsi="Calibri" w:eastAsia="微软雅黑"/>
          <w:b w:val="0"/>
          <w:sz w:val="21"/>
        </w:rPr>
        <w:t>前端服务层集中在 crosschain.ts，避免页面各自写死 RPC 和合约地址。当前逻辑优先读取 Vite 环境变量，其次从后端 /api/crosschainzone 获取配置。Transport 地址通过 Manager 的 contract_chain_index(hubChainId, transportLevelId) 动态解析，并在前端缓存。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getFinalRpcUrl：返回最终 RPC 地址，作为页面读链和发交易的统一来源。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getFinalManagerAddress：返回 Manager 地址，优先环境变量，其次后端配置。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getFinalContractAddress / resolveTransportAddressByManager：通过 Manager 解析 Transport 地址。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ensureNetwork / getSigner：处理 PunkOS 链网络切换、Web3Modal 钱包或环境私钥签名。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createTask、finishTask、acceptTask：封装跨链任务主流程中常用的合约调用。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3.3 本地后端服务模块</w:t>
      </w:r>
    </w:p>
    <w:p>
      <w:pPr>
        <w:spacing w:before="0" w:after="120" w:line="283" w:lineRule="auto"/>
      </w:pPr>
      <w:r>
        <w:rPr>
          <w:rFonts w:ascii="Calibri" w:hAnsi="Calibri" w:eastAsia="微软雅黑"/>
          <w:b w:val="0"/>
          <w:sz w:val="21"/>
        </w:rPr>
        <w:t>services/crosschain 是 Electron 服务体系中的本地 API 服务，service.js 声明服务元信息、自动启动和健康检查，server.js 提供 Express API。服务同时读取 MySQL 数据库、部署地址文件和链上合约，给前端提供稳定的数据入口。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2211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接口</w:t>
            </w:r>
          </w:p>
        </w:tc>
        <w:tc>
          <w:tcPr>
            <w:tcW w:type="dxa" w:w="3288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数据来源</w:t>
            </w:r>
          </w:p>
        </w:tc>
        <w:tc>
          <w:tcPr>
            <w:tcW w:type="dxa" w:w="3628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用途</w:t>
            </w:r>
          </w:p>
        </w:tc>
      </w:tr>
      <w:tr>
        <w:tc>
          <w:tcPr>
            <w:tcW w:type="dxa" w:w="221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/api/health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服务进程</w:t>
            </w:r>
          </w:p>
        </w:tc>
        <w:tc>
          <w:tcPr>
            <w:tcW w:type="dxa" w:w="36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健康检查和降级模式探测。</w:t>
            </w:r>
          </w:p>
        </w:tc>
      </w:tr>
      <w:tr>
        <w:tc>
          <w:tcPr>
            <w:tcW w:type="dxa" w:w="221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/api/crosschainzone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crosschainzone_info + 地址文件 + Manager</w:t>
            </w:r>
          </w:p>
        </w:tc>
        <w:tc>
          <w:tcPr>
            <w:tcW w:type="dxa" w:w="36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返回 RPC、Manager 和 Transport 地址。</w:t>
            </w:r>
          </w:p>
        </w:tc>
      </w:tr>
      <w:tr>
        <w:tc>
          <w:tcPr>
            <w:tcW w:type="dxa" w:w="221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/api/sourceChains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source_chain_info + Manager.getSourceChainInfo</w:t>
            </w:r>
          </w:p>
        </w:tc>
        <w:tc>
          <w:tcPr>
            <w:tcW w:type="dxa" w:w="36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返回已注册源链列表。</w:t>
            </w:r>
          </w:p>
        </w:tc>
      </w:tr>
      <w:tr>
        <w:tc>
          <w:tcPr>
            <w:tcW w:type="dxa" w:w="221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/api/systemContracts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system_contract_info</w:t>
            </w:r>
          </w:p>
        </w:tc>
        <w:tc>
          <w:tcPr>
            <w:tcW w:type="dxa" w:w="36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返回系统合约基础信息。</w:t>
            </w:r>
          </w:p>
        </w:tc>
      </w:tr>
      <w:tr>
        <w:tc>
          <w:tcPr>
            <w:tcW w:type="dxa" w:w="221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/api/blocks、/api/txs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hub_block_info、hub_tx_info</w:t>
            </w:r>
          </w:p>
        </w:tc>
        <w:tc>
          <w:tcPr>
            <w:tcW w:type="dxa" w:w="36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返回中继链区块和交易索引。</w:t>
            </w:r>
          </w:p>
        </w:tc>
      </w:tr>
      <w:tr>
        <w:tc>
          <w:tcPr>
            <w:tcW w:type="dxa" w:w="221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/api/tasks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Transport.taskNum/taskIndex/getTaskInfoByKey</w:t>
            </w:r>
          </w:p>
        </w:tc>
        <w:tc>
          <w:tcPr>
            <w:tcW w:type="dxa" w:w="36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返回最近跨链任务。</w:t>
            </w:r>
          </w:p>
        </w:tc>
      </w:tr>
      <w:tr>
        <w:tc>
          <w:tcPr>
            <w:tcW w:type="dxa" w:w="221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/api/lcl-proof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punkos_transport/build_lcl_finish_params.py</w:t>
            </w:r>
          </w:p>
        </w:tc>
        <w:tc>
          <w:tcPr>
            <w:tcW w:type="dxa" w:w="36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生成 LCL 任务完成所需证明参数。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3.4 链上合约模块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1701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模块</w:t>
            </w:r>
          </w:p>
        </w:tc>
        <w:tc>
          <w:tcPr>
            <w:tcW w:type="dxa" w:w="2891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合约/抽象</w:t>
            </w:r>
          </w:p>
        </w:tc>
        <w:tc>
          <w:tcPr>
            <w:tcW w:type="dxa" w:w="4535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职责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系统管理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MultiChainManager、AbstractSystemContract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登记源链和系统合约，维护链 ID、层级 ID、合约地址、委员会权限。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质押管理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AbstractStakeManagement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管理搬运工质押、资格、锁定、解锁、惩罚和奖励。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源链规则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AbstractSourceRules、各链 LightClient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抽象源链验证规则，维护轻客户端或影子账本验证能力。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信任中继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AbstractRelayContract、各链 RelayContract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接收搬运工提交的源链数据，更新影子账本并执行奖惩。</w:t>
            </w:r>
          </w:p>
        </w:tc>
      </w:tr>
      <w:tr>
        <w:tc>
          <w:tcPr>
            <w:tcW w:type="dxa" w:w="170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消息传输</w:t>
            </w:r>
          </w:p>
        </w:tc>
        <w:tc>
          <w:tcPr>
            <w:tcW w:type="dxa" w:w="289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AbstractTransportContract、TransportContract</w:t>
            </w:r>
          </w:p>
        </w:tc>
        <w:tc>
          <w:tcPr>
            <w:tcW w:type="dxa" w:w="4535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维护任务类型、创建任务、接单、完成证明和任务状态流转。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4. 关键流程设计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6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chain-task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4.1 跨链任务创建流程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用户在 CrossChainTasks 页面选择源链和任务类型，填写 payload 与费用。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页面通过 crosschain.ts 获取 Manager、RPC 和 Transport 地址，并确保钱包连接到 PunkOS 链。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Transport.createTask 将 payload、routeName、taskType 和奖励费用写入链上任务市场。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任务创建后可被 CrossTasksCreated 页面扫描到，进入待接单状态。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4.2 搬运工接单与证明流程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搬运工在中继者页面查看待处理任务，必须满足 Transport.getRequireStake 要求。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通过 becomeRelayer 追加质押后，搬运工调用 acceptTask 领取任务。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搬运工在目标链执行 payload，可通过 relayer.js 或 relay-scripts 辅助执行。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执行完成后，搬运工提交目标链交易哈希、区块高度、原始交易和区块证明，调用 finishTask 完成验证与结算。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1F4E79"/>
          <w:sz w:val="26"/>
        </w:rPr>
        <w:t>4.3 管理治理流程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委员会成员通过 Manager 页面加载，当前操作者地址由钱包或环境私钥决定。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管理员可以邀请委员会成员、接受邀请、投票移除成员。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源链通过 addNewSourceChain 注册到 Manager，形成新的 chainId、symbol、name。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任务类型通过 Manager.operateSystemContract 代理调用 Transport.setCrossChainRoute 注册，保证系统合约操作受 Manager 治理入口约束。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5. 数据设计</w:t>
      </w:r>
    </w:p>
    <w:p>
      <w:pPr>
        <w:spacing w:before="0" w:after="120" w:line="283" w:lineRule="auto"/>
      </w:pPr>
      <w:r>
        <w:rPr>
          <w:rFonts w:ascii="Calibri" w:hAnsi="Calibri" w:eastAsia="微软雅黑"/>
          <w:b w:val="0"/>
          <w:sz w:val="21"/>
        </w:rPr>
        <w:t>跨链区数据库用于将链上事件、区块、交易、源链状态、影子区块和传输任务索引化，服务于前端浏览和后台监听。当前 server.js 已接入 CrossZone 数据库中的主要表，桥详情页仍存在一部分 testdata 过渡数据。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1757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数据类别</w:t>
            </w:r>
          </w:p>
        </w:tc>
        <w:tc>
          <w:tcPr>
            <w:tcW w:type="dxa" w:w="3288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表/来源</w:t>
            </w:r>
          </w:p>
        </w:tc>
        <w:tc>
          <w:tcPr>
            <w:tcW w:type="dxa" w:w="4082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175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跨链区配置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crosschainzone_info</w:t>
            </w:r>
          </w:p>
        </w:tc>
        <w:tc>
          <w:tcPr>
            <w:tcW w:type="dxa" w:w="4082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保存 RPC、Manager 地址和监听高度。</w:t>
            </w:r>
          </w:p>
        </w:tc>
      </w:tr>
      <w:tr>
        <w:tc>
          <w:tcPr>
            <w:tcW w:type="dxa" w:w="175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源链信息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source_chain_info + Manager</w:t>
            </w:r>
          </w:p>
        </w:tc>
        <w:tc>
          <w:tcPr>
            <w:tcW w:type="dxa" w:w="4082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记录 chain_id、symbol、name、state、注册交易等信息。</w:t>
            </w:r>
          </w:p>
        </w:tc>
      </w:tr>
      <w:tr>
        <w:tc>
          <w:tcPr>
            <w:tcW w:type="dxa" w:w="175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系统合约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system_contract_info</w:t>
            </w:r>
          </w:p>
        </w:tc>
        <w:tc>
          <w:tcPr>
            <w:tcW w:type="dxa" w:w="4082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记录合约地址、所属链、level_id、状态和部署交易。</w:t>
            </w:r>
          </w:p>
        </w:tc>
      </w:tr>
      <w:tr>
        <w:tc>
          <w:tcPr>
            <w:tcW w:type="dxa" w:w="175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中继链索引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hub_block_info、hub_tx_info、event_info</w:t>
            </w:r>
          </w:p>
        </w:tc>
        <w:tc>
          <w:tcPr>
            <w:tcW w:type="dxa" w:w="4082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记录 HubChain 区块、交易和关键事件。</w:t>
            </w:r>
          </w:p>
        </w:tc>
      </w:tr>
      <w:tr>
        <w:tc>
          <w:tcPr>
            <w:tcW w:type="dxa" w:w="175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影子账本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source_shadow_info_{chain_id}</w:t>
            </w:r>
          </w:p>
        </w:tc>
        <w:tc>
          <w:tcPr>
            <w:tcW w:type="dxa" w:w="4082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记录源链影子区块 key、父 key、提交与打开事件。</w:t>
            </w:r>
          </w:p>
        </w:tc>
      </w:tr>
      <w:tr>
        <w:tc>
          <w:tcPr>
            <w:tcW w:type="dxa" w:w="175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传输任务</w:t>
            </w:r>
          </w:p>
        </w:tc>
        <w:tc>
          <w:tcPr>
            <w:tcW w:type="dxa" w:w="328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transport_task_info_{chain_id} + Transport</w:t>
            </w:r>
          </w:p>
        </w:tc>
        <w:tc>
          <w:tcPr>
            <w:tcW w:type="dxa" w:w="4082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记录任务状态、payload、接单与完成事件。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6. 当前实现映射与边界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2041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能力</w:t>
            </w:r>
          </w:p>
        </w:tc>
        <w:tc>
          <w:tcPr>
            <w:tcW w:type="dxa" w:w="1928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当前实现程度</w:t>
            </w:r>
          </w:p>
        </w:tc>
        <w:tc>
          <w:tcPr>
            <w:tcW w:type="dxa" w:w="5159"/>
            <w:shd w:fill="D9EAF7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204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客户端入口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已实现</w:t>
            </w:r>
          </w:p>
        </w:tc>
        <w:tc>
          <w:tcPr>
            <w:tcW w:type="dxa" w:w="5159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跨链概览、搬运工、管理者、跨链任务、中继者页面已形成主入口。</w:t>
            </w:r>
          </w:p>
        </w:tc>
      </w:tr>
      <w:tr>
        <w:tc>
          <w:tcPr>
            <w:tcW w:type="dxa" w:w="204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地址配置收口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已实现</w:t>
            </w:r>
          </w:p>
        </w:tc>
        <w:tc>
          <w:tcPr>
            <w:tcW w:type="dxa" w:w="5159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Manager 和 RPC 通过环境变量或后端配置读取，Transport 通过 Manager 动态解析。</w:t>
            </w:r>
          </w:p>
        </w:tc>
      </w:tr>
      <w:tr>
        <w:tc>
          <w:tcPr>
            <w:tcW w:type="dxa" w:w="204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系统治理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部分实现偏高</w:t>
            </w:r>
          </w:p>
        </w:tc>
        <w:tc>
          <w:tcPr>
            <w:tcW w:type="dxa" w:w="5159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委员会、源链注册、任务类型注册已接入链上；合约升级、暂停、重启未完整产品化。</w:t>
            </w:r>
          </w:p>
        </w:tc>
      </w:tr>
      <w:tr>
        <w:tc>
          <w:tcPr>
            <w:tcW w:type="dxa" w:w="204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传输任务闭环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部分实现偏高</w:t>
            </w:r>
          </w:p>
        </w:tc>
        <w:tc>
          <w:tcPr>
            <w:tcW w:type="dxa" w:w="5159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createTask、acceptTask、finishTask 已接入；复杂 verifier、超时重接、争议处理仍需补齐。</w:t>
            </w:r>
          </w:p>
        </w:tc>
      </w:tr>
      <w:tr>
        <w:tc>
          <w:tcPr>
            <w:tcW w:type="dxa" w:w="204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信任中继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部分实现</w:t>
            </w:r>
          </w:p>
        </w:tc>
        <w:tc>
          <w:tcPr>
            <w:tcW w:type="dxa" w:w="5159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relay 脚本和影子账本框架存在；不同源链验证完备度不一致。</w:t>
            </w:r>
          </w:p>
        </w:tc>
      </w:tr>
      <w:tr>
        <w:tc>
          <w:tcPr>
            <w:tcW w:type="dxa" w:w="204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浏览器详情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演示化实现</w:t>
            </w:r>
          </w:p>
        </w:tc>
        <w:tc>
          <w:tcPr>
            <w:tcW w:type="dxa" w:w="5159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Bridge、Transaction、Block 页面结构完整，但仍混用 testdata。</w:t>
            </w:r>
          </w:p>
        </w:tc>
      </w:tr>
      <w:tr>
        <w:tc>
          <w:tcPr>
            <w:tcW w:type="dxa" w:w="204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数据库索引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部分实现</w:t>
            </w:r>
          </w:p>
        </w:tc>
        <w:tc>
          <w:tcPr>
            <w:tcW w:type="dxa" w:w="5159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后端读取主要表和链上任务；前端未全部统一切换到后端索引。</w:t>
            </w:r>
          </w:p>
        </w:tc>
      </w:tr>
      <w:tr>
        <w:tc>
          <w:tcPr>
            <w:tcW w:type="dxa" w:w="204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Transport/User 独立页</w:t>
            </w:r>
          </w:p>
        </w:tc>
        <w:tc>
          <w:tcPr>
            <w:tcW w:type="dxa" w:w="1928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未实现</w:t>
            </w:r>
          </w:p>
        </w:tc>
        <w:tc>
          <w:tcPr>
            <w:tcW w:type="dxa" w:w="5159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Transport.vue 为占位，User.vue 未正式开放。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7. 部署与配置说明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前端推荐配置 VITE_RPC_URL、VITE_MANAGER_CONTRACT_ADDRESS、VITE_CROSSCHAIN_BACKEND_URL、VITE_HUB_CHAIN_ID、VITE_TRANSPORT_LEVEL_ID。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本地后端可通过 RPC_URL、DB_HOST、DB_PORT、DB_USER、DB_PASS、DB_NAME、DEPLOY_ENV 等变量连接链和数据库。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服务端地址文件位于 services/crosschain/data/{env}/，用于 Manager、TransportTaskVerifier 等合约地址兜底读取。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搬运脚本位于 vite/packages/table/page/core/CrossChain/relay-scripts 和 relay-bundles，运行时需要对应源链 RPC、私钥和全节点状态。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8. 风险与后续完善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桥详情、交易详情和区块详情需要从 testdata 迁移到统一后端索引或链上读取。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跨链任务页需要继续核对源链选择、任务类型和部署约定之间的真实映射关系。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证明提交流程目前仍偏手工，应继续封装 proof 生成、校验和错误提示。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Manager 页面已有核心治理动作，但合约生命周期治理仍需补齐部署、暂停、恢复、升级等能力。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服务端默认私钥和默认 RPC 应在生产环境移除或改为显式配置，避免环境误用。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F4E79"/>
          <w:sz w:val="32"/>
        </w:rPr>
        <w:t>9. 结论</w:t>
      </w:r>
    </w:p>
    <w:p>
      <w:pPr>
        <w:spacing w:before="0" w:after="120" w:line="283" w:lineRule="auto"/>
      </w:pPr>
      <w:r>
        <w:rPr>
          <w:rFonts w:ascii="Calibri" w:hAnsi="Calibri" w:eastAsia="微软雅黑"/>
          <w:b w:val="0"/>
          <w:sz w:val="21"/>
        </w:rPr>
        <w:t>跨链区当前已经具备原型级闭环：前端页面可进入跨链总览、治理、任务发起、中继者操作和搬运脚本入口；底层通过 Manager、Relay/LightClient 和 Transport 承接源链登记、信任中继、任务市场和质押激励；后端服务和数据库负责把链上状态、索引数据和证明脚本能力提供给桌面端。</w:t>
      </w:r>
    </w:p>
    <w:p>
      <w:pPr>
        <w:spacing w:before="0" w:after="120" w:line="283" w:lineRule="auto"/>
      </w:pPr>
      <w:r>
        <w:rPr>
          <w:rFonts w:ascii="Calibri" w:hAnsi="Calibri" w:eastAsia="微软雅黑"/>
          <w:b w:val="0"/>
          <w:sz w:val="21"/>
        </w:rPr>
        <w:t>从完整产品化角度看，仍需继续完善桥浏览数据源、复杂治理生命周期、严格证明生成与多源链适配完备性。因此本阶段更准确的定位是：跨链区底层协议和桌面端入口已经形成可联调的系统骨架，核心链上任务流程初步可用，距离完整生产级跨链系统仍需继续收敛。</w:t>
      </w:r>
    </w:p>
    <w:sectPr w:rsidR="00FC693F" w:rsidRPr="0006063C" w:rsidSect="00034616">
      <w:footerReference w:type="default" r:id="rId12"/>
      <w:pgSz w:w="11909" w:h="16834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5B677A"/>
        <w:sz w:val="18"/>
      </w:rPr>
      <w:t>PunkOS 跨链区设计文档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