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5" w:name="appendix-a.-proposed-budget"/>
    <w:p>
      <w:pPr>
        <w:pStyle w:val="Heading2"/>
      </w:pPr>
      <w:r>
        <w:t xml:space="preserve">Appendix A. Proposed budget</w:t>
      </w:r>
    </w:p>
    <w:p>
      <w:pPr>
        <w:pStyle w:val="FirstParagraph"/>
      </w:pPr>
      <w:r>
        <w:t xml:space="preserve">Total requested RM25,000.00 over twenty-four months. Year 1 runs from March 2027 to February 2028</w:t>
      </w:r>
      <w:r>
        <w:t xml:space="preserve"> </w:t>
      </w:r>
      <w:r>
        <w:t xml:space="preserve">and Year 2 from March 2028 to February 2029. Guideline section references are to Section 7 of the</w:t>
      </w:r>
      <w:r>
        <w:t xml:space="preserve"> </w:t>
      </w:r>
      <w:r>
        <w:t xml:space="preserve">internal research grant guidelines. This table is supplied as a PDF attachment, since the portal</w:t>
      </w:r>
      <w:r>
        <w:t xml:space="preserve"> </w:t>
      </w:r>
      <w:r>
        <w:t xml:space="preserve">does not accept tables; the per-vot prose that follows is written for direct entry into the</w:t>
      </w:r>
      <w:r>
        <w:t xml:space="preserve"> </w:t>
      </w:r>
      <w:r>
        <w:t xml:space="preserve">corresponding URCMS fields. All supplier unit costs are planning figures pending current</w:t>
      </w:r>
      <w:r>
        <w:t xml:space="preserve"> </w:t>
      </w:r>
      <w:r>
        <w:t xml:space="preserve">quotations, with the exception of the Sanger sequencing rate, which is quoted.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VOT</w:t>
            </w:r>
          </w:p>
        </w:tc>
        <w:tc>
          <w:tcPr/>
          <w:p>
            <w:pPr>
              <w:pStyle w:val="Compact"/>
              <w:jc w:val="left"/>
            </w:pPr>
            <w:r>
              <w:t xml:space="preserve">Category</w:t>
            </w:r>
          </w:p>
        </w:tc>
        <w:tc>
          <w:tcPr/>
          <w:p>
            <w:pPr>
              <w:pStyle w:val="Compact"/>
              <w:jc w:val="left"/>
            </w:pPr>
            <w:r>
              <w:t xml:space="preserve">Justification and detailed breakdown (Year 1 and Year 2)</w:t>
            </w:r>
          </w:p>
        </w:tc>
        <w:tc>
          <w:tcPr/>
          <w:p>
            <w:pPr>
              <w:pStyle w:val="Compact"/>
              <w:jc w:val="left"/>
            </w:pPr>
            <w:r>
              <w:t xml:space="preserve">Year 1 (RM)</w:t>
            </w:r>
          </w:p>
        </w:tc>
        <w:tc>
          <w:tcPr/>
          <w:p>
            <w:pPr>
              <w:pStyle w:val="Compact"/>
              <w:jc w:val="left"/>
            </w:pPr>
            <w:r>
              <w:t xml:space="preserve">Year 2 (RM)</w:t>
            </w:r>
          </w:p>
        </w:tc>
        <w:tc>
          <w:tcPr/>
          <w:p>
            <w:pPr>
              <w:pStyle w:val="Compact"/>
              <w:jc w:val="left"/>
            </w:pPr>
            <w:r>
              <w:t xml:space="preserve">Total (RM)</w:t>
            </w:r>
          </w:p>
        </w:tc>
      </w:tr>
      <w:tr>
        <w:tc>
          <w:tcPr/>
          <w:p>
            <w:pPr>
              <w:pStyle w:val="Compact"/>
              <w:jc w:val="left"/>
            </w:pPr>
            <w:r>
              <w:t xml:space="preserve">11000</w:t>
            </w:r>
          </w:p>
        </w:tc>
        <w:tc>
          <w:tcPr/>
          <w:p>
            <w:pPr>
              <w:pStyle w:val="Compact"/>
              <w:jc w:val="left"/>
            </w:pPr>
            <w:r>
              <w:t xml:space="preserve">Salary and Wages</w:t>
            </w:r>
          </w:p>
        </w:tc>
        <w:tc>
          <w:tcPr/>
          <w:p>
            <w:pPr>
              <w:pStyle w:val="Compact"/>
              <w:jc w:val="left"/>
            </w:pPr>
            <w:r>
              <w:rPr>
                <w:bCs/>
                <w:b/>
              </w:rPr>
              <w:t xml:space="preserve">Y1 (RM 1,500):</w:t>
            </w:r>
            <w:r>
              <w:t xml:space="preserve"> </w:t>
            </w:r>
            <w:r>
              <w:t xml:space="preserve">Undergraduate research assistant allowance (RM 7.00/hour x 4 hours/day x approx. 18 days = RM 500.00/month x 3 active months) for sampling rounds R1 to R3 and monitoring node assembly.</w:t>
            </w:r>
            <w:r>
              <w:t xml:space="preserve"> </w:t>
            </w:r>
            <w:r>
              <w:rPr>
                <w:bCs/>
                <w:b/>
              </w:rPr>
              <w:t xml:space="preserve">Y2 (RM 1,500):</w:t>
            </w:r>
            <w:r>
              <w:t xml:space="preserve"> </w:t>
            </w:r>
            <w:r>
              <w:t xml:space="preserve">RA allowance (RM 500.00/month x 3 active months) for rounds R4 to R6, plate inoculation and cold-chain packing. Rate complies with Guideline Section 7(a); total within the RM 3,000 ceiling.</w:t>
            </w:r>
          </w:p>
        </w:tc>
        <w:tc>
          <w:tcPr/>
          <w:p>
            <w:pPr>
              <w:pStyle w:val="Compact"/>
              <w:jc w:val="left"/>
            </w:pPr>
            <w:r>
              <w:t xml:space="preserve">1,500.00</w:t>
            </w:r>
          </w:p>
        </w:tc>
        <w:tc>
          <w:tcPr/>
          <w:p>
            <w:pPr>
              <w:pStyle w:val="Compact"/>
              <w:jc w:val="left"/>
            </w:pPr>
            <w:r>
              <w:t xml:space="preserve">1,500.00</w:t>
            </w:r>
          </w:p>
        </w:tc>
        <w:tc>
          <w:tcPr/>
          <w:p>
            <w:pPr>
              <w:pStyle w:val="Compact"/>
              <w:jc w:val="left"/>
            </w:pPr>
            <w:r>
              <w:t xml:space="preserve">3,000.00</w:t>
            </w:r>
          </w:p>
        </w:tc>
      </w:tr>
      <w:tr>
        <w:tc>
          <w:tcPr/>
          <w:p>
            <w:pPr>
              <w:pStyle w:val="Compact"/>
              <w:jc w:val="left"/>
            </w:pPr>
            <w:r>
              <w:t xml:space="preserve">21000</w:t>
            </w:r>
          </w:p>
        </w:tc>
        <w:tc>
          <w:tcPr/>
          <w:p>
            <w:pPr>
              <w:pStyle w:val="Compact"/>
              <w:jc w:val="left"/>
            </w:pPr>
            <w:r>
              <w:t xml:space="preserve">Travel and Transport</w:t>
            </w:r>
          </w:p>
        </w:tc>
        <w:tc>
          <w:tcPr/>
          <w:p>
            <w:pPr>
              <w:pStyle w:val="Compact"/>
              <w:jc w:val="left"/>
            </w:pPr>
            <w:r>
              <w:rPr>
                <w:bCs/>
                <w:b/>
              </w:rPr>
              <w:t xml:space="preserve">Y1 (RM 850):</w:t>
            </w:r>
            <w:r>
              <w:t xml:space="preserve"> </w:t>
            </w:r>
            <w:r>
              <w:t xml:space="preserve">Cold-chain transport of swabs, media and inoculated plates between UTS Sibu and SRDC-TROPI, Kota Samarahan (5 legs x RM 150.00 = RM 750.00); inbound delivery of sensor modules and field consumables (2 x RM 50.00 = RM 100.00).</w:t>
            </w:r>
            <w:r>
              <w:t xml:space="preserve"> </w:t>
            </w:r>
            <w:r>
              <w:rPr>
                <w:bCs/>
                <w:b/>
              </w:rPr>
              <w:t xml:space="preserve">Y2 (RM 2,150):</w:t>
            </w:r>
            <w:r>
              <w:t xml:space="preserve"> </w:t>
            </w:r>
            <w:r>
              <w:t xml:space="preserve">Cold-chain transport (4 legs x RM 150.00 = RM 600.00); delivery (RM 50.00); attendance at one national conference to present project findings (RM 1,500.00 covering return airfare RM 700.00, accommodation RM 250.00/night x 3 nights, ground transport RM 50.00). (Note: Conference registration fee is claimed under VOT 29000. Local Sibu fieldwork travel excluded, as all four sampled buildings are on campus. Within RM 3,000 SET ceiling, Guideline Section 7(b).)</w:t>
            </w:r>
          </w:p>
        </w:tc>
        <w:tc>
          <w:tcPr/>
          <w:p>
            <w:pPr>
              <w:pStyle w:val="Compact"/>
              <w:jc w:val="left"/>
            </w:pPr>
            <w:r>
              <w:t xml:space="preserve">850.00</w:t>
            </w:r>
          </w:p>
        </w:tc>
        <w:tc>
          <w:tcPr/>
          <w:p>
            <w:pPr>
              <w:pStyle w:val="Compact"/>
              <w:jc w:val="left"/>
            </w:pPr>
            <w:r>
              <w:t xml:space="preserve">2,150.00</w:t>
            </w:r>
          </w:p>
        </w:tc>
        <w:tc>
          <w:tcPr/>
          <w:p>
            <w:pPr>
              <w:pStyle w:val="Compact"/>
              <w:jc w:val="left"/>
            </w:pPr>
            <w:r>
              <w:t xml:space="preserve">3,000.00</w:t>
            </w:r>
          </w:p>
        </w:tc>
      </w:tr>
      <w:tr>
        <w:tc>
          <w:tcPr/>
          <w:p>
            <w:pPr>
              <w:pStyle w:val="Compact"/>
              <w:jc w:val="left"/>
            </w:pPr>
            <w:r>
              <w:t xml:space="preserve">24000</w:t>
            </w:r>
          </w:p>
        </w:tc>
        <w:tc>
          <w:tcPr/>
          <w:p>
            <w:pPr>
              <w:pStyle w:val="Compact"/>
              <w:jc w:val="left"/>
            </w:pPr>
            <w:r>
              <w:t xml:space="preserve">Rental</w:t>
            </w:r>
          </w:p>
        </w:tc>
        <w:tc>
          <w:tcPr/>
          <w:p>
            <w:pPr>
              <w:pStyle w:val="Compact"/>
              <w:jc w:val="left"/>
            </w:pPr>
            <w:r>
              <w:rPr>
                <w:bCs/>
                <w:b/>
              </w:rPr>
              <w:t xml:space="preserve">Y1 (RM 1,200):</w:t>
            </w:r>
            <w:r>
              <w:t xml:space="preserve"> </w:t>
            </w:r>
            <w:r>
              <w:t xml:space="preserve">Rental of a reference-grade air quality analyser for co-location calibration of the monitoring nodes (RM 600.00/week x 2 weeks): one pre-deployment campaign and one post-installation verification.</w:t>
            </w:r>
            <w:r>
              <w:t xml:space="preserve"> </w:t>
            </w:r>
            <w:r>
              <w:rPr>
                <w:bCs/>
                <w:b/>
              </w:rPr>
              <w:t xml:space="preserve">Y2 (RM 0):</w:t>
            </w:r>
            <w:r>
              <w:t xml:space="preserve"> </w:t>
            </w:r>
            <w:r>
              <w:t xml:space="preserve">No further rental required. (Note: Rental rather than purchase, as the instrument is required for two short campaigns only. Placed in VOT 24000 per Guideline Section 7(c).)</w:t>
            </w:r>
          </w:p>
        </w:tc>
        <w:tc>
          <w:tcPr/>
          <w:p>
            <w:pPr>
              <w:pStyle w:val="Compact"/>
              <w:jc w:val="left"/>
            </w:pPr>
            <w:r>
              <w:t xml:space="preserve">1,200.00</w:t>
            </w:r>
          </w:p>
        </w:tc>
        <w:tc>
          <w:tcPr/>
          <w:p>
            <w:pPr>
              <w:pStyle w:val="Compact"/>
              <w:jc w:val="left"/>
            </w:pPr>
            <w:r>
              <w:t xml:space="preserve">0.00</w:t>
            </w:r>
          </w:p>
        </w:tc>
        <w:tc>
          <w:tcPr/>
          <w:p>
            <w:pPr>
              <w:pStyle w:val="Compact"/>
              <w:jc w:val="left"/>
            </w:pPr>
            <w:r>
              <w:t xml:space="preserve">1,200.00</w:t>
            </w:r>
          </w:p>
        </w:tc>
      </w:tr>
      <w:tr>
        <w:tc>
          <w:tcPr/>
          <w:p>
            <w:pPr>
              <w:pStyle w:val="Compact"/>
              <w:jc w:val="left"/>
            </w:pPr>
            <w:r>
              <w:t xml:space="preserve">26000</w:t>
            </w:r>
          </w:p>
        </w:tc>
        <w:tc>
          <w:tcPr/>
          <w:p>
            <w:pPr>
              <w:pStyle w:val="Compact"/>
              <w:jc w:val="left"/>
            </w:pPr>
            <w:r>
              <w:t xml:space="preserve">Research Materials and Supplies</w:t>
            </w:r>
          </w:p>
        </w:tc>
        <w:tc>
          <w:tcPr/>
          <w:p>
            <w:pPr>
              <w:pStyle w:val="Compact"/>
              <w:jc w:val="left"/>
            </w:pPr>
            <w:r>
              <w:rPr>
                <w:bCs/>
                <w:b/>
              </w:rPr>
              <w:t xml:space="preserve">Y1 (RM 9,300):</w:t>
            </w:r>
            <w:r>
              <w:t xml:space="preserve"> </w:t>
            </w:r>
            <w:r>
              <w:t xml:space="preserve">Portable air-quality monitoring nodes, four units plus spares (RM 8,040), comprising the sensing subsystem for particulates, gases, temperature and humidity (RM 3,920); control and communications, including microcontrollers and gateway (RM 1,440); enclosure, mounting and power, including solar and battery (RM 2,080); and fabrication and prototyping consumables (RM 600). Field sampling consumables (RM 1,260) comprising sterile sampling templates (RM 600), cold-chain coolers and gel packs (RM 360), and PPE for rounds R1 to R3 (RM 300).</w:t>
            </w:r>
            <w:r>
              <w:t xml:space="preserve"> </w:t>
            </w:r>
            <w:r>
              <w:rPr>
                <w:bCs/>
                <w:b/>
              </w:rPr>
              <w:t xml:space="preserve">Y2 (RM 2,500):</w:t>
            </w:r>
            <w:r>
              <w:t xml:space="preserve"> </w:t>
            </w:r>
            <w:r>
              <w:t xml:space="preserve">Additional cold-chain coolers (RM 360); PPE and field consumables for rounds R4 to R6 (RM 400); ethanol, sample bags, labels and markers (RM 540); culture consumable contingency (RM 1,200) for SDA and PDA media, sterile swabs and Petri dishes. (Note: Node configuration follows a build already validated in deployed service, removing design risk; final component selection and procurement follow UTS Procurement Procedure. Culture media and swabs are supplied by SRDC-TROPI as in-kind matched expenditure. Sulphur dioxide sensing excluded.)</w:t>
            </w:r>
          </w:p>
        </w:tc>
        <w:tc>
          <w:tcPr/>
          <w:p>
            <w:pPr>
              <w:pStyle w:val="Compact"/>
              <w:jc w:val="left"/>
            </w:pPr>
            <w:r>
              <w:t xml:space="preserve">9,300.00</w:t>
            </w:r>
          </w:p>
        </w:tc>
        <w:tc>
          <w:tcPr/>
          <w:p>
            <w:pPr>
              <w:pStyle w:val="Compact"/>
              <w:jc w:val="left"/>
            </w:pPr>
            <w:r>
              <w:t xml:space="preserve">2,500.00</w:t>
            </w:r>
          </w:p>
        </w:tc>
        <w:tc>
          <w:tcPr/>
          <w:p>
            <w:pPr>
              <w:pStyle w:val="Compact"/>
              <w:jc w:val="left"/>
            </w:pPr>
            <w:r>
              <w:t xml:space="preserve">11,800.00</w:t>
            </w:r>
          </w:p>
        </w:tc>
      </w:tr>
      <w:tr>
        <w:tc>
          <w:tcPr/>
          <w:p>
            <w:pPr>
              <w:pStyle w:val="Compact"/>
              <w:jc w:val="left"/>
            </w:pPr>
            <w:r>
              <w:t xml:space="preserve">29000</w:t>
            </w:r>
          </w:p>
        </w:tc>
        <w:tc>
          <w:tcPr/>
          <w:p>
            <w:pPr>
              <w:pStyle w:val="Compact"/>
              <w:jc w:val="left"/>
            </w:pPr>
            <w:r>
              <w:t xml:space="preserve">Professional Services</w:t>
            </w:r>
          </w:p>
        </w:tc>
        <w:tc>
          <w:tcPr/>
          <w:p>
            <w:pPr>
              <w:pStyle w:val="Compact"/>
              <w:jc w:val="left"/>
            </w:pPr>
            <w:r>
              <w:rPr>
                <w:bCs/>
                <w:b/>
              </w:rPr>
              <w:t xml:space="preserve">Y1 (RM 1,300):</w:t>
            </w:r>
            <w:r>
              <w:t xml:space="preserve"> </w:t>
            </w:r>
            <w:r>
              <w:t xml:space="preserve">Sanger sequencing of ITS amplicons, 32 reactions at RM 25.00 (RM 800.00) for isolates from rounds R1 to R3; SORAS application and Sarawak Biodiversity Council permit fees (RM 500.00).</w:t>
            </w:r>
            <w:r>
              <w:t xml:space="preserve"> </w:t>
            </w:r>
            <w:r>
              <w:rPr>
                <w:bCs/>
                <w:b/>
              </w:rPr>
              <w:t xml:space="preserve">Y2 (RM 1,700):</w:t>
            </w:r>
            <w:r>
              <w:t xml:space="preserve"> </w:t>
            </w:r>
            <w:r>
              <w:t xml:space="preserve">Sanger sequencing, 48 reactions at RM 25.00 (RM 1,200.00) for isolates from rounds R4 to R6; registration fee for one national conference (RM 500.00). (Note: DNA extraction and PCR are performed by SRDC-TROPI as an in-kind matched contribution, so only the sequencing service is charged to this grant. Journal article processing charges excluded; non-APC journals targeted. Within RM 3,000 SET ceiling, Guideline Section 7(f).)</w:t>
            </w:r>
          </w:p>
        </w:tc>
        <w:tc>
          <w:tcPr/>
          <w:p>
            <w:pPr>
              <w:pStyle w:val="Compact"/>
              <w:jc w:val="left"/>
            </w:pPr>
            <w:r>
              <w:t xml:space="preserve">1,300.00</w:t>
            </w:r>
          </w:p>
        </w:tc>
        <w:tc>
          <w:tcPr/>
          <w:p>
            <w:pPr>
              <w:pStyle w:val="Compact"/>
              <w:jc w:val="left"/>
            </w:pPr>
            <w:r>
              <w:t xml:space="preserve">1,700.00</w:t>
            </w:r>
          </w:p>
        </w:tc>
        <w:tc>
          <w:tcPr/>
          <w:p>
            <w:pPr>
              <w:pStyle w:val="Compact"/>
              <w:jc w:val="left"/>
            </w:pPr>
            <w:r>
              <w:t xml:space="preserve">3,000.00</w:t>
            </w:r>
          </w:p>
        </w:tc>
      </w:tr>
      <w:tr>
        <w:tc>
          <w:tcPr/>
          <w:p>
            <w:pPr>
              <w:pStyle w:val="Compact"/>
              <w:jc w:val="left"/>
            </w:pPr>
            <w:r>
              <w:t xml:space="preserve">35000</w:t>
            </w:r>
          </w:p>
        </w:tc>
        <w:tc>
          <w:tcPr/>
          <w:p>
            <w:pPr>
              <w:pStyle w:val="Compact"/>
              <w:jc w:val="left"/>
            </w:pPr>
            <w:r>
              <w:t xml:space="preserve">Accessories and Small Appliances</w:t>
            </w:r>
          </w:p>
        </w:tc>
        <w:tc>
          <w:tcPr/>
          <w:p>
            <w:pPr>
              <w:pStyle w:val="Compact"/>
              <w:jc w:val="left"/>
            </w:pPr>
            <w:r>
              <w:rPr>
                <w:bCs/>
                <w:b/>
              </w:rPr>
              <w:t xml:space="preserve">Y1 (RM 3,000):</w:t>
            </w:r>
            <w:r>
              <w:t xml:space="preserve"> </w:t>
            </w:r>
            <w:r>
              <w:t xml:space="preserve">Outdoor-rated display panel for live campus air-quality readings at a high-traffic location (RM 2,200.00); weatherproof housing, mounting bracket and installation hardware (RM 800.00).</w:t>
            </w:r>
            <w:r>
              <w:t xml:space="preserve"> </w:t>
            </w:r>
            <w:r>
              <w:rPr>
                <w:bCs/>
                <w:b/>
              </w:rPr>
              <w:t xml:space="preserve">Y2 (RM 0):</w:t>
            </w:r>
            <w:r>
              <w:t xml:space="preserve"> </w:t>
            </w:r>
            <w:r>
              <w:t xml:space="preserve">No accessories required. (Note: Cloud hosting and data plan excluded as utilities, provided instead as a UTS in-kind contribution. Assets remain UTS property. Total is 12% of grant, within the 40% ceiling, Guideline Section 7(g).)</w:t>
            </w:r>
          </w:p>
        </w:tc>
        <w:tc>
          <w:tcPr/>
          <w:p>
            <w:pPr>
              <w:pStyle w:val="Compact"/>
              <w:jc w:val="left"/>
            </w:pPr>
            <w:r>
              <w:t xml:space="preserve">3,000.00</w:t>
            </w:r>
          </w:p>
        </w:tc>
        <w:tc>
          <w:tcPr/>
          <w:p>
            <w:pPr>
              <w:pStyle w:val="Compact"/>
              <w:jc w:val="left"/>
            </w:pPr>
            <w:r>
              <w:t xml:space="preserve">0.00</w:t>
            </w:r>
          </w:p>
        </w:tc>
        <w:tc>
          <w:tcPr/>
          <w:p>
            <w:pPr>
              <w:pStyle w:val="Compact"/>
              <w:jc w:val="left"/>
            </w:pPr>
            <w:r>
              <w:t xml:space="preserve">3,000.00</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17,150.00</w:t>
            </w:r>
          </w:p>
        </w:tc>
        <w:tc>
          <w:tcPr/>
          <w:p>
            <w:pPr>
              <w:pStyle w:val="Compact"/>
              <w:jc w:val="left"/>
            </w:pPr>
            <w:r>
              <w:rPr>
                <w:bCs/>
                <w:b/>
              </w:rPr>
              <w:t xml:space="preserve">7,850.00</w:t>
            </w:r>
          </w:p>
        </w:tc>
        <w:tc>
          <w:tcPr/>
          <w:p>
            <w:pPr>
              <w:pStyle w:val="Compact"/>
              <w:jc w:val="left"/>
            </w:pPr>
            <w:r>
              <w:rPr>
                <w:bCs/>
                <w:b/>
              </w:rPr>
              <w:t xml:space="preserve">25,000.00</w:t>
            </w:r>
          </w:p>
        </w:tc>
      </w:tr>
    </w:tbl>
    <w:p>
      <w:pPr>
        <w:pStyle w:val="BodyText"/>
      </w:pPr>
      <w:r>
        <w:t xml:space="preserve">VOT 23000 and VOT 28000 are not used. Virement may be exercised only once during the project and</w:t>
      </w:r>
      <w:r>
        <w:t xml:space="preserve"> </w:t>
      </w:r>
      <w:r>
        <w:t xml:space="preserve">requires the approval of the Director, Centre for Research and Development.</w:t>
      </w:r>
    </w:p>
    <w:bookmarkStart w:id="47" w:name="per-vot-text-for-the-urcms-fields"/>
    <w:p>
      <w:pPr>
        <w:pStyle w:val="Heading3"/>
      </w:pPr>
      <w:r>
        <w:t xml:space="preserve">Per-vot text for the URCMS fields</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End w:id="47"/>
    <w:bookmarkStart w:id="48"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8"/>
    <w:bookmarkStart w:id="49"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9"/>
    <w:bookmarkStart w:id="50"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50"/>
    <w:bookmarkStart w:id="51"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covering Sabouraud dextrose agar and</w:t>
      </w:r>
      <w:r>
        <w:t xml:space="preserve"> </w:t>
      </w:r>
      <w:r>
        <w:t xml:space="preserve">potato dextrose agar media, sterile swabs and Petri dishes. SRDC-TROPI supplies these items from</w:t>
      </w:r>
      <w:r>
        <w:t xml:space="preserve"> </w:t>
      </w:r>
      <w:r>
        <w:t xml:space="preserve">its matched research expenditure, so this allocation is a contingency only, covering the control</w:t>
      </w:r>
      <w:r>
        <w:t xml:space="preserve"> </w:t>
      </w:r>
      <w:r>
        <w:t xml:space="preserve">plates that the contamination control protocol requires, repeat sampling after a failed batch,</w:t>
      </w:r>
      <w:r>
        <w:t xml:space="preserve"> </w:t>
      </w:r>
      <w:r>
        <w:t xml:space="preserve">and any delay in partner supply. It ensures that the sampling programme is not interrupted and</w:t>
      </w:r>
      <w:r>
        <w:t xml:space="preserve"> </w:t>
      </w:r>
      <w:r>
        <w:t xml:space="preserve">does not duplicate the partner's provision.</w:t>
      </w:r>
    </w:p>
    <w:p>
      <w:pPr>
        <w:pStyle w:val="BodyText"/>
      </w:pPr>
      <w:r>
        <w:t xml:space="preserve">Year 1 totals RM9,300.00 for node development and initial consumables, and Year 2 totals</w:t>
      </w:r>
      <w:r>
        <w:t xml:space="preserve"> </w:t>
      </w:r>
      <w:r>
        <w:t xml:space="preserve">RM2,500.00 for consumables, spares and node maintenance parts.</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1"/>
    <w:bookmarkStart w:id="52"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2"/>
    <w:bookmarkStart w:id="53"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3"/>
    <w:bookmarkStart w:id="54"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RM17,150.00 and Year 2 totals RM7,850.00, giving RM25,000.00 in all.</w:t>
      </w:r>
    </w:p>
    <w:bookmarkEnd w:id="54"/>
    <w:bookmarkEnd w:id="55"/>
    <w:bookmarkStart w:id="56"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2026-10-28T10:47:18Z</dcterms:created>
  <dcterms:modified xsi:type="dcterms:W3CDTF">2026-10-28T10:47:18Z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