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4" w:name="appendix-a.-budget-by-vot"/>
    <w:p>
      <w:pPr>
        <w:pStyle w:val="Heading2"/>
      </w:pPr>
      <w:r>
        <w:t xml:space="preserve">Appendix A. Budget by vot</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Start w:id="47"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7"/>
    <w:bookmarkStart w:id="48"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8"/>
    <w:bookmarkStart w:id="49"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49"/>
    <w:bookmarkStart w:id="50"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covering Sabouraud dextrose agar and</w:t>
      </w:r>
      <w:r>
        <w:t xml:space="preserve"> </w:t>
      </w:r>
      <w:r>
        <w:t xml:space="preserve">potato dextrose agar media, sterile swabs and Petri dishes. SRDC-TROPI supplies these items from</w:t>
      </w:r>
      <w:r>
        <w:t xml:space="preserve"> </w:t>
      </w:r>
      <w:r>
        <w:t xml:space="preserve">its matched research expenditure, so this allocation is a contingency only, covering the control</w:t>
      </w:r>
      <w:r>
        <w:t xml:space="preserve"> </w:t>
      </w:r>
      <w:r>
        <w:t xml:space="preserve">plates that the contamination control protocol requires, repeat sampling after a failed batch,</w:t>
      </w:r>
      <w:r>
        <w:t xml:space="preserve"> </w:t>
      </w:r>
      <w:r>
        <w:t xml:space="preserve">and any delay in partner supply. It ensures that the sampling programme is not interrupted and</w:t>
      </w:r>
      <w:r>
        <w:t xml:space="preserve"> </w:t>
      </w:r>
      <w:r>
        <w:t xml:space="preserve">does not duplicate the partner's provision.</w:t>
      </w:r>
    </w:p>
    <w:p>
      <w:pPr>
        <w:pStyle w:val="BodyText"/>
      </w:pPr>
      <w:r>
        <w:t xml:space="preserve">Year 1 totals RM9,300.00 for node development and initial consumables, and Year 2 totals</w:t>
      </w:r>
      <w:r>
        <w:t xml:space="preserve"> </w:t>
      </w:r>
      <w:r>
        <w:t xml:space="preserve">RM2,500.00 for consumables, spares and node maintenance parts.</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0"/>
    <w:bookmarkStart w:id="51"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1"/>
    <w:bookmarkStart w:id="52"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2"/>
    <w:bookmarkStart w:id="53"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RM17,150.00 and Year 2 totals RM7,850.00, giving RM25,000.00 in all.</w:t>
      </w:r>
    </w:p>
    <w:bookmarkEnd w:id="53"/>
    <w:bookmarkEnd w:id="54"/>
    <w:bookmarkStart w:id="55"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2026-10-28T09:46:44Z</dcterms:created>
  <dcterms:modified xsi:type="dcterms:W3CDTF">2026-10-28T09:46:44Z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