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Fungal</w:t>
      </w:r>
      <w:r>
        <w:t xml:space="preserve"> </w:t>
      </w:r>
      <w:r>
        <w:t xml:space="preserve">and</w:t>
      </w:r>
      <w:r>
        <w:t xml:space="preserve"> </w:t>
      </w:r>
      <w:r>
        <w:t xml:space="preserve">microbial</w:t>
      </w:r>
      <w:r>
        <w:t xml:space="preserve"> </w:t>
      </w:r>
      <w:r>
        <w:t xml:space="preserve">colonisation</w:t>
      </w:r>
      <w:r>
        <w:t xml:space="preserve"> </w:t>
      </w:r>
      <w:r>
        <w:t xml:space="preserve">of</w:t>
      </w:r>
      <w:r>
        <w:t xml:space="preserve"> </w:t>
      </w:r>
      <w:r>
        <w:t xml:space="preserve">tropical</w:t>
      </w:r>
      <w:r>
        <w:t xml:space="preserve"> </w:t>
      </w:r>
      <w:r>
        <w:t xml:space="preserve">educational</w:t>
      </w:r>
      <w:r>
        <w:t xml:space="preserve"> </w:t>
      </w:r>
      <w:r>
        <w:t xml:space="preserve">building</w:t>
      </w:r>
      <w:r>
        <w:t xml:space="preserve"> </w:t>
      </w:r>
      <w:r>
        <w:t xml:space="preserve">exteriors:</w:t>
      </w:r>
      <w:r>
        <w:t xml:space="preserve"> </w:t>
      </w:r>
      <w:r>
        <w:t xml:space="preserve">molecular</w:t>
      </w:r>
      <w:r>
        <w:t xml:space="preserve"> </w:t>
      </w:r>
      <w:r>
        <w:t xml:space="preserve">characterisation</w:t>
      </w:r>
      <w:r>
        <w:t xml:space="preserve"> </w:t>
      </w:r>
      <w:r>
        <w:t xml:space="preserve">and</w:t>
      </w:r>
      <w:r>
        <w:t xml:space="preserve"> </w:t>
      </w:r>
      <w:r>
        <w:t xml:space="preserve">campus</w:t>
      </w:r>
      <w:r>
        <w:t xml:space="preserve"> </w:t>
      </w:r>
      <w:r>
        <w:t xml:space="preserve">air-quality</w:t>
      </w:r>
      <w:r>
        <w:t xml:space="preserve"> </w:t>
      </w:r>
      <w:r>
        <w:t xml:space="preserve">context</w:t>
      </w:r>
      <w:r>
        <w:t xml:space="preserve"> </w:t>
      </w:r>
      <w:r>
        <w:t xml:space="preserve">at</w:t>
      </w:r>
      <w:r>
        <w:t xml:space="preserve"> </w:t>
      </w:r>
      <w:r>
        <w:t xml:space="preserve">UTS</w:t>
      </w:r>
      <w:r>
        <w:t xml:space="preserve"> </w:t>
      </w:r>
      <w:r>
        <w:t xml:space="preserve">Sibu</w:t>
      </w:r>
    </w:p>
    <w:p>
      <w:pPr>
        <w:pStyle w:val="Author"/>
      </w:pPr>
      <w:r>
        <w:t xml:space="preserve">Dr</w:t>
      </w:r>
      <w:r>
        <w:t xml:space="preserve"> </w:t>
      </w:r>
      <w:r>
        <w:t xml:space="preserve">Armstrong</w:t>
      </w:r>
      <w:r>
        <w:t xml:space="preserve"> </w:t>
      </w:r>
      <w:r>
        <w:t xml:space="preserve">Ighodalo</w:t>
      </w:r>
      <w:r>
        <w:t xml:space="preserve"> </w:t>
      </w:r>
      <w:r>
        <w:t xml:space="preserve">Omoregie,</w:t>
      </w:r>
      <w:r>
        <w:t xml:space="preserve"> </w:t>
      </w:r>
      <w:r>
        <w:t xml:space="preserve">Centre</w:t>
      </w:r>
      <w:r>
        <w:t xml:space="preserve"> </w:t>
      </w:r>
      <w:r>
        <w:t xml:space="preserve">for</w:t>
      </w:r>
      <w:r>
        <w:t xml:space="preserve"> </w:t>
      </w:r>
      <w:r>
        <w:t xml:space="preserve">Built</w:t>
      </w:r>
      <w:r>
        <w:t xml:space="preserve"> </w:t>
      </w:r>
      <w:r>
        <w:t xml:space="preserve">Environment</w:t>
      </w:r>
      <w:r>
        <w:t xml:space="preserve"> </w:t>
      </w:r>
      <w:r>
        <w:t xml:space="preserve">and</w:t>
      </w:r>
      <w:r>
        <w:t xml:space="preserve"> </w:t>
      </w:r>
      <w:r>
        <w:t xml:space="preserve">Resourceful</w:t>
      </w:r>
      <w:r>
        <w:t xml:space="preserve"> </w:t>
      </w:r>
      <w:r>
        <w:t xml:space="preserve">Societies</w:t>
      </w:r>
      <w:r>
        <w:t xml:space="preserve"> </w:t>
      </w:r>
      <w:r>
        <w:t xml:space="preserve">(BERI),</w:t>
      </w:r>
      <w:r>
        <w:t xml:space="preserve"> </w:t>
      </w:r>
      <w:r>
        <w:t xml:space="preserve">School</w:t>
      </w:r>
      <w:r>
        <w:t xml:space="preserve"> </w:t>
      </w:r>
      <w:r>
        <w:t xml:space="preserve">of</w:t>
      </w:r>
      <w:r>
        <w:t xml:space="preserve"> </w:t>
      </w:r>
      <w:r>
        <w:t xml:space="preserve">Built</w:t>
      </w:r>
      <w:r>
        <w:t xml:space="preserve"> </w:t>
      </w:r>
      <w:r>
        <w:t xml:space="preserve">Environment,</w:t>
      </w:r>
      <w:r>
        <w:t xml:space="preserve"> </w:t>
      </w:r>
      <w:r>
        <w:t xml:space="preserve">University</w:t>
      </w:r>
      <w:r>
        <w:t xml:space="preserve"> </w:t>
      </w:r>
      <w:r>
        <w:t xml:space="preserve">of</w:t>
      </w:r>
      <w:r>
        <w:t xml:space="preserve"> </w:t>
      </w:r>
      <w:r>
        <w:t xml:space="preserve">Technology</w:t>
      </w:r>
      <w:r>
        <w:t xml:space="preserve"> </w:t>
      </w:r>
      <w:r>
        <w:t xml:space="preserve">Sarawak</w:t>
      </w:r>
    </w:p>
    <w:p>
      <w:pPr>
        <w:pStyle w:val="Date"/>
      </w:pPr>
      <w:r>
        <w:t xml:space="preserve">UTS</w:t>
      </w:r>
      <w:r>
        <w:t xml:space="preserve"> </w:t>
      </w:r>
      <w:r>
        <w:t xml:space="preserve">Matching</w:t>
      </w:r>
      <w:r>
        <w:t xml:space="preserve"> </w:t>
      </w:r>
      <w:r>
        <w:t xml:space="preserve">Grant</w:t>
      </w:r>
      <w:r>
        <w:t xml:space="preserve"> </w:t>
      </w:r>
      <w:r>
        <w:t xml:space="preserve">(UMG),</w:t>
      </w:r>
      <w:r>
        <w:t xml:space="preserve"> </w:t>
      </w:r>
      <w:r>
        <w:t xml:space="preserve">Cycle</w:t>
      </w:r>
      <w:r>
        <w:t xml:space="preserve"> </w:t>
      </w:r>
      <w:r>
        <w:t xml:space="preserve">1/2027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note-before-submission"/>
    <w:p>
      <w:pPr>
        <w:pStyle w:val="Heading2"/>
      </w:pPr>
      <w:r>
        <w:t xml:space="preserve">Note before submission</w:t>
      </w:r>
    </w:p>
    <w:p>
      <w:pPr>
        <w:pStyle w:val="FirstParagraph"/>
      </w:pPr>
      <w:r>
        <w:t xml:space="preserve">This document is laid out in URCMS field order so that each section can be pasted into the</w:t>
      </w:r>
      <w:r>
        <w:t xml:space="preserve"> </w:t>
      </w:r>
      <w:r>
        <w:t xml:space="preserve">corresponding field. The portal does not accept tables, so all content below is written as</w:t>
      </w:r>
      <w:r>
        <w:t xml:space="preserve"> </w:t>
      </w:r>
      <w:r>
        <w:t xml:space="preserve">continuous prose or as simple lists. Material that is naturally tabular, namely the Gantt chart,</w:t>
      </w:r>
      <w:r>
        <w:t xml:space="preserve"> </w:t>
      </w:r>
      <w:r>
        <w:t xml:space="preserve">the milestone schedule, the research flow chart and the sampling round schedule, is supplied as</w:t>
      </w:r>
      <w:r>
        <w:t xml:space="preserve"> </w:t>
      </w:r>
      <w:r>
        <w:t xml:space="preserve">separate PDF attachments.</w:t>
      </w:r>
    </w:p>
    <w:p>
      <w:pPr>
        <w:pStyle w:val="BodyText"/>
      </w:pPr>
      <w:r>
        <w:t xml:space="preserve">Three points require the applicant's attention. First, every reference in Section 14 was drawn</w:t>
      </w:r>
      <w:r>
        <w:t xml:space="preserve"> </w:t>
      </w:r>
      <w:r>
        <w:t xml:space="preserve">from the applicant's own Scopus search and must be checked against the claim it supports before</w:t>
      </w:r>
      <w:r>
        <w:t xml:space="preserve"> </w:t>
      </w:r>
      <w:r>
        <w:t xml:space="preserve">submission. Second, all supplier unit costs in Appendix A are planning figures and require current</w:t>
      </w:r>
      <w:r>
        <w:t xml:space="preserve"> </w:t>
      </w:r>
      <w:r>
        <w:t xml:space="preserve">quotations, since the quotations presently held were issued on 5 October 2026 with thirty days</w:t>
      </w:r>
      <w:r>
        <w:t xml:space="preserve"> </w:t>
      </w:r>
      <w:r>
        <w:t xml:space="preserve">validity.</w:t>
      </w:r>
    </w:p>
    <w:bookmarkEnd w:id="20"/>
    <w:bookmarkStart w:id="21" w:name="project-title"/>
    <w:p>
      <w:pPr>
        <w:pStyle w:val="Heading2"/>
      </w:pPr>
      <w:r>
        <w:t xml:space="preserve">1. Project title</w:t>
      </w:r>
    </w:p>
    <w:p>
      <w:pPr>
        <w:pStyle w:val="FirstParagraph"/>
      </w:pPr>
      <w:r>
        <w:t xml:space="preserve">Fungal and microbial colonisation of tropical educational building exteriors: molecular</w:t>
      </w:r>
      <w:r>
        <w:t xml:space="preserve"> </w:t>
      </w:r>
      <w:r>
        <w:t xml:space="preserve">characterisation and campus air-quality context at UTS Sibu.</w:t>
      </w:r>
    </w:p>
    <w:bookmarkEnd w:id="21"/>
    <w:bookmarkStart w:id="23" w:name="grant-type"/>
    <w:p>
      <w:pPr>
        <w:pStyle w:val="Heading2"/>
      </w:pPr>
      <w:r>
        <w:t xml:space="preserve">2. Grant type</w:t>
      </w:r>
    </w:p>
    <w:p>
      <w:pPr>
        <w:pStyle w:val="FirstParagraph"/>
      </w:pPr>
      <w:r>
        <w:t xml:space="preserve">UTS Matching Grant (UMG), Research Grant Collaboration, UTS/CRD/P13 Rev. 01.</w:t>
      </w:r>
    </w:p>
    <w:bookmarkStart w:id="22" w:name="grant-type-remarks"/>
    <w:p>
      <w:pPr>
        <w:pStyle w:val="Heading3"/>
      </w:pPr>
      <w:r>
        <w:t xml:space="preserve">Grant type remarks</w:t>
      </w:r>
    </w:p>
    <w:p>
      <w:pPr>
        <w:pStyle w:val="FirstParagraph"/>
      </w:pPr>
      <w:r>
        <w:t xml:space="preserve">This is a collaborative project with SRDC-TROPI, the Sarawak Tropical Peat Research Institute, a</w:t>
      </w:r>
      <w:r>
        <w:t xml:space="preserve"> </w:t>
      </w:r>
      <w:r>
        <w:t xml:space="preserve">research unit of the Sarawak Research and Development Council, conducted under a Memorandum of</w:t>
      </w:r>
      <w:r>
        <w:t xml:space="preserve"> </w:t>
      </w:r>
      <w:r>
        <w:t xml:space="preserve">Agreement executed between SRDC and UTS.</w:t>
      </w:r>
    </w:p>
    <w:p>
      <w:pPr>
        <w:pStyle w:val="BodyText"/>
      </w:pPr>
      <w:r>
        <w:t xml:space="preserve">SRDC-TROPI contributes matched research expenditure of RM24,987.00 from its own budget on the</w:t>
      </w:r>
      <w:r>
        <w:t xml:space="preserve"> </w:t>
      </w:r>
      <w:r>
        <w:t xml:space="preserve">molecular characterisation workstream. That contribution comprises laboratory consumables and</w:t>
      </w:r>
      <w:r>
        <w:t xml:space="preserve"> </w:t>
      </w:r>
      <w:r>
        <w:t xml:space="preserve">reagents for fungal isolation, DNA extraction and PCR-based identification, together with access</w:t>
      </w:r>
      <w:r>
        <w:t xml:space="preserve"> </w:t>
      </w:r>
      <w:r>
        <w:t xml:space="preserve">to its molecular biology laboratory and specialised equipment and the technical time of its</w:t>
      </w:r>
      <w:r>
        <w:t xml:space="preserve"> </w:t>
      </w:r>
      <w:r>
        <w:t xml:space="preserve">designated specialists. UTS contributes RM25,000.00 through this Matching Grant, applied to</w:t>
      </w:r>
      <w:r>
        <w:t xml:space="preserve"> </w:t>
      </w:r>
      <w:r>
        <w:t xml:space="preserve">monitoring instrumentation, field sampling consumables, logistics and services. There is no cash</w:t>
      </w:r>
      <w:r>
        <w:t xml:space="preserve"> </w:t>
      </w:r>
      <w:r>
        <w:t xml:space="preserve">transfer between the parties. The total collaborative value of the project is RM49,987.00.</w:t>
      </w:r>
    </w:p>
    <w:p>
      <w:pPr>
        <w:pStyle w:val="BodyText"/>
      </w:pPr>
      <w:r>
        <w:t xml:space="preserve">The matched expenditure is set out in Schedule B Part 2 of the Agreement, and written</w:t>
      </w:r>
      <w:r>
        <w:t xml:space="preserve"> </w:t>
      </w:r>
      <w:r>
        <w:t xml:space="preserve">confirmation is furnished by SRDC-TROPI under Clause 3.1(f) of the Agreement.</w:t>
      </w:r>
    </w:p>
    <w:bookmarkEnd w:id="22"/>
    <w:bookmarkEnd w:id="23"/>
    <w:bookmarkStart w:id="24" w:name="research-scope-field-and-area"/>
    <w:p>
      <w:pPr>
        <w:pStyle w:val="Heading2"/>
      </w:pPr>
      <w:r>
        <w:t xml:space="preserve">3. Research scope, field and area</w:t>
      </w:r>
    </w:p>
    <w:p>
      <w:pPr>
        <w:pStyle w:val="FirstParagraph"/>
      </w:pPr>
      <w:r>
        <w:t xml:space="preserve">Scope: applied research. Field: built environment and environmental microbiology. Area: building</w:t>
      </w:r>
      <w:r>
        <w:t xml:space="preserve"> </w:t>
      </w:r>
      <w:r>
        <w:t xml:space="preserve">biodeterioration, environmental mycology and tropical building performance.</w:t>
      </w:r>
    </w:p>
    <w:bookmarkEnd w:id="24"/>
    <w:bookmarkStart w:id="25" w:name="research-centre"/>
    <w:p>
      <w:pPr>
        <w:pStyle w:val="Heading2"/>
      </w:pPr>
      <w:r>
        <w:t xml:space="preserve">4. Research centre</w:t>
      </w:r>
    </w:p>
    <w:p>
      <w:pPr>
        <w:pStyle w:val="FirstParagraph"/>
      </w:pPr>
      <w:r>
        <w:t xml:space="preserve">Centre for Built Environment and Resourceful Societies (BERI), University of Technology Sarawak.</w:t>
      </w:r>
    </w:p>
    <w:bookmarkEnd w:id="25"/>
    <w:bookmarkStart w:id="26" w:name="location-of-research"/>
    <w:p>
      <w:pPr>
        <w:pStyle w:val="Heading2"/>
      </w:pPr>
      <w:r>
        <w:t xml:space="preserve">5. Location of research</w:t>
      </w:r>
    </w:p>
    <w:p>
      <w:pPr>
        <w:pStyle w:val="FirstParagraph"/>
      </w:pPr>
      <w:r>
        <w:t xml:space="preserve">University of Technology Sarawak, Sibu, for field sampling, air-quality monitoring and on-site</w:t>
      </w:r>
      <w:r>
        <w:t xml:space="preserve"> </w:t>
      </w:r>
      <w:r>
        <w:t xml:space="preserve">plating; and SRDC-TROPI, Kota Samarahan, for incubation, enumeration, isolation, DNA extraction,</w:t>
      </w:r>
      <w:r>
        <w:t xml:space="preserve"> </w:t>
      </w:r>
      <w:r>
        <w:t xml:space="preserve">PCR and bioinformatic analysis.</w:t>
      </w:r>
    </w:p>
    <w:bookmarkEnd w:id="26"/>
    <w:bookmarkStart w:id="27" w:name="duration"/>
    <w:p>
      <w:pPr>
        <w:pStyle w:val="Heading2"/>
      </w:pPr>
      <w:r>
        <w:t xml:space="preserve">6. Duration</w:t>
      </w:r>
    </w:p>
    <w:p>
      <w:pPr>
        <w:pStyle w:val="FirstParagraph"/>
      </w:pPr>
      <w:r>
        <w:t xml:space="preserve">Twenty-four months, from 1 March 2027 to 28 February 2029, corresponding to the Cycle 1/2027</w:t>
      </w:r>
      <w:r>
        <w:t xml:space="preserve"> </w:t>
      </w:r>
      <w:r>
        <w:t xml:space="preserve">project start date. The award is of fixed term and the project is planned to complete and close</w:t>
      </w:r>
      <w:r>
        <w:t xml:space="preserve"> </w:t>
      </w:r>
      <w:r>
        <w:t xml:space="preserve">within it without extension.</w:t>
      </w:r>
    </w:p>
    <w:bookmarkEnd w:id="27"/>
    <w:bookmarkStart w:id="28" w:name="research-team"/>
    <w:p>
      <w:pPr>
        <w:pStyle w:val="Heading2"/>
      </w:pPr>
      <w:r>
        <w:t xml:space="preserve">7. Research team</w:t>
      </w:r>
    </w:p>
    <w:p>
      <w:pPr>
        <w:pStyle w:val="FirstParagraph"/>
      </w:pPr>
      <w:r>
        <w:rPr>
          <w:bCs/>
          <w:b/>
        </w:rPr>
        <w:t xml:space="preserve">Principal Researcher, UTS. Dr Armstrong Ighodalo Omoregie.</w:t>
      </w:r>
      <w:r>
        <w:t xml:space="preserve"> </w:t>
      </w:r>
      <w:r>
        <w:t xml:space="preserve">Overall scientific direction,</w:t>
      </w:r>
      <w:r>
        <w:t xml:space="preserve"> </w:t>
      </w:r>
      <w:r>
        <w:t xml:space="preserve">project management and URCMS reporting. Leads the sampling design and the interpretation of</w:t>
      </w:r>
      <w:r>
        <w:t xml:space="preserve"> </w:t>
      </w:r>
      <w:r>
        <w:t xml:space="preserve">microbial interaction with mineral substrates, drawing on an established background in</w:t>
      </w:r>
      <w:r>
        <w:t xml:space="preserve"> </w:t>
      </w:r>
      <w:r>
        <w:t xml:space="preserve">microbially induced mineral processes, which is the mechanism by which fungal acid secretion and</w:t>
      </w:r>
      <w:r>
        <w:t xml:space="preserve"> </w:t>
      </w:r>
      <w:r>
        <w:t xml:space="preserve">oxalate formation degrade cementitious materials (Jiang et al., 2022; Chaudhuri et al., 2020; Fomina et al., 2007).</w:t>
      </w:r>
    </w:p>
    <w:p>
      <w:pPr>
        <w:pStyle w:val="BodyText"/>
      </w:pPr>
      <w:r>
        <w:rPr>
          <w:bCs/>
          <w:b/>
        </w:rPr>
        <w:t xml:space="preserve">Co-Researcher, UTS. Assoc. Prof. Dr Kee Keh Kim.</w:t>
      </w:r>
      <w:r>
        <w:t xml:space="preserve"> </w:t>
      </w:r>
      <w:r>
        <w:t xml:space="preserve">Design, fabrication and calibration of the</w:t>
      </w:r>
      <w:r>
        <w:t xml:space="preserve"> </w:t>
      </w:r>
      <w:r>
        <w:t xml:space="preserve">portable air-quality monitoring nodes, extending a sensor configuration already validated in</w:t>
      </w:r>
      <w:r>
        <w:t xml:space="preserve"> </w:t>
      </w:r>
      <w:r>
        <w:t xml:space="preserve">deployed service under his existing work; development of the cloud database and public</w:t>
      </w:r>
      <w:r>
        <w:t xml:space="preserve"> </w:t>
      </w:r>
      <w:r>
        <w:t xml:space="preserve">dashboard; and facade material inventory and exposure mapping across the sampled buildings.</w:t>
      </w:r>
    </w:p>
    <w:p>
      <w:pPr>
        <w:pStyle w:val="BodyText"/>
      </w:pPr>
      <w:r>
        <w:rPr>
          <w:bCs/>
          <w:b/>
        </w:rPr>
        <w:t xml:space="preserve">Co-Researcher, UTS. Ts. Dr Nurhayatie Sajali.</w:t>
      </w:r>
      <w:r>
        <w:t xml:space="preserve"> </w:t>
      </w:r>
      <w:r>
        <w:t xml:space="preserve">Microbiological protocol design, field</w:t>
      </w:r>
      <w:r>
        <w:t xml:space="preserve"> </w:t>
      </w:r>
      <w:r>
        <w:t xml:space="preserve">sampling and plating protocol, and oversight of biosafety and contamination control at the UTS</w:t>
      </w:r>
      <w:r>
        <w:t xml:space="preserve"> </w:t>
      </w:r>
      <w:r>
        <w:t xml:space="preserve">laboratory.</w:t>
      </w:r>
    </w:p>
    <w:p>
      <w:pPr>
        <w:pStyle w:val="BodyText"/>
      </w:pPr>
      <w:r>
        <w:rPr>
          <w:bCs/>
          <w:b/>
        </w:rPr>
        <w:t xml:space="preserve">Lead Researcher, SRDC-TROPI. Dr Sharon Lau Yu Ling.</w:t>
      </w:r>
      <w:r>
        <w:t xml:space="preserve"> </w:t>
      </w:r>
      <w:r>
        <w:t xml:space="preserve">Molecular workstream lead, covering</w:t>
      </w:r>
      <w:r>
        <w:t xml:space="preserve"> </w:t>
      </w:r>
      <w:r>
        <w:t xml:space="preserve">controlled incubation, sub-culturing and purification, DNA extraction, PCR-based identification</w:t>
      </w:r>
      <w:r>
        <w:t xml:space="preserve"> </w:t>
      </w:r>
      <w:r>
        <w:t xml:space="preserve">targeting the internal transcribed spacer region, and bioinformatic analysis.</w:t>
      </w:r>
    </w:p>
    <w:p>
      <w:pPr>
        <w:pStyle w:val="BodyText"/>
      </w:pPr>
      <w:r>
        <w:rPr>
          <w:bCs/>
          <w:b/>
        </w:rPr>
        <w:t xml:space="preserve">Co-Researcher, SRDC-TROPI. Ms Mary Ann Linton.</w:t>
      </w:r>
      <w:r>
        <w:t xml:space="preserve"> </w:t>
      </w:r>
      <w:r>
        <w:t xml:space="preserve">Fungal sub-culturing, purification and strain</w:t>
      </w:r>
      <w:r>
        <w:t xml:space="preserve"> </w:t>
      </w:r>
      <w:r>
        <w:t xml:space="preserve">maintenance.</w:t>
      </w:r>
    </w:p>
    <w:p>
      <w:pPr>
        <w:pStyle w:val="BodyText"/>
      </w:pPr>
      <w:r>
        <w:rPr>
          <w:bCs/>
          <w:b/>
        </w:rPr>
        <w:t xml:space="preserve">Co-Researcher, SRDC-TROPI. Ms Jacquelina Avethia Jack.</w:t>
      </w:r>
      <w:r>
        <w:t xml:space="preserve"> </w:t>
      </w:r>
      <w:r>
        <w:t xml:space="preserve">Execution of molecular protocols and</w:t>
      </w:r>
      <w:r>
        <w:t xml:space="preserve"> </w:t>
      </w:r>
      <w:r>
        <w:t xml:space="preserve">management of laboratory consumables.</w:t>
      </w:r>
    </w:p>
    <w:bookmarkEnd w:id="28"/>
    <w:bookmarkStart w:id="29" w:name="executive-summary"/>
    <w:p>
      <w:pPr>
        <w:pStyle w:val="Heading2"/>
      </w:pPr>
      <w:r>
        <w:t xml:space="preserve">8. Executive summary</w:t>
      </w:r>
    </w:p>
    <w:p>
      <w:pPr>
        <w:pStyle w:val="FirstParagraph"/>
      </w:pPr>
      <w:r>
        <w:t xml:space="preserve">Building exteriors in equatorial Sarawak are continuously exposed to high humidity, heavy</w:t>
      </w:r>
      <w:r>
        <w:t xml:space="preserve"> </w:t>
      </w:r>
      <w:r>
        <w:t xml:space="preserve">rainfall and fluctuating air quality, including recurrent regional haze. Mould, algae and fungi</w:t>
      </w:r>
      <w:r>
        <w:t xml:space="preserve"> </w:t>
      </w:r>
      <w:r>
        <w:t xml:space="preserve">are among the most common organic contaminants on these surfaces, degrading both appearance and</w:t>
      </w:r>
      <w:r>
        <w:t xml:space="preserve"> </w:t>
      </w:r>
      <w:r>
        <w:t xml:space="preserve">material performance, yet exterior colonisation in the humid tropics is managed as a cleaning</w:t>
      </w:r>
      <w:r>
        <w:t xml:space="preserve"> </w:t>
      </w:r>
      <w:r>
        <w:t xml:space="preserve">problem rather than measured as a phenomenon. Which organisms colonise tropical educational</w:t>
      </w:r>
      <w:r>
        <w:t xml:space="preserve"> </w:t>
      </w:r>
      <w:r>
        <w:t xml:space="preserve">building facades, and how they vary with material, orientation, exposure and season, is largely</w:t>
      </w:r>
      <w:r>
        <w:t xml:space="preserve"> </w:t>
      </w:r>
      <w:r>
        <w:t xml:space="preserve">undocumented for equatorial Borneo.</w:t>
      </w:r>
    </w:p>
    <w:p>
      <w:pPr>
        <w:pStyle w:val="BodyText"/>
      </w:pPr>
      <w:r>
        <w:t xml:space="preserve">This twenty-four month collaborative project between UTS and SRDC-TROPI characterises the fungal</w:t>
      </w:r>
      <w:r>
        <w:t xml:space="preserve"> </w:t>
      </w:r>
      <w:r>
        <w:t xml:space="preserve">and associated microbial communities colonising building exteriors at the UTS Sibu campus, and</w:t>
      </w:r>
      <w:r>
        <w:t xml:space="preserve"> </w:t>
      </w:r>
      <w:r>
        <w:t xml:space="preserve">records campus air quality and microclimate as environmental context. UTS will establish fixed</w:t>
      </w:r>
      <w:r>
        <w:t xml:space="preserve"> </w:t>
      </w:r>
      <w:r>
        <w:t xml:space="preserve">sampling points across four buildings stratified by facade material, age, design approach and</w:t>
      </w:r>
      <w:r>
        <w:t xml:space="preserve"> </w:t>
      </w:r>
      <w:r>
        <w:t xml:space="preserve">exposure, with paired visibly colonised and visually clean surfaces serving as internal</w:t>
      </w:r>
      <w:r>
        <w:t xml:space="preserve"> </w:t>
      </w:r>
      <w:r>
        <w:t xml:space="preserve">controls, and will sample quarterly across a full annual seasonal round with two phases</w:t>
      </w:r>
      <w:r>
        <w:t xml:space="preserve"> </w:t>
      </w:r>
      <w:r>
        <w:t xml:space="preserve">resampled twelve months apart. Plates inoculated at UTS are incubated, enumerated and isolated</w:t>
      </w:r>
      <w:r>
        <w:t xml:space="preserve"> </w:t>
      </w:r>
      <w:r>
        <w:t xml:space="preserve">at SRDC-TROPI, which performs DNA extraction and PCR; sequencing of selected isolates is</w:t>
      </w:r>
      <w:r>
        <w:t xml:space="preserve"> </w:t>
      </w:r>
      <w:r>
        <w:t xml:space="preserve">outsourced for identification against the internal transcribed spacer region. Algal and</w:t>
      </w:r>
      <w:r>
        <w:t xml:space="preserve"> </w:t>
      </w:r>
      <w:r>
        <w:t xml:space="preserve">cyanobacterial cover is scored at every point as a covariate, recognising these organisms as</w:t>
      </w:r>
      <w:r>
        <w:t xml:space="preserve"> </w:t>
      </w:r>
      <w:r>
        <w:t xml:space="preserve">pioneer colonisers that condition surfaces for fungal establishment.</w:t>
      </w:r>
    </w:p>
    <w:p>
      <w:pPr>
        <w:pStyle w:val="BodyText"/>
      </w:pPr>
      <w:r>
        <w:t xml:space="preserve">Expected outputs are the first documented inventory of facade-colonising fungi for a tropical</w:t>
      </w:r>
      <w:r>
        <w:t xml:space="preserve"> </w:t>
      </w:r>
      <w:r>
        <w:t xml:space="preserve">Malaysian campus, two indexed joint publications, a curated isolate collection, exterior</w:t>
      </w:r>
      <w:r>
        <w:t xml:space="preserve"> </w:t>
      </w:r>
      <w:r>
        <w:t xml:space="preserve">material selection and maintenance guidance, a campus air-quality reporting protocol, and</w:t>
      </w:r>
      <w:r>
        <w:t xml:space="preserve"> </w:t>
      </w:r>
      <w:r>
        <w:t xml:space="preserve">trained student researchers. The project supports the Sarawak Post COVID-19 Development Strategy</w:t>
      </w:r>
      <w:r>
        <w:t xml:space="preserve"> </w:t>
      </w:r>
      <w:r>
        <w:t xml:space="preserve">2030 under Environmental Sustainability by providing MEITD, JKR and campus operators with</w:t>
      </w:r>
      <w:r>
        <w:t xml:space="preserve"> </w:t>
      </w:r>
      <w:r>
        <w:t xml:space="preserve">measured evidence on the biodeterioration of tropical public buildings (Economic Planning Unit Sarawak, 2021).</w:t>
      </w:r>
    </w:p>
    <w:bookmarkEnd w:id="29"/>
    <w:bookmarkStart w:id="35" w:name="background-of-research"/>
    <w:p>
      <w:pPr>
        <w:pStyle w:val="Heading2"/>
      </w:pPr>
      <w:r>
        <w:t xml:space="preserve">9. Background of research</w:t>
      </w:r>
    </w:p>
    <w:bookmarkStart w:id="30" w:name="problem-statement"/>
    <w:p>
      <w:pPr>
        <w:pStyle w:val="Heading3"/>
      </w:pPr>
      <w:r>
        <w:t xml:space="preserve">9.1 Problem statement</w:t>
      </w:r>
    </w:p>
    <w:p>
      <w:pPr>
        <w:pStyle w:val="FirstParagraph"/>
      </w:pPr>
      <w:r>
        <w:t xml:space="preserve">Educational buildings in the humid tropics frequently develop visible biological colonisation on</w:t>
      </w:r>
      <w:r>
        <w:t xml:space="preserve"> </w:t>
      </w:r>
      <w:r>
        <w:t xml:space="preserve">exterior surfaces within a relatively short period after construction. At the University of</w:t>
      </w:r>
      <w:r>
        <w:t xml:space="preserve"> </w:t>
      </w:r>
      <w:r>
        <w:t xml:space="preserve">Technology Sarawak (UTS) campus in Sibu, which is a platinum-rated green building, mould growth,</w:t>
      </w:r>
      <w:r>
        <w:t xml:space="preserve"> </w:t>
      </w:r>
      <w:r>
        <w:t xml:space="preserve">algal films, and fungal staining are evident on multiple building facades despite modern design</w:t>
      </w:r>
      <w:r>
        <w:t xml:space="preserve"> </w:t>
      </w:r>
      <w:r>
        <w:t xml:space="preserve">approaches and routine maintenance. The prevailing management response is periodic cleaning and</w:t>
      </w:r>
      <w:r>
        <w:t xml:space="preserve"> </w:t>
      </w:r>
      <w:r>
        <w:t xml:space="preserve">chemical washing, which addresses aesthetic deterioration but does not identify the organisms</w:t>
      </w:r>
      <w:r>
        <w:t xml:space="preserve"> </w:t>
      </w:r>
      <w:r>
        <w:t xml:space="preserve">responsible, the environmental drivers of colonisation, or the underlying factors influencing</w:t>
      </w:r>
      <w:r>
        <w:t xml:space="preserve"> </w:t>
      </w:r>
      <w:r>
        <w:t xml:space="preserve">recurrence.</w:t>
      </w:r>
    </w:p>
    <w:p>
      <w:pPr>
        <w:pStyle w:val="BodyText"/>
      </w:pPr>
      <w:r>
        <w:t xml:space="preserve">Three key knowledge gaps remain. First, the fungal communities colonising educational building</w:t>
      </w:r>
      <w:r>
        <w:t xml:space="preserve"> </w:t>
      </w:r>
      <w:r>
        <w:t xml:space="preserve">exteriors in tropical environments are poorly characterised. Although studies have documented</w:t>
      </w:r>
      <w:r>
        <w:t xml:space="preserve"> </w:t>
      </w:r>
      <w:r>
        <w:t xml:space="preserve">fungi in indoor educational environments and older buildings in Malaysia (Omar Hamdan et al.,</w:t>
      </w:r>
      <w:r>
        <w:t xml:space="preserve"> </w:t>
      </w:r>
      <w:r>
        <w:t xml:space="preserve">2026; Norback et al., 2016), comparable studies of exterior building surfaces are limited and are</w:t>
      </w:r>
      <w:r>
        <w:t xml:space="preserve"> </w:t>
      </w:r>
      <w:r>
        <w:t xml:space="preserve">largely derived from temperate or subtropical climates (Jain et al., 2009; Singh, 2000; Kosel et</w:t>
      </w:r>
      <w:r>
        <w:t xml:space="preserve"> </w:t>
      </w:r>
      <w:r>
        <w:t xml:space="preserve">al., 2024). Consequently, there is currently no published inventory of facade-associated fungi for</w:t>
      </w:r>
      <w:r>
        <w:t xml:space="preserve"> </w:t>
      </w:r>
      <w:r>
        <w:t xml:space="preserve">a tropical educational campus in Borneo.</w:t>
      </w:r>
    </w:p>
    <w:p>
      <w:pPr>
        <w:pStyle w:val="BodyText"/>
      </w:pPr>
      <w:r>
        <w:t xml:space="preserve">Second, the environmental and architectural drivers of exterior fungal colonisation remain largely</w:t>
      </w:r>
      <w:r>
        <w:t xml:space="preserve"> </w:t>
      </w:r>
      <w:r>
        <w:t xml:space="preserve">unquantified. Moisture availability is consistently recognised as the principal determinant of</w:t>
      </w:r>
      <w:r>
        <w:t xml:space="preserve"> </w:t>
      </w:r>
      <w:r>
        <w:t xml:space="preserve">fungal growth on building materials (Dedesko and Siegel, 2015; Ito and Mizuno, 2009; Scott, 1994;</w:t>
      </w:r>
      <w:r>
        <w:t xml:space="preserve"> </w:t>
      </w:r>
      <w:r>
        <w:t xml:space="preserve">Shibuta and Teramoto, 2026). Factors such as facade orientation, shading, ventilation, material</w:t>
      </w:r>
      <w:r>
        <w:t xml:space="preserve"> </w:t>
      </w:r>
      <w:r>
        <w:t xml:space="preserve">composition, and rainfall exposure influence surface wetness and therefore microbial</w:t>
      </w:r>
      <w:r>
        <w:t xml:space="preserve"> </w:t>
      </w:r>
      <w:r>
        <w:t xml:space="preserve">establishment. However, these relationships have not been systematically investigated in tropical</w:t>
      </w:r>
      <w:r>
        <w:t xml:space="preserve"> </w:t>
      </w:r>
      <w:r>
        <w:t xml:space="preserve">educational buildings designed according to contemporary sustainability and green-building</w:t>
      </w:r>
      <w:r>
        <w:t xml:space="preserve"> </w:t>
      </w:r>
      <w:r>
        <w:t xml:space="preserve">principles. Third, maintenance and material-selection decisions are currently made without locally</w:t>
      </w:r>
      <w:r>
        <w:t xml:space="preserve"> </w:t>
      </w:r>
      <w:r>
        <w:t xml:space="preserve">derived evidence. Without understanding which fungal taxa are present, where they preferentially</w:t>
      </w:r>
      <w:r>
        <w:t xml:space="preserve"> </w:t>
      </w:r>
      <w:r>
        <w:t xml:space="preserve">colonise, and how environmental conditions influence their growth, facility managers are unable to</w:t>
      </w:r>
      <w:r>
        <w:t xml:space="preserve"> </w:t>
      </w:r>
      <w:r>
        <w:t xml:space="preserve">implement targeted prevention strategies or optimise maintenance schedules.</w:t>
      </w:r>
    </w:p>
    <w:p>
      <w:pPr>
        <w:pStyle w:val="BodyText"/>
      </w:pPr>
      <w:r>
        <w:t xml:space="preserve">An important and unexplored question concerns the interaction between green building design and</w:t>
      </w:r>
      <w:r>
        <w:t xml:space="preserve"> </w:t>
      </w:r>
      <w:r>
        <w:t xml:space="preserve">fungal colonisation. Sustainable design strategies commonly employed in tropical environments,</w:t>
      </w:r>
      <w:r>
        <w:t xml:space="preserve"> </w:t>
      </w:r>
      <w:r>
        <w:t xml:space="preserve">including deep overhangs, extensive shading, natural ventilation, facade vegetation, and textured</w:t>
      </w:r>
      <w:r>
        <w:t xml:space="preserve"> </w:t>
      </w:r>
      <w:r>
        <w:t xml:space="preserve">exterior finishes, may unintentionally promote prolonged surface moisture retention. Because</w:t>
      </w:r>
      <w:r>
        <w:t xml:space="preserve"> </w:t>
      </w:r>
      <w:r>
        <w:t xml:space="preserve">persistent surface wetness is a key requirement for fungal establishment and growth (Ito and</w:t>
      </w:r>
      <w:r>
        <w:t xml:space="preserve"> </w:t>
      </w:r>
      <w:r>
        <w:t xml:space="preserve">Mizuno, 2009; Scott, 1994; Shibuta and Teramoto, 2026), it is possible that some green-building</w:t>
      </w:r>
      <w:r>
        <w:t xml:space="preserve"> </w:t>
      </w:r>
      <w:r>
        <w:t xml:space="preserve">features may increase susceptibility to biodeterioration under equatorial climatic conditions. To</w:t>
      </w:r>
      <w:r>
        <w:t xml:space="preserve"> </w:t>
      </w:r>
      <w:r>
        <w:t xml:space="preserve">the best of current knowledge, this relationship has not been examined in educational buildings in</w:t>
      </w:r>
      <w:r>
        <w:t xml:space="preserve"> </w:t>
      </w:r>
      <w:r>
        <w:t xml:space="preserve">Sarawak.</w:t>
      </w:r>
    </w:p>
    <w:p>
      <w:pPr>
        <w:pStyle w:val="BodyText"/>
      </w:pPr>
      <w:r>
        <w:t xml:space="preserve">This project addresses these gaps through the molecular characterisation of fungal communities</w:t>
      </w:r>
      <w:r>
        <w:t xml:space="preserve"> </w:t>
      </w:r>
      <w:r>
        <w:t xml:space="preserve">colonising educational building exteriors and by evaluating the influence of facade</w:t>
      </w:r>
      <w:r>
        <w:t xml:space="preserve"> </w:t>
      </w:r>
      <w:r>
        <w:t xml:space="preserve">characteristics, microclimatic conditions, and campus air quality on fungal establishment and</w:t>
      </w:r>
      <w:r>
        <w:t xml:space="preserve"> </w:t>
      </w:r>
      <w:r>
        <w:t xml:space="preserve">persistence.</w:t>
      </w:r>
    </w:p>
    <w:bookmarkEnd w:id="30"/>
    <w:bookmarkStart w:id="31" w:name="hypotheses"/>
    <w:p>
      <w:pPr>
        <w:pStyle w:val="Heading3"/>
      </w:pPr>
      <w:r>
        <w:t xml:space="preserve">9.2 Hypotheses</w:t>
      </w:r>
    </w:p>
    <w:p>
      <w:pPr>
        <w:pStyle w:val="FirstParagraph"/>
      </w:pPr>
      <w:r>
        <w:t xml:space="preserve">H1. Fungal abundance and diversity differ significantly among facade orientations, with shaded and</w:t>
      </w:r>
      <w:r>
        <w:t xml:space="preserve"> </w:t>
      </w:r>
      <w:r>
        <w:t xml:space="preserve">low-insolation facades supporting greater fungal colonisation due to prolonged surface wetness (Ito</w:t>
      </w:r>
      <w:r>
        <w:t xml:space="preserve"> </w:t>
      </w:r>
      <w:r>
        <w:t xml:space="preserve">and Mizuno, 2009; Scott, 1994; Shibuta and Teramoto, 2026).</w:t>
      </w:r>
    </w:p>
    <w:p>
      <w:pPr>
        <w:pStyle w:val="BodyText"/>
      </w:pPr>
      <w:r>
        <w:t xml:space="preserve">H2. Fungal community composition differs among facade materials, including exposed concrete,</w:t>
      </w:r>
      <w:r>
        <w:t xml:space="preserve"> </w:t>
      </w:r>
      <w:r>
        <w:t xml:space="preserve">painted render, and ceramic tile, reflecting differences in moisture retention and substrate</w:t>
      </w:r>
      <w:r>
        <w:t xml:space="preserve"> </w:t>
      </w:r>
      <w:r>
        <w:t xml:space="preserve">properties (Ara et al., 2025; Shibuta and Teramoto, 2026).</w:t>
      </w:r>
    </w:p>
    <w:p>
      <w:pPr>
        <w:pStyle w:val="BodyText"/>
      </w:pPr>
      <w:r>
        <w:t xml:space="preserve">H3. Fungal abundance and community composition differ between Northeast and Southwest monsoon</w:t>
      </w:r>
      <w:r>
        <w:t xml:space="preserve"> </w:t>
      </w:r>
      <w:r>
        <w:t xml:space="preserve">periods, and these seasonal patterns remain consistent when corresponding periods are resampled</w:t>
      </w:r>
      <w:r>
        <w:t xml:space="preserve"> </w:t>
      </w:r>
      <w:r>
        <w:t xml:space="preserve">twelve months later (Liao et al., 2004; Medrela-Kuder, 2003).</w:t>
      </w:r>
    </w:p>
    <w:p>
      <w:pPr>
        <w:pStyle w:val="BodyText"/>
      </w:pPr>
      <w:r>
        <w:t xml:space="preserve">H4. Surfaces exhibiting higher algal and cyanobacterial cover also exhibit greater fungal</w:t>
      </w:r>
      <w:r>
        <w:t xml:space="preserve"> </w:t>
      </w:r>
      <w:r>
        <w:t xml:space="preserve">abundance, reflecting facilitative interactions during biofilm establishment and surface</w:t>
      </w:r>
      <w:r>
        <w:t xml:space="preserve"> </w:t>
      </w:r>
      <w:r>
        <w:t xml:space="preserve">conditioning (Gaylarde and Morton, 1997).</w:t>
      </w:r>
    </w:p>
    <w:p>
      <w:pPr>
        <w:pStyle w:val="BodyText"/>
      </w:pPr>
      <w:r>
        <w:t xml:space="preserve">H5. Fungal abundance is positively associated with antecedent particulate matter concentration</w:t>
      </w:r>
      <w:r>
        <w:t xml:space="preserve"> </w:t>
      </w:r>
      <w:r>
        <w:t xml:space="preserve">after accounting for relative humidity, rainfall, and temperature (Ramos, 2023).</w:t>
      </w:r>
    </w:p>
    <w:bookmarkEnd w:id="31"/>
    <w:bookmarkStart w:id="32" w:name="research-questions"/>
    <w:p>
      <w:pPr>
        <w:pStyle w:val="Heading3"/>
      </w:pPr>
      <w:r>
        <w:t xml:space="preserve">9.3 Research questions</w:t>
      </w:r>
    </w:p>
    <w:p>
      <w:pPr>
        <w:pStyle w:val="FirstParagraph"/>
      </w:pPr>
      <w:r>
        <w:t xml:space="preserve">RQ1. Which fungal taxa colonise the exteriors of tropical educational buildings in Sibu, Sarawak,</w:t>
      </w:r>
      <w:r>
        <w:t xml:space="preserve"> </w:t>
      </w:r>
      <w:r>
        <w:t xml:space="preserve">and what are their relative abundances?</w:t>
      </w:r>
    </w:p>
    <w:p>
      <w:pPr>
        <w:pStyle w:val="BodyText"/>
      </w:pPr>
      <w:r>
        <w:t xml:space="preserve">RQ2. How do fungal abundance, diversity, and community composition vary according to facade</w:t>
      </w:r>
      <w:r>
        <w:t xml:space="preserve"> </w:t>
      </w:r>
      <w:r>
        <w:t xml:space="preserve">material, building age, architectural design, and orientation?</w:t>
      </w:r>
    </w:p>
    <w:p>
      <w:pPr>
        <w:pStyle w:val="BodyText"/>
      </w:pPr>
      <w:r>
        <w:t xml:space="preserve">RQ3. How does fungal community composition vary between seasonal monsoon phases, and are these</w:t>
      </w:r>
      <w:r>
        <w:t xml:space="preserve"> </w:t>
      </w:r>
      <w:r>
        <w:t xml:space="preserve">seasonal patterns consistent over time?</w:t>
      </w:r>
    </w:p>
    <w:p>
      <w:pPr>
        <w:pStyle w:val="BodyText"/>
      </w:pPr>
      <w:r>
        <w:t xml:space="preserve">RQ4. Is algal and cyanobacterial cover associated with fungal abundance and community composition?</w:t>
      </w:r>
    </w:p>
    <w:p>
      <w:pPr>
        <w:pStyle w:val="BodyText"/>
      </w:pPr>
      <w:r>
        <w:t xml:space="preserve">RQ5. Are fungal abundance and diversity associated with campus air-quality parameters and</w:t>
      </w:r>
      <w:r>
        <w:t xml:space="preserve"> </w:t>
      </w:r>
      <w:r>
        <w:t xml:space="preserve">microclimatic conditions after controlling for humidity and rainfall?</w:t>
      </w:r>
    </w:p>
    <w:bookmarkEnd w:id="32"/>
    <w:bookmarkStart w:id="33" w:name="literature-review"/>
    <w:p>
      <w:pPr>
        <w:pStyle w:val="Heading3"/>
      </w:pPr>
      <w:r>
        <w:t xml:space="preserve">9.4 Literature review</w:t>
      </w:r>
    </w:p>
    <w:p>
      <w:pPr>
        <w:pStyle w:val="FirstParagraph"/>
      </w:pPr>
      <w:r>
        <w:t xml:space="preserve">Moisture availability is widely recognised as the primary determinant of fungal colonisation on</w:t>
      </w:r>
      <w:r>
        <w:t xml:space="preserve"> </w:t>
      </w:r>
      <w:r>
        <w:t xml:space="preserve">building materials. Relative humidity influences biodeterioration rates on mineral substrates (Jain</w:t>
      </w:r>
      <w:r>
        <w:t xml:space="preserve"> </w:t>
      </w:r>
      <w:r>
        <w:t xml:space="preserve">et al., 2009), material moisture adsorption characteristics affect fungal growth potential (Shibuta</w:t>
      </w:r>
      <w:r>
        <w:t xml:space="preserve"> </w:t>
      </w:r>
      <w:r>
        <w:t xml:space="preserve">and Teramoto, 2026), and hyphal extension rates increase under favourable humidity conditions (Ito</w:t>
      </w:r>
      <w:r>
        <w:t xml:space="preserve"> </w:t>
      </w:r>
      <w:r>
        <w:t xml:space="preserve">and Mizuno, 2009). Moisture-related variables have also been shown to structure fungal communities</w:t>
      </w:r>
      <w:r>
        <w:t xml:space="preserve"> </w:t>
      </w:r>
      <w:r>
        <w:t xml:space="preserve">on building surfaces (Dedesko and Siegel, 2015). Consequently, moisture persistence remains central</w:t>
      </w:r>
      <w:r>
        <w:t xml:space="preserve"> </w:t>
      </w:r>
      <w:r>
        <w:t xml:space="preserve">to understanding fungal establishment and biodeterioration processes (Scott, 1994).</w:t>
      </w:r>
    </w:p>
    <w:p>
      <w:pPr>
        <w:pStyle w:val="BodyText"/>
      </w:pPr>
      <w:r>
        <w:t xml:space="preserve">Building design directly influences moisture persistence through its effects on ventilation,</w:t>
      </w:r>
      <w:r>
        <w:t xml:space="preserve"> </w:t>
      </w:r>
      <w:r>
        <w:t xml:space="preserve">shading, insolation, and rainfall exposure. Previous studies have focused on daylight optimisation,</w:t>
      </w:r>
      <w:r>
        <w:t xml:space="preserve"> </w:t>
      </w:r>
      <w:r>
        <w:t xml:space="preserve">energy efficiency, passive design strategies, and indoor environmental quality in educational</w:t>
      </w:r>
      <w:r>
        <w:t xml:space="preserve"> </w:t>
      </w:r>
      <w:r>
        <w:t xml:space="preserve">buildings (Alaidroos and Mosly, 2023; Idowu et al., 2026; Lim et al., 2026; Purnama et al., 2025),</w:t>
      </w:r>
      <w:r>
        <w:t xml:space="preserve"> </w:t>
      </w:r>
      <w:r>
        <w:t xml:space="preserve">and on the influence of occupant control of windows, doors and fans in naturally ventilated</w:t>
      </w:r>
      <w:r>
        <w:t xml:space="preserve"> </w:t>
      </w:r>
      <w:r>
        <w:t xml:space="preserve">classrooms (Franceschini et al., 2024; Lotun et al., 2026). However, biodeterioration risk is</w:t>
      </w:r>
      <w:r>
        <w:t xml:space="preserve"> </w:t>
      </w:r>
      <w:r>
        <w:t xml:space="preserve">rarely considered within these design frameworks despite its relevance to long-term building</w:t>
      </w:r>
      <w:r>
        <w:t xml:space="preserve"> </w:t>
      </w:r>
      <w:r>
        <w:t xml:space="preserve">performance and maintenance.</w:t>
      </w:r>
    </w:p>
    <w:p>
      <w:pPr>
        <w:pStyle w:val="BodyText"/>
      </w:pPr>
      <w:r>
        <w:t xml:space="preserve">Studies of the built environment consistently report fungal genera such as Penicillium,</w:t>
      </w:r>
      <w:r>
        <w:t xml:space="preserve"> </w:t>
      </w:r>
      <w:r>
        <w:t xml:space="preserve">Cladosporium, and Aspergillus as dominant colonisers of indoor and outdoor surfaces (Ejdys and</w:t>
      </w:r>
      <w:r>
        <w:t xml:space="preserve"> </w:t>
      </w:r>
      <w:r>
        <w:t xml:space="preserve">Biedunkiewicz, 2011; Segers et al., 2015; Tanney et al., 2017), while emerging tropical and</w:t>
      </w:r>
      <w:r>
        <w:t xml:space="preserve"> </w:t>
      </w:r>
      <w:r>
        <w:t xml:space="preserve">subtropical taxa continue to be described (Wang et al., 2026). Malaysian studies have linked fungal</w:t>
      </w:r>
      <w:r>
        <w:t xml:space="preserve"> </w:t>
      </w:r>
      <w:r>
        <w:t xml:space="preserve">contamination in educational buildings with occupant health concerns and indoor environmental</w:t>
      </w:r>
      <w:r>
        <w:t xml:space="preserve"> </w:t>
      </w:r>
      <w:r>
        <w:t xml:space="preserve">quality (Omar Hamdan et al., 2026; Norback et al., 2016). Nevertheless, exterior fungal communities</w:t>
      </w:r>
      <w:r>
        <w:t xml:space="preserve"> </w:t>
      </w:r>
      <w:r>
        <w:t xml:space="preserve">of educational buildings in tropical Borneo remain undocumented.</w:t>
      </w:r>
    </w:p>
    <w:p>
      <w:pPr>
        <w:pStyle w:val="BodyText"/>
      </w:pPr>
      <w:r>
        <w:t xml:space="preserve">The detrimental effects of fungal colonisation on construction materials are well established.</w:t>
      </w:r>
      <w:r>
        <w:t xml:space="preserve"> </w:t>
      </w:r>
      <w:r>
        <w:t xml:space="preserve">Fungi contribute to aesthetic deterioration, biofilm formation, mineral dissolution, physical</w:t>
      </w:r>
      <w:r>
        <w:t xml:space="preserve"> </w:t>
      </w:r>
      <w:r>
        <w:t xml:space="preserve">degradation, and material weakening through complex physiological and biochemical mechanisms (Jiang</w:t>
      </w:r>
      <w:r>
        <w:t xml:space="preserve"> </w:t>
      </w:r>
      <w:r>
        <w:t xml:space="preserve">et al., 2022). Deterioration has been demonstrated in concrete, marble, and other construction</w:t>
      </w:r>
      <w:r>
        <w:t xml:space="preserve"> </w:t>
      </w:r>
      <w:r>
        <w:t xml:space="preserve">materials under both laboratory and field conditions (Chaudhuri et al., 2020; Fomina et al., 2007;</w:t>
      </w:r>
      <w:r>
        <w:t xml:space="preserve"> </w:t>
      </w:r>
      <w:r>
        <w:t xml:space="preserve">Fu et al., 2025; Kosel et al., 2024). These processes are often enhanced by biofilm development and</w:t>
      </w:r>
      <w:r>
        <w:t xml:space="preserve"> </w:t>
      </w:r>
      <w:r>
        <w:t xml:space="preserve">extracellular polymeric substances that facilitate microbial persistence and substrate alteration</w:t>
      </w:r>
      <w:r>
        <w:t xml:space="preserve"> </w:t>
      </w:r>
      <w:r>
        <w:t xml:space="preserve">(Gaylarde and Morton, 1997).</w:t>
      </w:r>
    </w:p>
    <w:p>
      <w:pPr>
        <w:pStyle w:val="BodyText"/>
      </w:pPr>
      <w:r>
        <w:t xml:space="preserve">Air quality may also influence fungal colonisation dynamics. Atmospheric particulate matter has</w:t>
      </w:r>
      <w:r>
        <w:t xml:space="preserve"> </w:t>
      </w:r>
      <w:r>
        <w:t xml:space="preserve">been associated with fungal spore concentrations in urban environments (Ramos, 2023), regional</w:t>
      </w:r>
      <w:r>
        <w:t xml:space="preserve"> </w:t>
      </w:r>
      <w:r>
        <w:t xml:space="preserve">spore concentrations can be modelled from atmospheric data (Vida et al., 2024), and integrated</w:t>
      </w:r>
      <w:r>
        <w:t xml:space="preserve"> </w:t>
      </w:r>
      <w:r>
        <w:t xml:space="preserve">particulate sensing is increasingly applied to bioaerosol dynamics (Barbosa et al., 2026).</w:t>
      </w:r>
      <w:r>
        <w:t xml:space="preserve"> </w:t>
      </w:r>
      <w:r>
        <w:t xml:space="preserve">Occupancy elevates measured fungal and bacterial loads in classrooms (Hospodsky et al., 2015),</w:t>
      </w:r>
      <w:r>
        <w:t xml:space="preserve"> </w:t>
      </w:r>
      <w:r>
        <w:t xml:space="preserve">while seasonal fluctuations strongly influence airborne fungal communities (Ebner et al., 1992;</w:t>
      </w:r>
      <w:r>
        <w:t xml:space="preserve"> </w:t>
      </w:r>
      <w:r>
        <w:t xml:space="preserve">Liao et al., 2004; Medrela-Kuder, 2003; Salonen et al., 2015a, 2015b). Monitoring microclimatic and</w:t>
      </w:r>
      <w:r>
        <w:t xml:space="preserve"> </w:t>
      </w:r>
      <w:r>
        <w:t xml:space="preserve">air-quality variables therefore provides important environmental context for interpreting patterns</w:t>
      </w:r>
      <w:r>
        <w:t xml:space="preserve"> </w:t>
      </w:r>
      <w:r>
        <w:t xml:space="preserve">of facade colonisation.</w:t>
      </w:r>
    </w:p>
    <w:p>
      <w:pPr>
        <w:pStyle w:val="BodyText"/>
      </w:pPr>
      <w:r>
        <w:t xml:space="preserve">Molecular approaches have significantly improved the accuracy of fungal identification.</w:t>
      </w:r>
      <w:r>
        <w:t xml:space="preserve"> </w:t>
      </w:r>
      <w:r>
        <w:t xml:space="preserve">Culture-based methods recover viable fungi but may underestimate stressed or unculturable taxa,</w:t>
      </w:r>
      <w:r>
        <w:t xml:space="preserve"> </w:t>
      </w:r>
      <w:r>
        <w:t xml:space="preserve">whereas molecular techniques provide greater sensitivity and taxonomic resolution (Warren et al.,</w:t>
      </w:r>
      <w:r>
        <w:t xml:space="preserve"> </w:t>
      </w:r>
      <w:r>
        <w:t xml:space="preserve">2026), including multiplex real-time assays for filamentous fungi (Wei et al., 2024) and orthogonal</w:t>
      </w:r>
      <w:r>
        <w:t xml:space="preserve"> </w:t>
      </w:r>
      <w:r>
        <w:t xml:space="preserve">signals from fungal volatile organic compounds (Pantoja et al., 2016). The Internal Transcribed</w:t>
      </w:r>
      <w:r>
        <w:t xml:space="preserve"> </w:t>
      </w:r>
      <w:r>
        <w:t xml:space="preserve">Spacer (ITS) region remains the accepted primary fungal DNA barcode (Xu, 2016), making it</w:t>
      </w:r>
      <w:r>
        <w:t xml:space="preserve"> </w:t>
      </w:r>
      <w:r>
        <w:t xml:space="preserve">particularly suitable for characterising fungal communities associated with tropical building</w:t>
      </w:r>
      <w:r>
        <w:t xml:space="preserve"> </w:t>
      </w:r>
      <w:r>
        <w:t xml:space="preserve">exteriors, although taxonomic assignment of ITS amplicons depends on the classification method</w:t>
      </w:r>
      <w:r>
        <w:t xml:space="preserve"> </w:t>
      </w:r>
      <w:r>
        <w:t xml:space="preserve">adopted (Porter and Golding, 2011). Recovery efficiency is also influenced by the sampling device</w:t>
      </w:r>
      <w:r>
        <w:t xml:space="preserve"> </w:t>
      </w:r>
      <w:r>
        <w:t xml:space="preserve">used (Goverde et al., 2017).</w:t>
      </w:r>
    </w:p>
    <w:p>
      <w:pPr>
        <w:pStyle w:val="BodyText"/>
      </w:pPr>
      <w:r>
        <w:t xml:space="preserve">Where intervention is required, the available options include antifungal nanocoatings based on</w:t>
      </w:r>
      <w:r>
        <w:t xml:space="preserve"> </w:t>
      </w:r>
      <w:r>
        <w:t xml:space="preserve">silver and zinc oxide (Abdel-Rahim et al., 2026; Chen et al., 2018) and non-thermal plasma</w:t>
      </w:r>
      <w:r>
        <w:t xml:space="preserve"> </w:t>
      </w:r>
      <w:r>
        <w:t xml:space="preserve">treatment (Roberts et al., 2025). An inventory of the taxa actually present on local facades is</w:t>
      </w:r>
      <w:r>
        <w:t xml:space="preserve"> </w:t>
      </w:r>
      <w:r>
        <w:t xml:space="preserve">what would allow such options to be evaluated for this building stock.</w:t>
      </w:r>
    </w:p>
    <w:p>
      <w:pPr>
        <w:pStyle w:val="BodyText"/>
      </w:pPr>
      <w:r>
        <w:t xml:space="preserve">Despite advances in fungal ecology, biodeterioration science, and molecular detection, there</w:t>
      </w:r>
      <w:r>
        <w:t xml:space="preserve"> </w:t>
      </w:r>
      <w:r>
        <w:t xml:space="preserve">remains no integrated study examining fungal community composition, facade characteristics, air</w:t>
      </w:r>
      <w:r>
        <w:t xml:space="preserve"> </w:t>
      </w:r>
      <w:r>
        <w:t xml:space="preserve">quality, and microclimatic conditions on educational building exteriors in tropical Borneo. This</w:t>
      </w:r>
      <w:r>
        <w:t xml:space="preserve"> </w:t>
      </w:r>
      <w:r>
        <w:t xml:space="preserve">project addresses that gap and provides evidence to support building maintenance, material</w:t>
      </w:r>
      <w:r>
        <w:t xml:space="preserve"> </w:t>
      </w:r>
      <w:r>
        <w:t xml:space="preserve">selection, and sustainable design practices for public infrastructure in Sarawak.</w:t>
      </w:r>
    </w:p>
    <w:bookmarkEnd w:id="33"/>
    <w:bookmarkStart w:id="34" w:name="X0e11ace66e2248e439dd5ca1e80f67a02a165ec"/>
    <w:p>
      <w:pPr>
        <w:pStyle w:val="Heading3"/>
      </w:pPr>
      <w:r>
        <w:t xml:space="preserve">9.5 Relevance to government policy, community and industry</w:t>
      </w:r>
    </w:p>
    <w:p>
      <w:pPr>
        <w:pStyle w:val="FirstParagraph"/>
      </w:pPr>
      <w:r>
        <w:t xml:space="preserve">This project aligns with the Sarawak Post COVID-19 Development Strategy 2030 (PCDS 2030) under the</w:t>
      </w:r>
      <w:r>
        <w:t xml:space="preserve"> </w:t>
      </w:r>
      <w:r>
        <w:t xml:space="preserve">Environmental Sustainability and Social Well-being pillars (Economic Planning Unit Sarawak, 2021).</w:t>
      </w:r>
      <w:r>
        <w:t xml:space="preserve"> </w:t>
      </w:r>
      <w:r>
        <w:t xml:space="preserve">The findings will provide the Ministry of Education, Innovation and Talent Development (MEITD), the</w:t>
      </w:r>
      <w:r>
        <w:t xml:space="preserve"> </w:t>
      </w:r>
      <w:r>
        <w:t xml:space="preserve">Public Works Department (JKR), higher education institutions, and facility managers with locally</w:t>
      </w:r>
      <w:r>
        <w:t xml:space="preserve"> </w:t>
      </w:r>
      <w:r>
        <w:t xml:space="preserve">derived evidence on fungal biodeterioration of tropical building exteriors.</w:t>
      </w:r>
    </w:p>
    <w:p>
      <w:pPr>
        <w:pStyle w:val="BodyText"/>
      </w:pPr>
      <w:r>
        <w:t xml:space="preserve">The outcomes will support evidence-based decisions on building material selection, facade design,</w:t>
      </w:r>
      <w:r>
        <w:t xml:space="preserve"> </w:t>
      </w:r>
      <w:r>
        <w:t xml:space="preserve">preventive maintenance planning, and environmental monitoring. Because schools, universities,</w:t>
      </w:r>
      <w:r>
        <w:t xml:space="preserve"> </w:t>
      </w:r>
      <w:r>
        <w:t xml:space="preserve">healthcare facilities, and government buildings throughout Sarawak operate under similar climatic</w:t>
      </w:r>
      <w:r>
        <w:t xml:space="preserve"> </w:t>
      </w:r>
      <w:r>
        <w:t xml:space="preserve">conditions and construction practices, the findings will have broad applicability across the state.</w:t>
      </w:r>
      <w:r>
        <w:t xml:space="preserve"> </w:t>
      </w:r>
      <w:r>
        <w:t xml:space="preserve">In addition, the establishment of a curated fungal isolate collection and a campus environmental</w:t>
      </w:r>
      <w:r>
        <w:t xml:space="preserve"> </w:t>
      </w:r>
      <w:r>
        <w:t xml:space="preserve">monitoring framework will provide long-term research assets and strengthen local capacity in</w:t>
      </w:r>
      <w:r>
        <w:t xml:space="preserve"> </w:t>
      </w:r>
      <w:r>
        <w:t xml:space="preserve">environmental microbiology, building science, and sustainable infrastructure management.</w:t>
      </w:r>
    </w:p>
    <w:bookmarkEnd w:id="34"/>
    <w:bookmarkEnd w:id="35"/>
    <w:bookmarkStart w:id="36" w:name="objectives"/>
    <w:p>
      <w:pPr>
        <w:pStyle w:val="Heading2"/>
      </w:pPr>
      <w:r>
        <w:t xml:space="preserve">10. Objectives</w:t>
      </w:r>
    </w:p>
    <w:p>
      <w:pPr>
        <w:numPr>
          <w:ilvl w:val="0"/>
          <w:numId w:val="1001"/>
        </w:numPr>
      </w:pPr>
      <w:r>
        <w:t xml:space="preserve">To characterise the fungal communities colonising building exteriors at the UTS Sibu campus,</w:t>
      </w:r>
      <w:r>
        <w:t xml:space="preserve"> </w:t>
      </w:r>
      <w:r>
        <w:t xml:space="preserve">through culture-based isolation, enumeration and PCR-based molecular identification targeting</w:t>
      </w:r>
      <w:r>
        <w:t xml:space="preserve"> </w:t>
      </w:r>
      <w:r>
        <w:t xml:space="preserve">the internal transcribed spacer region.</w:t>
      </w:r>
    </w:p>
    <w:p>
      <w:pPr>
        <w:numPr>
          <w:ilvl w:val="0"/>
          <w:numId w:val="1001"/>
        </w:numPr>
      </w:pPr>
      <w:r>
        <w:t xml:space="preserve">To determine how community composition and abundance vary with facade material, building age,</w:t>
      </w:r>
      <w:r>
        <w:t xml:space="preserve"> </w:t>
      </w:r>
      <w:r>
        <w:t xml:space="preserve">design approach, orientation and exposure, across paired visibly colonised and visually clean</w:t>
      </w:r>
      <w:r>
        <w:t xml:space="preserve"> </w:t>
      </w:r>
      <w:r>
        <w:t xml:space="preserve">surfaces, with algal and cyanobacterial cover recorded as a covariate.</w:t>
      </w:r>
    </w:p>
    <w:p>
      <w:pPr>
        <w:numPr>
          <w:ilvl w:val="0"/>
          <w:numId w:val="1001"/>
        </w:numPr>
      </w:pPr>
      <w:r>
        <w:t xml:space="preserve">To establish seasonal variation in community composition across a complete annual cycle</w:t>
      </w:r>
      <w:r>
        <w:t xml:space="preserve"> </w:t>
      </w:r>
      <w:r>
        <w:t xml:space="preserve">spanning both monsoon phases, with two phases resampled twelve months apart to test</w:t>
      </w:r>
      <w:r>
        <w:t xml:space="preserve"> </w:t>
      </w:r>
      <w:r>
        <w:t xml:space="preserve">consistency.</w:t>
      </w:r>
    </w:p>
    <w:p>
      <w:pPr>
        <w:numPr>
          <w:ilvl w:val="0"/>
          <w:numId w:val="1001"/>
        </w:numPr>
      </w:pPr>
      <w:r>
        <w:t xml:space="preserve">To monitor campus air quality and microclimate continuously as environmental context, and to</w:t>
      </w:r>
      <w:r>
        <w:t xml:space="preserve"> </w:t>
      </w:r>
      <w:r>
        <w:t xml:space="preserve">formulate exterior material selection and maintenance guidance together with a campus</w:t>
      </w:r>
      <w:r>
        <w:t xml:space="preserve"> </w:t>
      </w:r>
      <w:r>
        <w:t xml:space="preserve">air-quality reporting protocol.</w:t>
      </w:r>
    </w:p>
    <w:bookmarkEnd w:id="36"/>
    <w:bookmarkStart w:id="43" w:name="methodology"/>
    <w:p>
      <w:pPr>
        <w:pStyle w:val="Heading2"/>
      </w:pPr>
      <w:r>
        <w:t xml:space="preserve">11. Methodology</w:t>
      </w:r>
    </w:p>
    <w:bookmarkStart w:id="37" w:name="X9b5fb124836f1bd4a9e36ae8630f3ddf01a95ce"/>
    <w:p>
      <w:pPr>
        <w:pStyle w:val="Heading3"/>
      </w:pPr>
      <w:r>
        <w:t xml:space="preserve">Phase 1. Site stratification and setup, March to May 2027</w:t>
      </w:r>
    </w:p>
    <w:p>
      <w:pPr>
        <w:pStyle w:val="FirstParagraph"/>
      </w:pPr>
      <w:r>
        <w:t xml:space="preserve">Four buildings on the UTS Sibu campus are selected to generate contrast rather than to describe</w:t>
      </w:r>
      <w:r>
        <w:t xml:space="preserve"> </w:t>
      </w:r>
      <w:r>
        <w:t xml:space="preserve">a single structure. The stratification axes are facade material, covering exposed concrete,</w:t>
      </w:r>
      <w:r>
        <w:t xml:space="preserve"> </w:t>
      </w:r>
      <w:r>
        <w:t xml:space="preserve">painted render and tile; building age, contrasting newer and older blocks that differ in</w:t>
      </w:r>
      <w:r>
        <w:t xml:space="preserve"> </w:t>
      </w:r>
      <w:r>
        <w:t xml:space="preserve">cumulative exposure; design approach, contrasting green design features such as deep shading,</w:t>
      </w:r>
      <w:r>
        <w:t xml:space="preserve"> </w:t>
      </w:r>
      <w:r>
        <w:t xml:space="preserve">planting close to the envelope and natural ventilation against conventional construction; and</w:t>
      </w:r>
      <w:r>
        <w:t xml:space="preserve"> </w:t>
      </w:r>
      <w:r>
        <w:t xml:space="preserve">exposure, contrasting sheltered elevations against wind-exposed and rain-exposed ones. Facade</w:t>
      </w:r>
      <w:r>
        <w:t xml:space="preserve"> </w:t>
      </w:r>
      <w:r>
        <w:t xml:space="preserve">material inventory, orientation and shading geometry are mapped for each building.</w:t>
      </w:r>
    </w:p>
    <w:p>
      <w:pPr>
        <w:pStyle w:val="BodyText"/>
      </w:pPr>
      <w:r>
        <w:t xml:space="preserve">At each building, fixed points are established on north, south, east and west facing walls</w:t>
      </w:r>
      <w:r>
        <w:t xml:space="preserve"> </w:t>
      </w:r>
      <w:r>
        <w:t xml:space="preserve">together with one roof-adjacent surface. At each wall point a pair of locations is established,</w:t>
      </w:r>
      <w:r>
        <w:t xml:space="preserve"> </w:t>
      </w:r>
      <w:r>
        <w:t xml:space="preserve">one visibly colonised and one visually clean, on the same material, to serve as an internal</w:t>
      </w:r>
      <w:r>
        <w:t xml:space="preserve"> </w:t>
      </w:r>
      <w:r>
        <w:t xml:space="preserve">control. This yields thirty-two wall points, being four buildings by four orientations by two</w:t>
      </w:r>
      <w:r>
        <w:t xml:space="preserve"> </w:t>
      </w:r>
      <w:r>
        <w:t xml:space="preserve">surface conditions, together with four roof points, giving thirty-six fixed points in total.</w:t>
      </w:r>
      <w:r>
        <w:t xml:space="preserve"> </w:t>
      </w:r>
      <w:r>
        <w:t xml:space="preserve">All points are georeferenced and photographed to permit repeat sampling.</w:t>
      </w:r>
    </w:p>
    <w:p>
      <w:pPr>
        <w:pStyle w:val="BodyText"/>
      </w:pPr>
      <w:r>
        <w:t xml:space="preserve">Portable monitoring nodes are fabricated on a microcontroller platform in ventilated,</w:t>
      </w:r>
      <w:r>
        <w:t xml:space="preserve"> </w:t>
      </w:r>
      <w:r>
        <w:t xml:space="preserve">weather-resistant enclosures rated to IP65, measuring PM2.5, PM10, carbon monoxide, oxides of</w:t>
      </w:r>
      <w:r>
        <w:t xml:space="preserve"> </w:t>
      </w:r>
      <w:r>
        <w:t xml:space="preserve">nitrogen, ozone, carbon dioxide, temperature and relative humidity. The configuration follows one</w:t>
      </w:r>
      <w:r>
        <w:t xml:space="preserve"> </w:t>
      </w:r>
      <w:r>
        <w:t xml:space="preserve">already validated in deployed service by the co-researcher under existing work, combining a</w:t>
      </w:r>
      <w:r>
        <w:t xml:space="preserve"> </w:t>
      </w:r>
      <w:r>
        <w:t xml:space="preserve">multi-parameter air-quality module for particulates, carbon dioxide, temperature and humidity, a</w:t>
      </w:r>
      <w:r>
        <w:t xml:space="preserve"> </w:t>
      </w:r>
      <w:r>
        <w:t xml:space="preserve">discrete temperature and humidity sensor as a redundant reference, and a set of metal oxide gas</w:t>
      </w:r>
      <w:r>
        <w:t xml:space="preserve"> </w:t>
      </w:r>
      <w:r>
        <w:t xml:space="preserve">sensors. The expenditure therefore replicates a proven build rather than carrying development</w:t>
      </w:r>
      <w:r>
        <w:t xml:space="preserve"> </w:t>
      </w:r>
      <w:r>
        <w:t xml:space="preserve">risk. Nodes transmit to a cloud database over campus Wi-Fi or LoRa, with a public dashboard and a</w:t>
      </w:r>
      <w:r>
        <w:t xml:space="preserve"> </w:t>
      </w:r>
      <w:r>
        <w:t xml:space="preserve">display unit at a high-traffic campus location. Nodes are co-located with a rented</w:t>
      </w:r>
      <w:r>
        <w:t xml:space="preserve"> </w:t>
      </w:r>
      <w:r>
        <w:t xml:space="preserve">reference-grade instrument for a calibration campaign under Sibu conditions before deployment.</w:t>
      </w:r>
    </w:p>
    <w:p>
      <w:pPr>
        <w:pStyle w:val="BodyText"/>
      </w:pPr>
      <w:r>
        <w:t xml:space="preserve">Two measurement limitations are stated here rather than left to the discussion. First, the</w:t>
      </w:r>
      <w:r>
        <w:t xml:space="preserve"> </w:t>
      </w:r>
      <w:r>
        <w:t xml:space="preserve">Malaysian Air Pollution Index is a Department of Environment index that incorporates a sulphur</w:t>
      </w:r>
      <w:r>
        <w:t xml:space="preserve"> </w:t>
      </w:r>
      <w:r>
        <w:t xml:space="preserve">dioxide sub-index, which this instrumentation does not measure. Sulphur dioxide bears on no</w:t>
      </w:r>
      <w:r>
        <w:t xml:space="preserve"> </w:t>
      </w:r>
      <w:r>
        <w:t xml:space="preserve">mechanism this project tests, so it is neither instrumented nor budgeted. The values reported are</w:t>
      </w:r>
      <w:r>
        <w:t xml:space="preserve"> </w:t>
      </w:r>
      <w:r>
        <w:t xml:space="preserve">accordingly an indicative campus air-quality index computed from the available sub-indices, and</w:t>
      </w:r>
      <w:r>
        <w:t xml:space="preserve"> </w:t>
      </w:r>
      <w:r>
        <w:t xml:space="preserve">are compared against the nearest Department of Environment monitoring station for the regional</w:t>
      </w:r>
      <w:r>
        <w:t xml:space="preserve"> </w:t>
      </w:r>
      <w:r>
        <w:t xml:space="preserve">signal rather than presented as an official index value. Second, low-cost optical particulate</w:t>
      </w:r>
      <w:r>
        <w:t xml:space="preserve"> </w:t>
      </w:r>
      <w:r>
        <w:t xml:space="preserve">sensors over-report mass at high relative humidity, because hygroscopic particle growth increases</w:t>
      </w:r>
      <w:r>
        <w:t xml:space="preserve"> </w:t>
      </w:r>
      <w:r>
        <w:t xml:space="preserve">light scattering, and this campus sits routinely in that regime. A published hygroscopic growth</w:t>
      </w:r>
      <w:r>
        <w:t xml:space="preserve"> </w:t>
      </w:r>
      <w:r>
        <w:t xml:space="preserve">correction is applied, both corrected and uncorrected values are reported, and relative humidity</w:t>
      </w:r>
      <w:r>
        <w:t xml:space="preserve"> </w:t>
      </w:r>
      <w:r>
        <w:t xml:space="preserve">is retained as a covariate in every model involving particulate matter. Any association between</w:t>
      </w:r>
      <w:r>
        <w:t xml:space="preserve"> </w:t>
      </w:r>
      <w:r>
        <w:t xml:space="preserve">particulate matter and fungal abundance, as in H5, is reported as a partial association after</w:t>
      </w:r>
      <w:r>
        <w:t xml:space="preserve"> </w:t>
      </w:r>
      <w:r>
        <w:t xml:space="preserve">that adjustment and is treated as exploratory.</w:t>
      </w:r>
    </w:p>
    <w:p>
      <w:pPr>
        <w:pStyle w:val="BodyText"/>
      </w:pPr>
      <w:r>
        <w:t xml:space="preserve">Sampling, culture and contamination control protocols are agreed with SRDC-TROPI and validated</w:t>
      </w:r>
      <w:r>
        <w:t xml:space="preserve"> </w:t>
      </w:r>
      <w:r>
        <w:t xml:space="preserve">on a pilot round before the first formal round.</w:t>
      </w:r>
    </w:p>
    <w:bookmarkEnd w:id="37"/>
    <w:bookmarkStart w:id="38" w:name="X60bce1f82ed40232f2f9f442e938f9efaee4a81"/>
    <w:p>
      <w:pPr>
        <w:pStyle w:val="Heading3"/>
      </w:pPr>
      <w:r>
        <w:t xml:space="preserve">Phase 2. Sampling and plating, June 2027 to September 2028</w:t>
      </w:r>
    </w:p>
    <w:p>
      <w:pPr>
        <w:pStyle w:val="FirstParagraph"/>
      </w:pPr>
      <w:r>
        <w:t xml:space="preserve">At each point a sterile template of ten centimetres by ten centimetres defines the sampled area.</w:t>
      </w:r>
      <w:r>
        <w:t xml:space="preserve"> </w:t>
      </w:r>
      <w:r>
        <w:t xml:space="preserve">Three replicate sterile swabs are taken per point per round, moistened in sterile transport</w:t>
      </w:r>
      <w:r>
        <w:t xml:space="preserve"> </w:t>
      </w:r>
      <w:r>
        <w:t xml:space="preserve">medium, with swab type held constant throughout, recognising that recovery efficiency is</w:t>
      </w:r>
      <w:r>
        <w:t xml:space="preserve"> </w:t>
      </w:r>
      <w:r>
        <w:t xml:space="preserve">swab-dependent (Goverde et al., 2017). Passive settle plates are deployed adjacent to a defined subset of points</w:t>
      </w:r>
      <w:r>
        <w:t xml:space="preserve"> </w:t>
      </w:r>
      <w:r>
        <w:t xml:space="preserve">for airborne spore capture.</w:t>
      </w:r>
    </w:p>
    <w:p>
      <w:pPr>
        <w:pStyle w:val="BodyText"/>
      </w:pPr>
      <w:r>
        <w:t xml:space="preserve">Covariates are recorded at every point in every round. These are algal and cyanobacterial cover,</w:t>
      </w:r>
      <w:r>
        <w:t xml:space="preserve"> </w:t>
      </w:r>
      <w:r>
        <w:t xml:space="preserve">scored as percentage cover on a fixed ordinal scale; surface moisture presence; substrate</w:t>
      </w:r>
      <w:r>
        <w:t xml:space="preserve"> </w:t>
      </w:r>
      <w:r>
        <w:t xml:space="preserve">material; orientation; a shading index; and the preceding rainfall, temperature, humidity and</w:t>
      </w:r>
      <w:r>
        <w:t xml:space="preserve"> </w:t>
      </w:r>
      <w:r>
        <w:t xml:space="preserve">particulate record from the monitoring network.</w:t>
      </w:r>
    </w:p>
    <w:p>
      <w:pPr>
        <w:pStyle w:val="BodyText"/>
      </w:pPr>
      <w:r>
        <w:t xml:space="preserve">Six quarterly sampling rounds are conducted between June 2027 and September 2028, with up to</w:t>
      </w:r>
      <w:r>
        <w:t xml:space="preserve"> </w:t>
      </w:r>
      <w:r>
        <w:t xml:space="preserve">two additional rounds triggered opportunistically during regional haze episodes. Round 1 falls in</w:t>
      </w:r>
      <w:r>
        <w:t xml:space="preserve"> </w:t>
      </w:r>
      <w:r>
        <w:t xml:space="preserve">June 2027 during the Southwest monsoon; Round 2 in September 2027 in the late Southwest phase;</w:t>
      </w:r>
      <w:r>
        <w:t xml:space="preserve"> </w:t>
      </w:r>
      <w:r>
        <w:t xml:space="preserve">Round 3 in December 2027 during the Northeast monsoon; Round 4 in March 2028 in the late Northeast</w:t>
      </w:r>
      <w:r>
        <w:t xml:space="preserve"> </w:t>
      </w:r>
      <w:r>
        <w:t xml:space="preserve">phase; Round 5 in June 2028, a twelve-month repeat of Round 1; and Round 6 in September 2028, a</w:t>
      </w:r>
      <w:r>
        <w:t xml:space="preserve"> </w:t>
      </w:r>
      <w:r>
        <w:t xml:space="preserve">twelve-month repeat of Round 2. Rounds 1 to 4 constitute a complete annual seasonal round covering</w:t>
      </w:r>
      <w:r>
        <w:t xml:space="preserve"> </w:t>
      </w:r>
      <w:r>
        <w:t xml:space="preserve">both monsoon phases, while Rounds 5 and 6 provide paired year-on-year observations for two of</w:t>
      </w:r>
      <w:r>
        <w:t xml:space="preserve"> </w:t>
      </w:r>
      <w:r>
        <w:t xml:space="preserve">those phases. The schedule is supplied as an attachment.</w:t>
      </w:r>
    </w:p>
    <w:p>
      <w:pPr>
        <w:pStyle w:val="BodyText"/>
      </w:pPr>
      <w:r>
        <w:t xml:space="preserve">This is the maximum seasonal structure obtainable within a fixed twenty-four month award that also</w:t>
      </w:r>
      <w:r>
        <w:t xml:space="preserve"> </w:t>
      </w:r>
      <w:r>
        <w:t xml:space="preserve">allows for permit processing before sampling begins. The project must close on 28 February 2029</w:t>
      </w:r>
      <w:r>
        <w:t xml:space="preserve"> </w:t>
      </w:r>
      <w:r>
        <w:t xml:space="preserve">without extension, so sampling ends in September 2028 in order to leave five months for the</w:t>
      </w:r>
      <w:r>
        <w:t xml:space="preserve"> </w:t>
      </w:r>
      <w:r>
        <w:t xml:space="preserve">remaining molecular work, the analysis, both manuscripts and grant closure. Full inter-annual</w:t>
      </w:r>
      <w:r>
        <w:t xml:space="preserve"> </w:t>
      </w:r>
      <w:r>
        <w:t xml:space="preserve">replication across both monsoon phases lies outside the scope of this award and is identified as</w:t>
      </w:r>
      <w:r>
        <w:t xml:space="preserve"> </w:t>
      </w:r>
      <w:r>
        <w:t xml:space="preserve">follow-on work.</w:t>
      </w:r>
    </w:p>
    <w:p>
      <w:pPr>
        <w:pStyle w:val="BodyText"/>
      </w:pPr>
      <w:r>
        <w:t xml:space="preserve">With thirty-six points per round, the three replicate swabs are composited per point per round,</w:t>
      </w:r>
      <w:r>
        <w:t xml:space="preserve"> </w:t>
      </w:r>
      <w:r>
        <w:t xml:space="preserve">giving thirty-six samples per round and two hundred and sixteen composited samples across the six</w:t>
      </w:r>
      <w:r>
        <w:t xml:space="preserve"> </w:t>
      </w:r>
      <w:r>
        <w:t xml:space="preserve">rounds.</w:t>
      </w:r>
    </w:p>
    <w:p>
      <w:pPr>
        <w:pStyle w:val="BodyText"/>
      </w:pPr>
      <w:r>
        <w:t xml:space="preserve">Under the agreed division of labour, SRDC-TROPI supplies prepared sterile swabs and media to UTS</w:t>
      </w:r>
      <w:r>
        <w:t xml:space="preserve"> </w:t>
      </w:r>
      <w:r>
        <w:t xml:space="preserve">ahead of each round. UTS performs the swabbing and inoculates Sabouraud dextrose agar and potato</w:t>
      </w:r>
      <w:r>
        <w:t xml:space="preserve"> </w:t>
      </w:r>
      <w:r>
        <w:t xml:space="preserve">dextrose agar plates on site, then returns the inoculated plates and swabs to SRDC-TROPI under</w:t>
      </w:r>
      <w:r>
        <w:t xml:space="preserve"> </w:t>
      </w:r>
      <w:r>
        <w:t xml:space="preserve">cold-chain conditions for incubation. This keeps media preparation and incubation within the</w:t>
      </w:r>
      <w:r>
        <w:t xml:space="preserve"> </w:t>
      </w:r>
      <w:r>
        <w:t xml:space="preserve">partner's controlled laboratory environment while field sampling remains with the UTS team, and</w:t>
      </w:r>
      <w:r>
        <w:t xml:space="preserve"> </w:t>
      </w:r>
      <w:r>
        <w:t xml:space="preserve">it avoids duplicate procurement of the same consumables across the two budgets.</w:t>
      </w:r>
    </w:p>
    <w:bookmarkEnd w:id="38"/>
    <w:bookmarkStart w:id="39" w:name="contamination-control"/>
    <w:p>
      <w:pPr>
        <w:pStyle w:val="Heading3"/>
      </w:pPr>
      <w:r>
        <w:t xml:space="preserve">Contamination control</w:t>
      </w:r>
    </w:p>
    <w:p>
      <w:pPr>
        <w:pStyle w:val="FirstParagraph"/>
      </w:pPr>
      <w:r>
        <w:t xml:space="preserve">Low-biomass surface sampling is vulnerable to contamination from reagents, kits and the air, so</w:t>
      </w:r>
      <w:r>
        <w:t xml:space="preserve"> </w:t>
      </w:r>
      <w:r>
        <w:t xml:space="preserve">the following controls are carried through the identical pipeline.</w:t>
      </w:r>
    </w:p>
    <w:p>
      <w:pPr>
        <w:pStyle w:val="BodyText"/>
      </w:pPr>
      <w:r>
        <w:t xml:space="preserve">A field blank is taken once per round: a sterile swab is opened at the sampling site, exposed to</w:t>
      </w:r>
      <w:r>
        <w:t xml:space="preserve"> </w:t>
      </w:r>
      <w:r>
        <w:t xml:space="preserve">air for the duration of a normal swab, contacts no surface, and is processed identically. A</w:t>
      </w:r>
      <w:r>
        <w:t xml:space="preserve"> </w:t>
      </w:r>
      <w:r>
        <w:t xml:space="preserve">transport blank, being a sterile unopened swab, travels in the cooler to SRDC-TROPI and back once</w:t>
      </w:r>
      <w:r>
        <w:t xml:space="preserve"> </w:t>
      </w:r>
      <w:r>
        <w:t xml:space="preserve">per shipment. An extraction blank is run once per extraction batch, with the kit run on buffers</w:t>
      </w:r>
      <w:r>
        <w:t xml:space="preserve"> </w:t>
      </w:r>
      <w:r>
        <w:t xml:space="preserve">only and no sample input, capturing kit and reagent background; the batch membership of every</w:t>
      </w:r>
      <w:r>
        <w:t xml:space="preserve"> </w:t>
      </w:r>
      <w:r>
        <w:t xml:space="preserve">sample is recorded. A no-template control is run on each PCR plate, with water in place of</w:t>
      </w:r>
      <w:r>
        <w:t xml:space="preserve"> </w:t>
      </w:r>
      <w:r>
        <w:t xml:space="preserve">template, together with a positive control of a known isolate, so that a negative blank can be</w:t>
      </w:r>
      <w:r>
        <w:t xml:space="preserve"> </w:t>
      </w:r>
      <w:r>
        <w:t xml:space="preserve">distinguished from a failed reaction. On the culture side, uninoculated media plates from every</w:t>
      </w:r>
      <w:r>
        <w:t xml:space="preserve"> </w:t>
      </w:r>
      <w:r>
        <w:t xml:space="preserve">batch are incubated to confirm sterility, and an open plate is exposed during sample handling to</w:t>
      </w:r>
      <w:r>
        <w:t xml:space="preserve"> </w:t>
      </w:r>
      <w:r>
        <w:t xml:space="preserve">quantify laboratory fallout.</w:t>
      </w:r>
    </w:p>
    <w:p>
      <w:pPr>
        <w:pStyle w:val="BodyText"/>
      </w:pPr>
      <w:r>
        <w:t xml:space="preserve">Three further rules apply. Blanks are carried through the entire pipeline and sequenced alongside</w:t>
      </w:r>
      <w:r>
        <w:t xml:space="preserve"> </w:t>
      </w:r>
      <w:r>
        <w:t xml:space="preserve">samples rather than screened out at the gel stage, since gel electrophoresis does not resolve</w:t>
      </w:r>
      <w:r>
        <w:t xml:space="preserve"> </w:t>
      </w:r>
      <w:r>
        <w:t xml:space="preserve">low-level contamination. The content of all blanks is reported in the results. Where sequence</w:t>
      </w:r>
      <w:r>
        <w:t xml:space="preserve"> </w:t>
      </w:r>
      <w:r>
        <w:t xml:space="preserve">data permits, contaminant signal is removed statistically by prevalence-based decontamination</w:t>
      </w:r>
      <w:r>
        <w:t xml:space="preserve"> </w:t>
      </w:r>
      <w:r>
        <w:t xml:space="preserve">against the blank set rather than by inspection.</w:t>
      </w:r>
    </w:p>
    <w:bookmarkEnd w:id="39"/>
    <w:bookmarkStart w:id="40" w:name="Xf5c0c41d25d0e1dc6ed2e3b7122d4eb2f85e02c"/>
    <w:p>
      <w:pPr>
        <w:pStyle w:val="Heading3"/>
      </w:pPr>
      <w:r>
        <w:t xml:space="preserve">Phase 3. Incubation, isolation and identification, rolling, June 2027 to December 2028</w:t>
      </w:r>
    </w:p>
    <w:p>
      <w:pPr>
        <w:pStyle w:val="FirstParagraph"/>
      </w:pPr>
      <w:r>
        <w:t xml:space="preserve">Inoculated plates and swabs are transported to SRDC-TROPI in Kota Samarahan in sealed,</w:t>
      </w:r>
      <w:r>
        <w:t xml:space="preserve"> </w:t>
      </w:r>
      <w:r>
        <w:t xml:space="preserve">triple-packaged containers under cold-chain conditions. SRDC-TROPI incubates all plates and</w:t>
      </w:r>
      <w:r>
        <w:t xml:space="preserve"> </w:t>
      </w:r>
      <w:r>
        <w:t xml:space="preserve">enumerates growth, with colony counts expressed as colony-forming units per unit area for</w:t>
      </w:r>
      <w:r>
        <w:t xml:space="preserve"> </w:t>
      </w:r>
      <w:r>
        <w:t xml:space="preserve">surfaces and per cubic metre for settle plates. This quantitative dataset across all two hundred</w:t>
      </w:r>
      <w:r>
        <w:t xml:space="preserve"> </w:t>
      </w:r>
      <w:r>
        <w:t xml:space="preserve">and sixteen composited samples is the statistical backbone of H1 to H4.</w:t>
      </w:r>
    </w:p>
    <w:p>
      <w:pPr>
        <w:pStyle w:val="BodyText"/>
      </w:pPr>
      <w:r>
        <w:t xml:space="preserve">Colonies are separated by morphotype and purified, and a curated set of up to sixty unique</w:t>
      </w:r>
      <w:r>
        <w:t xml:space="preserve"> </w:t>
      </w:r>
      <w:r>
        <w:t xml:space="preserve">isolates spanning the morphotype range across buildings, materials and seasons is selected for</w:t>
      </w:r>
      <w:r>
        <w:t xml:space="preserve"> </w:t>
      </w:r>
      <w:r>
        <w:t xml:space="preserve">identification. SRDC-TROPI performs DNA extraction and PCR amplification of the internal</w:t>
      </w:r>
      <w:r>
        <w:t xml:space="preserve"> </w:t>
      </w:r>
      <w:r>
        <w:t xml:space="preserve">transcribed spacer region using fungal-specific primers, and forwards the amplicons to an</w:t>
      </w:r>
      <w:r>
        <w:t xml:space="preserve"> </w:t>
      </w:r>
      <w:r>
        <w:t xml:space="preserve">accredited commercial provider for Sanger sequencing, funded from this Matching Grant under VOT</w:t>
      </w:r>
      <w:r>
        <w:t xml:space="preserve"> </w:t>
      </w:r>
      <w:r>
        <w:t xml:space="preserve">29000. Each isolate receives a single-pass read, with bidirectional reads on the subset whose</w:t>
      </w:r>
      <w:r>
        <w:t xml:space="preserve"> </w:t>
      </w:r>
      <w:r>
        <w:t xml:space="preserve">assignment is ambiguous, within the eighty sequencing reactions budgeted. Sequences are</w:t>
      </w:r>
      <w:r>
        <w:t xml:space="preserve"> </w:t>
      </w:r>
      <w:r>
        <w:t xml:space="preserve">quality-trimmed, assembled and assigned taxonomically against a curated fungal ITS reference</w:t>
      </w:r>
      <w:r>
        <w:t xml:space="preserve"> </w:t>
      </w:r>
      <w:r>
        <w:t xml:space="preserve">database, with the assignment method and confidence threshold stated, recognising that ITS</w:t>
      </w:r>
      <w:r>
        <w:t xml:space="preserve"> </w:t>
      </w:r>
      <w:r>
        <w:t xml:space="preserve">amplicon classification is method-dependent (Porter and Golding, 2011). Isolates are maintained by SRDC-TROPI as a</w:t>
      </w:r>
      <w:r>
        <w:t xml:space="preserve"> </w:t>
      </w:r>
      <w:r>
        <w:t xml:space="preserve">referenced collection.</w:t>
      </w:r>
    </w:p>
    <w:p>
      <w:pPr>
        <w:pStyle w:val="BodyText"/>
      </w:pPr>
      <w:r>
        <w:t xml:space="preserve">Processing is rolling rather than batched. Each sampling round is transported and processed as it</w:t>
      </w:r>
      <w:r>
        <w:t xml:space="preserve"> </w:t>
      </w:r>
      <w:r>
        <w:t xml:space="preserve">completes, so that first-year samples are identified while second-year sampling continues. This</w:t>
      </w:r>
      <w:r>
        <w:t xml:space="preserve"> </w:t>
      </w:r>
      <w:r>
        <w:t xml:space="preserve">yields an interim community profile at twelve months, permits protocol correction before two</w:t>
      </w:r>
      <w:r>
        <w:t xml:space="preserve"> </w:t>
      </w:r>
      <w:r>
        <w:t xml:space="preserve">years of samples have accumulated, and reduces schedule risk.</w:t>
      </w:r>
    </w:p>
    <w:p>
      <w:pPr>
        <w:pStyle w:val="BodyText"/>
      </w:pPr>
      <w:r>
        <w:t xml:space="preserve">Two limitations of the identification approach are acknowledged in the design rather than the</w:t>
      </w:r>
      <w:r>
        <w:t xml:space="preserve"> </w:t>
      </w:r>
      <w:r>
        <w:t xml:space="preserve">discussion. First, this is a culture-dependent characterisation. Culture recovers viable</w:t>
      </w:r>
      <w:r>
        <w:t xml:space="preserve"> </w:t>
      </w:r>
      <w:r>
        <w:t xml:space="preserve">organisms but systematically underestimates non-culturable and stressed environmental taxa (Warren et al., 2026),</w:t>
      </w:r>
      <w:r>
        <w:t xml:space="preserve"> </w:t>
      </w:r>
      <w:r>
        <w:t xml:space="preserve">so the inventory describes the culturable fraction and is reported as such. Culture-independent</w:t>
      </w:r>
      <w:r>
        <w:t xml:space="preserve"> </w:t>
      </w:r>
      <w:r>
        <w:t xml:space="preserve">ITS amplicon profiling is identified as the priority extension. Second, the internal transcribed</w:t>
      </w:r>
      <w:r>
        <w:t xml:space="preserve"> </w:t>
      </w:r>
      <w:r>
        <w:t xml:space="preserve">spacer region is the accepted primary fungal barcode (Xu, 2016) but does not reliably resolve all</w:t>
      </w:r>
      <w:r>
        <w:t xml:space="preserve"> </w:t>
      </w:r>
      <w:r>
        <w:t xml:space="preserve">genera to species level. Assignments are therefore reported at genus level, with species-level</w:t>
      </w:r>
      <w:r>
        <w:t xml:space="preserve"> </w:t>
      </w:r>
      <w:r>
        <w:t xml:space="preserve">identification given only where ITS support is unambiguous. Taxa are described as putatively</w:t>
      </w:r>
      <w:r>
        <w:t xml:space="preserve"> </w:t>
      </w:r>
      <w:r>
        <w:t xml:space="preserve">toxigenic or biodeteriogenic on the basis of published activity for the genus (Jiang et al., 2022; Chaudhuri et al., 2020; Fomina et al., 2007; Gaylarde and Morton, 1997),</w:t>
      </w:r>
      <w:r>
        <w:t xml:space="preserve"> </w:t>
      </w:r>
      <w:r>
        <w:t xml:space="preserve">not on the basis of assay within this project. Secondary protein-coding markers for finer</w:t>
      </w:r>
      <w:r>
        <w:t xml:space="preserve"> </w:t>
      </w:r>
      <w:r>
        <w:t xml:space="preserve">resolution are identified as follow-on work.</w:t>
      </w:r>
    </w:p>
    <w:bookmarkEnd w:id="40"/>
    <w:bookmarkStart w:id="41" w:name="Xb0651e1d06286504db93263c23d26d60ae7a939"/>
    <w:p>
      <w:pPr>
        <w:pStyle w:val="Heading3"/>
      </w:pPr>
      <w:r>
        <w:t xml:space="preserve">Phase 4. Analysis, synthesis and closure, October 2028 to February 2029</w:t>
      </w:r>
    </w:p>
    <w:p>
      <w:pPr>
        <w:pStyle w:val="FirstParagraph"/>
      </w:pPr>
      <w:r>
        <w:t xml:space="preserve">Colony-forming unit abundance is modelled using generalised linear mixed models appropriate to</w:t>
      </w:r>
      <w:r>
        <w:t xml:space="preserve"> </w:t>
      </w:r>
      <w:r>
        <w:t xml:space="preserve">count data, with building, orientation, facade material, design approach, season and algal cover</w:t>
      </w:r>
      <w:r>
        <w:t xml:space="preserve"> </w:t>
      </w:r>
      <w:r>
        <w:t xml:space="preserve">as fixed effects and sampling point as a random effect, so that repeated measures on the same</w:t>
      </w:r>
      <w:r>
        <w:t xml:space="preserve"> </w:t>
      </w:r>
      <w:r>
        <w:t xml:space="preserve">point are respected. Community composition is analysed by permutational multivariate analysis of</w:t>
      </w:r>
      <w:r>
        <w:t xml:space="preserve"> </w:t>
      </w:r>
      <w:r>
        <w:t xml:space="preserve">variance on Bray-Curtis dissimilarities, with ordination for visualisation, and alpha diversity</w:t>
      </w:r>
      <w:r>
        <w:t xml:space="preserve"> </w:t>
      </w:r>
      <w:r>
        <w:t xml:space="preserve">by standard indices. Paired colonised and clean surfaces are compared within point pairs. The</w:t>
      </w:r>
      <w:r>
        <w:t xml:space="preserve"> </w:t>
      </w:r>
      <w:r>
        <w:t xml:space="preserve">exploratory particulate association, H5, is fitted using antecedent-window particulate means with</w:t>
      </w:r>
      <w:r>
        <w:t xml:space="preserve"> </w:t>
      </w:r>
      <w:r>
        <w:t xml:space="preserve">humidity, rainfall and temperature as adjustment covariates, is reported as exploratory, and the</w:t>
      </w:r>
      <w:r>
        <w:t xml:space="preserve"> </w:t>
      </w:r>
      <w:r>
        <w:t xml:space="preserve">multiplicity of comparisons is acknowledged.</w:t>
      </w:r>
    </w:p>
    <w:p>
      <w:pPr>
        <w:pStyle w:val="BodyText"/>
      </w:pPr>
      <w:r>
        <w:t xml:space="preserve">The findings are then translated into exterior material selection and maintenance guidance,</w:t>
      </w:r>
      <w:r>
        <w:t xml:space="preserve"> </w:t>
      </w:r>
      <w:r>
        <w:t xml:space="preserve">specifying which materials and orientations warrant intervention and at what interval, and into a</w:t>
      </w:r>
      <w:r>
        <w:t xml:space="preserve"> </w:t>
      </w:r>
      <w:r>
        <w:t xml:space="preserve">campus air-quality reporting protocol supporting institutional environmental reporting.</w:t>
      </w:r>
    </w:p>
    <w:bookmarkEnd w:id="41"/>
    <w:bookmarkStart w:id="42" w:name="regulatory-compliance-biosafety-and-data"/>
    <w:p>
      <w:pPr>
        <w:pStyle w:val="Heading3"/>
      </w:pPr>
      <w:r>
        <w:t xml:space="preserve">Regulatory compliance, biosafety and data</w:t>
      </w:r>
    </w:p>
    <w:p>
      <w:pPr>
        <w:pStyle w:val="FirstParagraph"/>
      </w:pPr>
      <w:r>
        <w:t xml:space="preserve">Research conducted in Sarawak requires a permit issued by the Sarawak Biodiversity Council</w:t>
      </w:r>
      <w:r>
        <w:t xml:space="preserve"> </w:t>
      </w:r>
      <w:r>
        <w:t xml:space="preserve">through the Sarawak Online Research Application System. An application for a permit covering this</w:t>
      </w:r>
      <w:r>
        <w:t xml:space="preserve"> </w:t>
      </w:r>
      <w:r>
        <w:t xml:space="preserve">project, its scope, its personnel and the participating institutions is submitted through SORAS on</w:t>
      </w:r>
      <w:r>
        <w:t xml:space="preserve"> </w:t>
      </w:r>
      <w:r>
        <w:t xml:space="preserve">commencement of the award. No surface sampling, and no collection or transfer of biological</w:t>
      </w:r>
      <w:r>
        <w:t xml:space="preserve"> </w:t>
      </w:r>
      <w:r>
        <w:t xml:space="preserve">material, takes place until that permit is issued.</w:t>
      </w:r>
    </w:p>
    <w:p>
      <w:pPr>
        <w:pStyle w:val="BodyText"/>
      </w:pPr>
      <w:r>
        <w:t xml:space="preserve">The sampling schedule is set to accommodate the permit processing period. The first round is</w:t>
      </w:r>
      <w:r>
        <w:t xml:space="preserve"> </w:t>
      </w:r>
      <w:r>
        <w:t xml:space="preserve">scheduled for June 2027, three months after commencement, and the preceding months are occupied by</w:t>
      </w:r>
      <w:r>
        <w:t xml:space="preserve"> </w:t>
      </w:r>
      <w:r>
        <w:t xml:space="preserve">work that requires no permit: node fabrication and calibration, establishment and georeferencing of</w:t>
      </w:r>
      <w:r>
        <w:t xml:space="preserve"> </w:t>
      </w:r>
      <w:r>
        <w:t xml:space="preserve">the sampling points, the facade material and shading inventory, and the visual survey of algal and</w:t>
      </w:r>
      <w:r>
        <w:t xml:space="preserve"> </w:t>
      </w:r>
      <w:r>
        <w:t xml:space="preserve">cyanobacterial cover. Should issuance nonetheless fall later than planned, the rounds commence at</w:t>
      </w:r>
      <w:r>
        <w:t xml:space="preserve"> </w:t>
      </w:r>
      <w:r>
        <w:t xml:space="preserve">the next quarterly point following issue and the closure date is unchanged. Permit status is</w:t>
      </w:r>
      <w:r>
        <w:t xml:space="preserve"> </w:t>
      </w:r>
      <w:r>
        <w:t xml:space="preserve">tracked as a named milestone with the Principal Researcher as owner, and deposition of sequence</w:t>
      </w:r>
      <w:r>
        <w:t xml:space="preserve"> </w:t>
      </w:r>
      <w:r>
        <w:t xml:space="preserve">data and of isolates is undertaken in accordance with the permit conditions.</w:t>
      </w:r>
    </w:p>
    <w:p>
      <w:pPr>
        <w:pStyle w:val="BodyText"/>
      </w:pPr>
      <w:r>
        <w:t xml:space="preserve">Culturing concentrates fungal genera that include potentially pathogenic and toxigenic species.</w:t>
      </w:r>
      <w:r>
        <w:t xml:space="preserve"> </w:t>
      </w:r>
      <w:r>
        <w:t xml:space="preserve">Work is conducted at the containment level specified by the UTS biosafety assessment, with a</w:t>
      </w:r>
      <w:r>
        <w:t xml:space="preserve"> </w:t>
      </w:r>
      <w:r>
        <w:t xml:space="preserve">documented risk assessment, defined personal protective equipment, handling of cultures in a</w:t>
      </w:r>
      <w:r>
        <w:t xml:space="preserve"> </w:t>
      </w:r>
      <w:r>
        <w:t xml:space="preserve">biological safety cabinet, autoclave disposal of waste, and clearance for undergraduate and</w:t>
      </w:r>
      <w:r>
        <w:t xml:space="preserve"> </w:t>
      </w:r>
      <w:r>
        <w:t xml:space="preserve">postgraduate participation. Transport of biological material between institutions follows the</w:t>
      </w:r>
      <w:r>
        <w:t xml:space="preserve"> </w:t>
      </w:r>
      <w:r>
        <w:t xml:space="preserve">triple packaging and cold-chain requirements of the Agreement.</w:t>
      </w:r>
    </w:p>
    <w:p>
      <w:pPr>
        <w:pStyle w:val="BodyText"/>
      </w:pPr>
      <w:r>
        <w:t xml:space="preserve">Raw air-quality records, colony counts, covariate records and sequence data are shared between</w:t>
      </w:r>
      <w:r>
        <w:t xml:space="preserve"> </w:t>
      </w:r>
      <w:r>
        <w:t xml:space="preserve">the parties for joint publication and reporting. Sequences are deposited in a public nucleotide</w:t>
      </w:r>
      <w:r>
        <w:t xml:space="preserve"> </w:t>
      </w:r>
      <w:r>
        <w:t xml:space="preserve">database with accessions reported, subject to permit conditions, and the air-quality dataset is</w:t>
      </w:r>
      <w:r>
        <w:t xml:space="preserve"> </w:t>
      </w:r>
      <w:r>
        <w:t xml:space="preserve">released as an open campus dataset.</w:t>
      </w:r>
    </w:p>
    <w:p>
      <w:pPr>
        <w:pStyle w:val="BodyText"/>
      </w:pPr>
      <w:r>
        <w:t xml:space="preserve">The design is observational and establishes association rather than causation. It characterises</w:t>
      </w:r>
      <w:r>
        <w:t xml:space="preserve"> </w:t>
      </w:r>
      <w:r>
        <w:t xml:space="preserve">the culturable fraction of the community. Seasonal structure is assessed over one complete annual</w:t>
      </w:r>
      <w:r>
        <w:t xml:space="preserve"> </w:t>
      </w:r>
      <w:r>
        <w:t xml:space="preserve">round with two phases resampled twelve months apart, so year-on-year consistency can be tested</w:t>
      </w:r>
      <w:r>
        <w:t xml:space="preserve"> </w:t>
      </w:r>
      <w:r>
        <w:t xml:space="preserve">for those two phases only; full inter-annual replication across all four phases is not achievable</w:t>
      </w:r>
      <w:r>
        <w:t xml:space="preserve"> </w:t>
      </w:r>
      <w:r>
        <w:t xml:space="preserve">within a fixed twenty-four month term and is identified as follow-on work. Sampling is confined</w:t>
      </w:r>
      <w:r>
        <w:t xml:space="preserve"> </w:t>
      </w:r>
      <w:r>
        <w:t xml:space="preserve">to one campus, so generalisation to other Sarawak building stock is indicative, and the</w:t>
      </w:r>
      <w:r>
        <w:t xml:space="preserve"> </w:t>
      </w:r>
      <w:r>
        <w:t xml:space="preserve">stratified building selection is intended to maximise the transferable contrast available within</w:t>
      </w:r>
      <w:r>
        <w:t xml:space="preserve"> </w:t>
      </w:r>
      <w:r>
        <w:t xml:space="preserve">that constraint.</w:t>
      </w:r>
    </w:p>
    <w:bookmarkEnd w:id="42"/>
    <w:bookmarkEnd w:id="43"/>
    <w:bookmarkStart w:id="44" w:name="expected-result"/>
    <w:p>
      <w:pPr>
        <w:pStyle w:val="Heading2"/>
      </w:pPr>
      <w:r>
        <w:t xml:space="preserve">12. Expected result</w:t>
      </w:r>
    </w:p>
    <w:p>
      <w:pPr>
        <w:pStyle w:val="FirstParagraph"/>
      </w:pPr>
      <w:r>
        <w:rPr>
          <w:bCs/>
          <w:b/>
        </w:rPr>
        <w:t xml:space="preserve">Publications.</w:t>
      </w:r>
      <w:r>
        <w:t xml:space="preserve"> </w:t>
      </w:r>
      <w:r>
        <w:t xml:space="preserve">At least two joint publications in journals indexed by Scopus or Web of</w:t>
      </w:r>
      <w:r>
        <w:t xml:space="preserve"> </w:t>
      </w:r>
      <w:r>
        <w:t xml:space="preserve">Science, satisfying the guideline requirement of two indexed outputs for the Science, Engineering</w:t>
      </w:r>
      <w:r>
        <w:t xml:space="preserve"> </w:t>
      </w:r>
      <w:r>
        <w:t xml:space="preserve">and Technology area. The first reports the facade mycobiota inventory with its material,</w:t>
      </w:r>
      <w:r>
        <w:t xml:space="preserve"> </w:t>
      </w:r>
      <w:r>
        <w:t xml:space="preserve">orientation and seasonal structure. The second reports the green design and biodeterioration risk</w:t>
      </w:r>
      <w:r>
        <w:t xml:space="preserve"> </w:t>
      </w:r>
      <w:r>
        <w:t xml:space="preserve">analysis together with the air-quality and microclimate context. Journals without article</w:t>
      </w:r>
      <w:r>
        <w:t xml:space="preserve"> </w:t>
      </w:r>
      <w:r>
        <w:t xml:space="preserve">processing charges are targeted, since such charges are not funded within the VOT 29000 ceiling.</w:t>
      </w:r>
    </w:p>
    <w:p>
      <w:pPr>
        <w:pStyle w:val="BodyText"/>
      </w:pPr>
      <w:r>
        <w:rPr>
          <w:bCs/>
          <w:b/>
        </w:rPr>
        <w:t xml:space="preserve">Theory.</w:t>
      </w:r>
      <w:r>
        <w:t xml:space="preserve"> </w:t>
      </w:r>
      <w:r>
        <w:t xml:space="preserve">The first characterisation of facade-colonising fungal communities for an equatorial</w:t>
      </w:r>
      <w:r>
        <w:t xml:space="preserve"> </w:t>
      </w:r>
      <w:r>
        <w:t xml:space="preserve">Bornean educational campus, and the first test of whether tropical green design features are</w:t>
      </w:r>
      <w:r>
        <w:t xml:space="preserve"> </w:t>
      </w:r>
      <w:r>
        <w:t xml:space="preserve">associated with elevated surface colonisation, extending moisture-control models of fungal growth</w:t>
      </w:r>
      <w:r>
        <w:t xml:space="preserve"> </w:t>
      </w:r>
      <w:r>
        <w:t xml:space="preserve">(Shibuta and Teramoto, 2026; Ito and Mizuno, 2009; Dedesko and Siegel, 2015) from material and indoor scales to the designed tropical exterior.</w:t>
      </w:r>
    </w:p>
    <w:p>
      <w:pPr>
        <w:pStyle w:val="BodyText"/>
      </w:pPr>
      <w:r>
        <w:rPr>
          <w:bCs/>
          <w:b/>
        </w:rPr>
        <w:t xml:space="preserve">Prototype.</w:t>
      </w:r>
      <w:r>
        <w:t xml:space="preserve"> </w:t>
      </w:r>
      <w:r>
        <w:t xml:space="preserve">A low-cost campus air-quality and microclimate monitoring network with a cloud</w:t>
      </w:r>
      <w:r>
        <w:t xml:space="preserve"> </w:t>
      </w:r>
      <w:r>
        <w:t xml:space="preserve">database and a public real-time dashboard, replicable by other institutions in Sarawak.</w:t>
      </w:r>
    </w:p>
    <w:p>
      <w:pPr>
        <w:pStyle w:val="BodyText"/>
      </w:pPr>
      <w:r>
        <w:rPr>
          <w:bCs/>
          <w:b/>
        </w:rPr>
        <w:t xml:space="preserve">Application.</w:t>
      </w:r>
      <w:r>
        <w:t xml:space="preserve"> </w:t>
      </w:r>
      <w:r>
        <w:t xml:space="preserve">Exterior material selection and maintenance guidance for tropical educational</w:t>
      </w:r>
      <w:r>
        <w:t xml:space="preserve"> </w:t>
      </w:r>
      <w:r>
        <w:t xml:space="preserve">infrastructure, together with a campus air-quality reporting protocol supporting institutional</w:t>
      </w:r>
      <w:r>
        <w:t xml:space="preserve"> </w:t>
      </w:r>
      <w:r>
        <w:t xml:space="preserve">environmental and greenhouse gas reporting.</w:t>
      </w:r>
    </w:p>
    <w:p>
      <w:pPr>
        <w:pStyle w:val="BodyText"/>
      </w:pPr>
      <w:r>
        <w:rPr>
          <w:bCs/>
          <w:b/>
        </w:rPr>
        <w:t xml:space="preserve">Intellectual property.</w:t>
      </w:r>
      <w:r>
        <w:t xml:space="preserve"> </w:t>
      </w:r>
      <w:r>
        <w:t xml:space="preserve">No patent filing is anticipated. Copyright is asserted over the</w:t>
      </w:r>
      <w:r>
        <w:t xml:space="preserve"> </w:t>
      </w:r>
      <w:r>
        <w:t xml:space="preserve">dashboard software and the published guidance documents.</w:t>
      </w:r>
    </w:p>
    <w:p>
      <w:pPr>
        <w:pStyle w:val="BodyText"/>
      </w:pPr>
      <w:r>
        <w:rPr>
          <w:bCs/>
          <w:b/>
        </w:rPr>
        <w:t xml:space="preserve">Human capital development.</w:t>
      </w:r>
      <w:r>
        <w:t xml:space="preserve"> </w:t>
      </w:r>
      <w:r>
        <w:t xml:space="preserve">Training of undergraduate research assistants and final year</w:t>
      </w:r>
      <w:r>
        <w:t xml:space="preserve"> </w:t>
      </w:r>
      <w:r>
        <w:t xml:space="preserve">project students in exterior sampling, aseptic technique, culture quantification and sensor</w:t>
      </w:r>
      <w:r>
        <w:t xml:space="preserve"> </w:t>
      </w:r>
      <w:r>
        <w:t xml:space="preserve">instrumentation; postgraduate involvement in the molecular and analytical workstreams; and</w:t>
      </w:r>
      <w:r>
        <w:t xml:space="preserve"> </w:t>
      </w:r>
      <w:r>
        <w:t xml:space="preserve">capability transfer between UTS and SRDC-TROPI in environmental mycology.</w:t>
      </w:r>
    </w:p>
    <w:p>
      <w:pPr>
        <w:pStyle w:val="BodyText"/>
      </w:pPr>
      <w:r>
        <w:rPr>
          <w:bCs/>
          <w:b/>
        </w:rPr>
        <w:t xml:space="preserve">Output to target community.</w:t>
      </w:r>
      <w:r>
        <w:t xml:space="preserve"> </w:t>
      </w:r>
      <w:r>
        <w:t xml:space="preserve">Maintenance guidance transferable to schools, clinics and public</w:t>
      </w:r>
      <w:r>
        <w:t xml:space="preserve"> </w:t>
      </w:r>
      <w:r>
        <w:t xml:space="preserve">offices across Sarawak, a public campus dashboard, and measured evidence for MEITD, JKR and</w:t>
      </w:r>
      <w:r>
        <w:t xml:space="preserve"> </w:t>
      </w:r>
      <w:r>
        <w:t xml:space="preserve">campus operators.</w:t>
      </w:r>
    </w:p>
    <w:p>
      <w:pPr>
        <w:pStyle w:val="BodyText"/>
      </w:pPr>
      <w:r>
        <w:rPr>
          <w:bCs/>
          <w:b/>
        </w:rPr>
        <w:t xml:space="preserve">Return to UTS.</w:t>
      </w:r>
      <w:r>
        <w:t xml:space="preserve"> </w:t>
      </w:r>
      <w:r>
        <w:t xml:space="preserve">A curated and referenced isolate collection; a two-year quantitative</w:t>
      </w:r>
      <w:r>
        <w:t xml:space="preserve"> </w:t>
      </w:r>
      <w:r>
        <w:t xml:space="preserve">colonisation and air-quality dataset that appreciates with time and cannot be reconstructed</w:t>
      </w:r>
      <w:r>
        <w:t xml:space="preserve"> </w:t>
      </w:r>
      <w:r>
        <w:t xml:space="preserve">retrospectively; an operational monitoring capability; a demonstrated collaboration with SRDC;</w:t>
      </w:r>
      <w:r>
        <w:t xml:space="preserve"> </w:t>
      </w:r>
      <w:r>
        <w:t xml:space="preserve">and the empirical basis for a follow-on proposal on the functional biodeterioration assay of the</w:t>
      </w:r>
      <w:r>
        <w:t xml:space="preserve"> </w:t>
      </w:r>
      <w:r>
        <w:t xml:space="preserve">isolates recovered.</w:t>
      </w:r>
    </w:p>
    <w:p>
      <w:pPr>
        <w:pStyle w:val="BodyText"/>
      </w:pPr>
      <w:r>
        <w:rPr>
          <w:bCs/>
          <w:b/>
        </w:rPr>
        <w:t xml:space="preserve">Identified follow-on work.</w:t>
      </w:r>
      <w:r>
        <w:t xml:space="preserve"> </w:t>
      </w:r>
      <w:r>
        <w:t xml:space="preserve">Three extensions are scoped by this project but lie deliberately</w:t>
      </w:r>
      <w:r>
        <w:t xml:space="preserve"> </w:t>
      </w:r>
      <w:r>
        <w:t xml:space="preserve">outside it: culture-independent ITS amplicon profiling to characterise the non-culturable</w:t>
      </w:r>
      <w:r>
        <w:t xml:space="preserve"> </w:t>
      </w:r>
      <w:r>
        <w:t xml:space="preserve">fraction of the community; functional degradation assay of the recovered isolates on cementitious</w:t>
      </w:r>
      <w:r>
        <w:t xml:space="preserve"> </w:t>
      </w:r>
      <w:r>
        <w:t xml:space="preserve">coupons; and full inter-annual replication across both monsoon phases. All three are made</w:t>
      </w:r>
      <w:r>
        <w:t xml:space="preserve"> </w:t>
      </w:r>
      <w:r>
        <w:t xml:space="preserve">possible by the isolate collection and baseline dataset this award produces, and none is</w:t>
      </w:r>
      <w:r>
        <w:t xml:space="preserve"> </w:t>
      </w:r>
      <w:r>
        <w:t xml:space="preserve">affordable or achievable within the present ceiling and term.</w:t>
      </w:r>
    </w:p>
    <w:bookmarkEnd w:id="44"/>
    <w:bookmarkStart w:id="45" w:name="equipment-and-location"/>
    <w:p>
      <w:pPr>
        <w:pStyle w:val="Heading2"/>
      </w:pPr>
      <w:r>
        <w:t xml:space="preserve">13. Equipment and location</w:t>
      </w:r>
    </w:p>
    <w:p>
      <w:pPr>
        <w:pStyle w:val="FirstParagraph"/>
      </w:pPr>
      <w:r>
        <w:t xml:space="preserve">At UTS Sibu: portable air-quality monitoring nodes, fabricated, comprising a multi-parameter</w:t>
      </w:r>
      <w:r>
        <w:t xml:space="preserve"> </w:t>
      </w:r>
      <w:r>
        <w:t xml:space="preserve">particulate, carbon dioxide, temperature and humidity module, a discrete temperature and humidity</w:t>
      </w:r>
      <w:r>
        <w:t xml:space="preserve"> </w:t>
      </w:r>
      <w:r>
        <w:t xml:space="preserve">sensor, a metal oxide gas sensor set, a microcontroller, a LoRa gateway and an IP65 enclosure; a</w:t>
      </w:r>
      <w:r>
        <w:t xml:space="preserve"> </w:t>
      </w:r>
      <w:r>
        <w:t xml:space="preserve">rented reference-grade air quality analyser for the calibration campaign; and a biological safety</w:t>
      </w:r>
      <w:r>
        <w:t xml:space="preserve"> </w:t>
      </w:r>
      <w:r>
        <w:t xml:space="preserve">cabinet, autoclave and cold storage for plate handling and transfer.</w:t>
      </w:r>
    </w:p>
    <w:p>
      <w:pPr>
        <w:pStyle w:val="BodyText"/>
      </w:pPr>
      <w:r>
        <w:t xml:space="preserve">At SRDC-TROPI, Kota Samarahan: incubators, stereomicroscopy, PCR thermal cyclers, centrifuges and</w:t>
      </w:r>
      <w:r>
        <w:t xml:space="preserve"> </w:t>
      </w:r>
      <w:r>
        <w:t xml:space="preserve">gel electrophoresis systems.</w:t>
      </w:r>
    </w:p>
    <w:p>
      <w:pPr>
        <w:pStyle w:val="BodyText"/>
      </w:pPr>
      <w:r>
        <w:t xml:space="preserve">Sanger sequencing is outsourced to an accredited commercial provider.</w:t>
      </w:r>
    </w:p>
    <w:bookmarkEnd w:id="45"/>
    <w:bookmarkStart w:id="46" w:name="references"/>
    <w:p>
      <w:pPr>
        <w:pStyle w:val="Heading2"/>
      </w:pPr>
      <w:r>
        <w:t xml:space="preserve">14. References</w:t>
      </w:r>
    </w:p>
    <w:p>
      <w:pPr>
        <w:pStyle w:val="FirstParagraph"/>
      </w:pPr>
      <w:r>
        <w:t xml:space="preserve">Abdel-Rahim, I.R., Nafady, N.A., Bagy, M.M.K., et al. (2026) 'Mitigating indoor air quality risks from Cladosporium sphaerospermum-induced biodeterioration of oil-based paints using silver and zinc oxide nanoparticles', Aerobiologia. https://doi.org/10.1007/s10453-025-09895-5</w:t>
      </w:r>
    </w:p>
    <w:p>
      <w:pPr>
        <w:pStyle w:val="BodyText"/>
      </w:pPr>
      <w:r>
        <w:t xml:space="preserve">Alaidroos, A. and Mosly, I. (2023) 'Preventing mold growth and maintaining acceptable indoor air quality for educational buildings operating with high mechanical ventilation rates in hot and humid climates', Air Quality, Atmosphere and Health. https://doi.org/10.1007/s11869-022-01277-x</w:t>
      </w:r>
    </w:p>
    <w:p>
      <w:pPr>
        <w:pStyle w:val="BodyText"/>
      </w:pPr>
      <w:r>
        <w:t xml:space="preserve">Ara, M., Das, I.P. and Nayak, R. (2025) 'Impact of indoor fungal growth on building materials in coastal Karnataka: a comparative study of traditional and modern construction', Journal of the Institution of Engineers (India): Series A, 106, pp. 1255-1267. https://doi.org/10.1007/s40030-025-00931-8</w:t>
      </w:r>
    </w:p>
    <w:p>
      <w:pPr>
        <w:pStyle w:val="BodyText"/>
      </w:pPr>
      <w:r>
        <w:t xml:space="preserve">Barbosa, M.I., Roxo, H., Ribeiro, P., et al. (2026) 'Integrated PM, MOX and thermal sensing for monitoring bioaerosol dynamics in controlled indoor environments', Sensors. https://doi.org/10.3390/s26113521</w:t>
      </w:r>
    </w:p>
    <w:p>
      <w:pPr>
        <w:pStyle w:val="BodyText"/>
      </w:pPr>
      <w:r>
        <w:t xml:space="preserve">Chaudhuri, A., Bhattacharyya, S., Chaudhuri, P., et al. (2020) 'In vitro deterioration study of concrete and marble by Aspergillus tamarii', Journal of Building Engineering. https://doi.org/10.1016/j.jobe.2020.101774</w:t>
      </w:r>
    </w:p>
    <w:p>
      <w:pPr>
        <w:pStyle w:val="BodyText"/>
      </w:pPr>
      <w:r>
        <w:t xml:space="preserve">Chen, Y.-C., Yu, K.-P., Shao, W.-C., et al. (2018) 'Novel mold-resistant building materials impregnated with thermally reduced nano-silver', Indoor Air. https://doi.org/10.1111/ina.12443</w:t>
      </w:r>
    </w:p>
    <w:p>
      <w:pPr>
        <w:pStyle w:val="BodyText"/>
      </w:pPr>
      <w:r>
        <w:t xml:space="preserve">Dedesko, S. and Siegel, J.A. (2015) 'Moisture parameters and fungal communities associated with gypsum drywall in buildings', Microbiome, 3, 71. https://doi.org/10.1186/s40168-015-0137-y</w:t>
      </w:r>
    </w:p>
    <w:p>
      <w:pPr>
        <w:pStyle w:val="BodyText"/>
      </w:pPr>
      <w:r>
        <w:t xml:space="preserve">Ebner, M.R., Haselwandter, K. and Frank, A. (1992) 'Indoor and outdoor incidence of airborne fungal allergens at low and high altitude alpine environments', Mycological Research. https://doi.org/10.1016/S0953-7562(09)80924-6</w:t>
      </w:r>
    </w:p>
    <w:p>
      <w:pPr>
        <w:pStyle w:val="BodyText"/>
      </w:pPr>
      <w:r>
        <w:t xml:space="preserve">Economic Planning Unit Sarawak (2021) Post COVID-19 Development Strategy 2030 (PCDS 2030). Kuching: Sarawak Government. Available at: https://www.sarawak.gov.my/media/attachments/PCDS_Compressed_22_July_2021.pdf</w:t>
      </w:r>
    </w:p>
    <w:p>
      <w:pPr>
        <w:pStyle w:val="BodyText"/>
      </w:pPr>
      <w:r>
        <w:t xml:space="preserve">Ejdys, E. and Biedunkiewicz, A. (2011) 'Fungi of the genus Penicillium in school buildings', Polish Journal of Environmental Studies, 20(2), pp. 333-338.</w:t>
      </w:r>
    </w:p>
    <w:p>
      <w:pPr>
        <w:pStyle w:val="BodyText"/>
      </w:pPr>
      <w:r>
        <w:t xml:space="preserve">Fomina, M., Podgorsky, V.S., Olishevska, S.V., et al. (2007) 'Fungal deterioration of barrier concrete used in nuclear waste disposal', Geomicrobiology Journal. https://doi.org/10.1080/01490450701672240</w:t>
      </w:r>
    </w:p>
    <w:p>
      <w:pPr>
        <w:pStyle w:val="BodyText"/>
      </w:pPr>
      <w:r>
        <w:t xml:space="preserve">Franceschini, P.B., Schweiker, M. and Neves, L.O. (2024) 'Predictive modelling of multi-domain factors on window, door, and fan status in naturally ventilated school classrooms', Building and Environment. https://doi.org/10.2139/ssrn.4765516</w:t>
      </w:r>
    </w:p>
    <w:p>
      <w:pPr>
        <w:pStyle w:val="BodyText"/>
      </w:pPr>
      <w:r>
        <w:t xml:space="preserve">Fu, T., Lai, Q., Chen, X., et al. (2025) 'Fungal colonization on building materials under reduced barometric pressure: a laboratory study', Case Studies in Construction Materials. https://doi.org/10.1016/j.cscm.2025.e05367</w:t>
      </w:r>
    </w:p>
    <w:p>
      <w:pPr>
        <w:pStyle w:val="BodyText"/>
      </w:pPr>
      <w:r>
        <w:t xml:space="preserve">Gaylarde, C.C. and Morton, L.H.G. (1997) 'The importance of biofilms in microbial deterioration of constructional materials', Revista de Microbiologia.</w:t>
      </w:r>
    </w:p>
    <w:p>
      <w:pPr>
        <w:pStyle w:val="BodyText"/>
      </w:pPr>
      <w:r>
        <w:t xml:space="preserve">Goverde, M., Willrodt, J. and Staerk, A. (2017) 'Evaluation of the recovery rate of different swabs for microbial environmental monitoring', PDA Journal of Pharmaceutical Science and Technology. https://doi.org/10.5731/pdajpst.2016.006783</w:t>
      </w:r>
    </w:p>
    <w:p>
      <w:pPr>
        <w:pStyle w:val="BodyText"/>
      </w:pPr>
      <w:r>
        <w:t xml:space="preserve">Hospodsky, D., Yamamoto, N., Nazaroff, W.W., et al. (2015) 'Characterizing airborne fungal and bacterial concentrations and emission rates in six occupied children's classrooms', Indoor Air. https://doi.org/10.1111/ina.12172</w:t>
      </w:r>
    </w:p>
    <w:p>
      <w:pPr>
        <w:pStyle w:val="BodyText"/>
      </w:pPr>
      <w:r>
        <w:t xml:space="preserve">Idowu, A., Aigbavboa, C., Oke, A., Ogundipe, K. and Stephen, S. (2026) 'Integrating passive design principles in the retrofitting of educational buildings', Architectural Engineering and Design Management, pp. 1-14. https://doi.org/10.1080/17452007.2026.2694389</w:t>
      </w:r>
    </w:p>
    <w:p>
      <w:pPr>
        <w:pStyle w:val="BodyText"/>
      </w:pPr>
      <w:r>
        <w:t xml:space="preserve">Ito, K. and Mizuno, Y. (2009) 'Measurement of hyphal growth rate under various humidity conditions and development of fungal growth model', Journal of Environmental Engineering (Transactions of AIJ), 74(636), pp. 193-199. https://doi.org/10.3130/aije.74.193</w:t>
      </w:r>
    </w:p>
    <w:p>
      <w:pPr>
        <w:pStyle w:val="BodyText"/>
      </w:pPr>
      <w:r>
        <w:t xml:space="preserve">Jain, A., Bhadauria, S., Kumar, V. and Chauhan, R.S. (2009) 'Biodeterioration of sandstone under the influence of different humidity levels in laboratory conditions', Building and Environment, 44(6), pp. 1276-1284. https://doi.org/10.1016/j.buildenv.2008.09.019</w:t>
      </w:r>
    </w:p>
    <w:p>
      <w:pPr>
        <w:pStyle w:val="BodyText"/>
      </w:pPr>
      <w:r>
        <w:t xml:space="preserve">Jiang, L., Pettitt, T.R., Buenfeld, N. and Smith, S.R. (2022) 'A critical review of the physiological, ecological, physical and chemical factors influencing the microbial degradation of concrete by fungi', Building and Environment. https://doi.org/10.1016/j.buildenv.2022.108925</w:t>
      </w:r>
    </w:p>
    <w:p>
      <w:pPr>
        <w:pStyle w:val="BodyText"/>
      </w:pPr>
      <w:r>
        <w:t xml:space="preserve">Kosel, J., Tomsic, N., Mlakar, M., et al. (2024) 'Mycological evaluation of the visible deterioration symptoms on the Spectatius family marble tomb (Slovenia)', Heritage Science, 12, 405. https://doi.org/10.1186/s40494-024-01527-4</w:t>
      </w:r>
    </w:p>
    <w:p>
      <w:pPr>
        <w:pStyle w:val="BodyText"/>
      </w:pPr>
      <w:r>
        <w:t xml:space="preserve">Liao, C.-M., Luo, W.-C., Chen, S.-C., et al. (2004) 'Temporal and seasonal variations of size-dependent airborne fungi indoor and outdoor relationships for a wind-induced naturally ventilated airspace', Atmospheric Environment. https://doi.org/10.1016/j.atmosenv.2004.04.029</w:t>
      </w:r>
    </w:p>
    <w:p>
      <w:pPr>
        <w:pStyle w:val="BodyText"/>
      </w:pPr>
      <w:r>
        <w:t xml:space="preserve">Lim, T.W., Tongtuam, Y. and Ongsavangchai, N. (2026) 'Optimizing window-to-floor ratio and glazing for daylight and cooling in tropical educational buildings: a case study in Chiang Mai, Thailand', Journal of Daylighting, 13(1), pp. 44-56. https://doi.org/10.15627/jd.2026.3</w:t>
      </w:r>
    </w:p>
    <w:p>
      <w:pPr>
        <w:pStyle w:val="BodyText"/>
      </w:pPr>
      <w:r>
        <w:t xml:space="preserve">Lotun, S.S., Gooroochurn, M. and Lollchund, R.M. (2026) 'Assessment of combinations of passive measures for buildings using artificial intelligence and machine learning', Journal of Building Engineering. https://doi.org/10.1016/j.jobe.2026.115776</w:t>
      </w:r>
    </w:p>
    <w:p>
      <w:pPr>
        <w:pStyle w:val="BodyText"/>
      </w:pPr>
      <w:r>
        <w:t xml:space="preserve">Medrela-Kuder, E. (2003) 'Seasonal variations in the occurrence of culturable airborne fungi in outdoor and indoor air in Cracow', International Biodeterioration and Biodegradation. https://doi.org/10.1016/S0964-8305(02)00167-1</w:t>
      </w:r>
    </w:p>
    <w:p>
      <w:pPr>
        <w:pStyle w:val="BodyText"/>
      </w:pPr>
      <w:r>
        <w:t xml:space="preserve">Norback, D., Hashim, J.H., Cai, G.H., Hashim, Z., Ali, F., et al. (2016) 'Rhinitis, ocular, throat and dermal symptoms, headache and tiredness among students in schools from Johor Bahru, Malaysia: associations with fungal DNA and mycotoxins in classroom dust', PLOS ONE, 11(2), e0147996. https://doi.org/10.1371/journal.pone.0147996</w:t>
      </w:r>
    </w:p>
    <w:p>
      <w:pPr>
        <w:pStyle w:val="BodyText"/>
      </w:pPr>
      <w:r>
        <w:t xml:space="preserve">Omar Hamdan, A.S., Ahmad, N.I., Mohd Tap, R., et al. (2026) 'Fungus assessment in indoor environment of old buildings in Peninsular Malaysia', Aerobiologia, 42, 14. https://doi.org/10.1007/s10453-026-09903-2</w:t>
      </w:r>
    </w:p>
    <w:p>
      <w:pPr>
        <w:pStyle w:val="BodyText"/>
      </w:pPr>
      <w:r>
        <w:t xml:space="preserve">Pantoja, L.D.M., do Nascimento, R.F. and de Araujo Nunes, A.B. (2016) 'Investigation of fungal volatile organic compounds in hospital air', Atmospheric Pollution Research. https://doi.org/10.1016/j.apr.2016.02.011</w:t>
      </w:r>
    </w:p>
    <w:p>
      <w:pPr>
        <w:pStyle w:val="BodyText"/>
      </w:pPr>
      <w:r>
        <w:t xml:space="preserve">Porter, T.M. and Golding, G.B. (2011) 'Are similarity-based or phylogeny-based methods more appropriate for classifying internal transcribed spacer (ITS) metagenomic amplicons?', New Phytologist. https://doi.org/10.1111/j.1469-8137.2011.03838.x</w:t>
      </w:r>
    </w:p>
    <w:p>
      <w:pPr>
        <w:pStyle w:val="BodyText"/>
      </w:pPr>
      <w:r>
        <w:t xml:space="preserve">Purnama, M.S.S., Sangadji, F.A. and Nugraha, D. (2025) 'Optimizing facade design for energy and daylight performance in tropical educational buildings', IOP Conference Series: Earth and Environmental Science. https://doi.org/10.1088/1755-1315/1564/1/012059</w:t>
      </w:r>
    </w:p>
    <w:p>
      <w:pPr>
        <w:pStyle w:val="BodyText"/>
      </w:pPr>
      <w:r>
        <w:t xml:space="preserve">Ramos, R. (2023) 'Relationship between particulate matter (PM10), meteorological parameters, and the concentration of fungal spores in the atmosphere of San Martin Square in Lima', Ecologia Aplicada.</w:t>
      </w:r>
    </w:p>
    <w:p>
      <w:pPr>
        <w:pStyle w:val="BodyText"/>
      </w:pPr>
      <w:r>
        <w:t xml:space="preserve">Roberts, D.M., Thomas, J.E., Salmon, J.H., et al. (2025) 'Cold atmospheric plasma improves antifungal responsiveness of Aspergillus flavus and Fusarium keratoplasticum conidia and mycelia', PLOS ONE. https://doi.org/10.1371/journal.pone.0326940</w:t>
      </w:r>
    </w:p>
    <w:p>
      <w:pPr>
        <w:pStyle w:val="BodyText"/>
      </w:pPr>
      <w:r>
        <w:t xml:space="preserve">Salonen, H., Duchaine, C., Mazaheri, M., et al. (2015a) 'Airborne culturable fungi in naturally ventilated primary school environments in a subtropical climate', Atmospheric Environment. https://doi.org/10.1016/j.atmosenv.2014.07.052</w:t>
      </w:r>
    </w:p>
    <w:p>
      <w:pPr>
        <w:pStyle w:val="BodyText"/>
      </w:pPr>
      <w:r>
        <w:t xml:space="preserve">Salonen, H., Duchaine, C., Mazaheri, M., et al. (2015b) 'Airborne viable fungi in school environments in different climatic regions: a review', Atmospheric Environment. https://doi.org/10.1016/j.atmosenv.2015.01.012</w:t>
      </w:r>
    </w:p>
    <w:p>
      <w:pPr>
        <w:pStyle w:val="BodyText"/>
      </w:pPr>
      <w:r>
        <w:t xml:space="preserve">Scott, G. (1994) 'Moisture, ventilation and mould growth', Studies in Conservation, 39(Suppl. 2), pp. 149-153.</w:t>
      </w:r>
    </w:p>
    <w:p>
      <w:pPr>
        <w:pStyle w:val="BodyText"/>
      </w:pPr>
      <w:r>
        <w:t xml:space="preserve">Segers, F.J.J., Meijer, M., Houbraken, J., et al. (2015) 'Xerotolerant Cladosporium sphaerospermum are predominant on indoor surfaces compared to other Cladosporium species', PLoS ONE. https://doi.org/10.1371/journal.pone.0145415</w:t>
      </w:r>
    </w:p>
    <w:p>
      <w:pPr>
        <w:pStyle w:val="BodyText"/>
      </w:pPr>
      <w:r>
        <w:t xml:space="preserve">Shibuta, T. and Teramoto, A. (2026) 'Fundamental study on the effect of moisture adsorption properties of building materials on fungal growth', Journal of Structural and Construction Engineering (Transactions of AIJ), 91(839), pp. 75-81. https://doi.org/10.3130/aijs.91.75</w:t>
      </w:r>
    </w:p>
    <w:p>
      <w:pPr>
        <w:pStyle w:val="BodyText"/>
      </w:pPr>
      <w:r>
        <w:t xml:space="preserve">Singh, J. (2000) 'Fungal problems in historic buildings', Journal of Architectural Conservation, 6(1), pp. 17-37. https://doi.org/10.1080/13556207.2000.10785259</w:t>
      </w:r>
    </w:p>
    <w:p>
      <w:pPr>
        <w:pStyle w:val="BodyText"/>
      </w:pPr>
      <w:r>
        <w:t xml:space="preserve">Tanney, J.B., Visagie, C.M., Yilmaz, N. and Seifert, K.A. (2017) 'Aspergillus subgenus Polypaecilum from the built environment', Studies in Mycology. https://doi.org/10.1016/j.simyco.2017.11.001</w:t>
      </w:r>
    </w:p>
    <w:p>
      <w:pPr>
        <w:pStyle w:val="BodyText"/>
      </w:pPr>
      <w:r>
        <w:t xml:space="preserve">Vida, M., Foret, G., Siour, G., et al. (2024) 'Modelling of atmospheric concentrations of fungal spores: a 2-year simulation over France using CHIMERE', Atmospheric Chemistry and Physics. https://doi.org/10.5194/egusphere-2024-698</w:t>
      </w:r>
    </w:p>
    <w:p>
      <w:pPr>
        <w:pStyle w:val="BodyText"/>
      </w:pPr>
      <w:r>
        <w:t xml:space="preserve">Wang, S.-Y., Chen, L., Cao, J.-J., et al. (2026) 'Colletotrichum magnum species complex: emerging pathogens in tropical and subtropical regions', Phytopathology. https://doi.org/10.1094/PHYTO-08-25-0278-RVW</w:t>
      </w:r>
    </w:p>
    <w:p>
      <w:pPr>
        <w:pStyle w:val="BodyText"/>
      </w:pPr>
      <w:r>
        <w:t xml:space="preserve">Warren, B.G., Graves, A., Barrett, A., et al. (2026) 'Comparing rapid molecular and culture methods for detecting fungal contamination in healthcare environments', Infection Control and Hospital Epidemiology. https://doi.org/10.1017/ice.2026.10491</w:t>
      </w:r>
    </w:p>
    <w:p>
      <w:pPr>
        <w:pStyle w:val="BodyText"/>
      </w:pPr>
      <w:r>
        <w:t xml:space="preserve">Wei, Y., Lin, Y., Zhao, J., et al. (2024) 'Development of a TaqMan probe-based multiplex real-time PCR for the simultaneous detection of four clinically important filamentous fungi', Microbiology Spectrum. https://doi.org/10.1128/spectrum.00634-24</w:t>
      </w:r>
    </w:p>
    <w:p>
      <w:pPr>
        <w:pStyle w:val="BodyText"/>
      </w:pPr>
      <w:r>
        <w:t xml:space="preserve">Xu, J. (2016) 'Fungal DNA barcoding', Genome. https://doi.org/10.1139/gen-2016-0046</w:t>
      </w:r>
    </w:p>
    <w:bookmarkEnd w:id="46"/>
    <w:bookmarkStart w:id="55" w:name="appendix-a.-proposed-budget"/>
    <w:p>
      <w:pPr>
        <w:pStyle w:val="Heading2"/>
      </w:pPr>
      <w:r>
        <w:t xml:space="preserve">Appendix A. Proposed budget</w:t>
      </w:r>
    </w:p>
    <w:p>
      <w:pPr>
        <w:pStyle w:val="FirstParagraph"/>
      </w:pPr>
      <w:r>
        <w:t xml:space="preserve">Total requested RM25,000.00 over twenty-four months. Year 1 runs from March 2027 to February 2028</w:t>
      </w:r>
      <w:r>
        <w:t xml:space="preserve"> </w:t>
      </w:r>
      <w:r>
        <w:t xml:space="preserve">and Year 2 from March 2028 to February 2029. Guideline section references are to Section 7 of the</w:t>
      </w:r>
      <w:r>
        <w:t xml:space="preserve"> </w:t>
      </w:r>
      <w:r>
        <w:t xml:space="preserve">internal research grant guidelines. This table is supplied as a PDF attachment, since the portal</w:t>
      </w:r>
      <w:r>
        <w:t xml:space="preserve"> </w:t>
      </w:r>
      <w:r>
        <w:t xml:space="preserve">does not accept tables; the per-vot prose that follows is written for direct entry into the</w:t>
      </w:r>
      <w:r>
        <w:t xml:space="preserve"> </w:t>
      </w:r>
      <w:r>
        <w:t xml:space="preserve">corresponding URCMS fields. All supplier unit costs are planning figures pending current</w:t>
      </w:r>
      <w:r>
        <w:t xml:space="preserve"> </w:t>
      </w:r>
      <w:r>
        <w:t xml:space="preserve">quotations, with the exception of the Sanger sequencing rate, which is quoted.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VOT</w:t>
            </w:r>
          </w:p>
        </w:tc>
        <w:tc>
          <w:tcPr/>
          <w:p>
            <w:pPr>
              <w:pStyle w:val="Compact"/>
              <w:jc w:val="left"/>
            </w:pPr>
            <w:r>
              <w:t xml:space="preserve">Category</w:t>
            </w:r>
          </w:p>
        </w:tc>
        <w:tc>
          <w:tcPr/>
          <w:p>
            <w:pPr>
              <w:pStyle w:val="Compact"/>
              <w:jc w:val="left"/>
            </w:pPr>
            <w:r>
              <w:t xml:space="preserve">Justification and detailed breakdown (Year 1 and Year 2)</w:t>
            </w:r>
          </w:p>
        </w:tc>
        <w:tc>
          <w:tcPr/>
          <w:p>
            <w:pPr>
              <w:pStyle w:val="Compact"/>
              <w:jc w:val="left"/>
            </w:pPr>
            <w:r>
              <w:t xml:space="preserve">Year 1 (RM)</w:t>
            </w:r>
          </w:p>
        </w:tc>
        <w:tc>
          <w:tcPr/>
          <w:p>
            <w:pPr>
              <w:pStyle w:val="Compact"/>
              <w:jc w:val="left"/>
            </w:pPr>
            <w:r>
              <w:t xml:space="preserve">Year 2 (RM)</w:t>
            </w:r>
          </w:p>
        </w:tc>
        <w:tc>
          <w:tcPr/>
          <w:p>
            <w:pPr>
              <w:pStyle w:val="Compact"/>
              <w:jc w:val="left"/>
            </w:pPr>
            <w:r>
              <w:t xml:space="preserve">Total (RM)</w:t>
            </w:r>
          </w:p>
        </w:tc>
      </w:tr>
      <w:tr>
        <w:tc>
          <w:tcPr/>
          <w:p>
            <w:pPr>
              <w:pStyle w:val="Compact"/>
              <w:jc w:val="left"/>
            </w:pPr>
            <w:r>
              <w:t xml:space="preserve">11000</w:t>
            </w:r>
          </w:p>
        </w:tc>
        <w:tc>
          <w:tcPr/>
          <w:p>
            <w:pPr>
              <w:pStyle w:val="Compact"/>
              <w:jc w:val="left"/>
            </w:pPr>
            <w:r>
              <w:t xml:space="preserve">Salary and Wages</w:t>
            </w:r>
          </w:p>
        </w:tc>
        <w:tc>
          <w:tcPr/>
          <w:p>
            <w:pPr>
              <w:pStyle w:val="Compact"/>
              <w:jc w:val="left"/>
            </w:pPr>
            <w:r>
              <w:rPr>
                <w:bCs/>
                <w:b/>
              </w:rPr>
              <w:t xml:space="preserve">Y1 (RM1,500):</w:t>
            </w:r>
            <w:r>
              <w:t xml:space="preserve"> </w:t>
            </w:r>
            <w:r>
              <w:t xml:space="preserve">Undergraduate research assistant allowance at RM7.00 per hour, maximum 4 hours per day (RM28.00 per day), approximately 18 working days per active month, giving RM500.00 per month for 3 active months. Timed to sampling rounds R1 to R3 and to monitoring node assembly.</w:t>
            </w:r>
            <w:r>
              <w:t xml:space="preserve"> </w:t>
            </w:r>
            <w:r>
              <w:rPr>
                <w:bCs/>
                <w:b/>
              </w:rPr>
              <w:t xml:space="preserve">Y2 (RM1,500):</w:t>
            </w:r>
            <w:r>
              <w:t xml:space="preserve"> </w:t>
            </w:r>
            <w:r>
              <w:t xml:space="preserve">Same rate and engagement, 3 active months, for rounds R4 to R6, plate inoculation and cold-chain packing. Each round requires swabbing 36 fixed points across four buildings and four facade orientations, on-site inoculation of agar plates, recording of covariates and algal cover, and packing for transfer to SRDC-TROPI: approximately two field days plus one preparation day per round. The allocation purchases approximately 107 assistant-days. Rate and total comply with the RM3,000 ceiling for temporary and contract personnel, Guideline Section 7(a).</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3,000.00</w:t>
            </w:r>
          </w:p>
        </w:tc>
      </w:tr>
      <w:tr>
        <w:tc>
          <w:tcPr/>
          <w:p>
            <w:pPr>
              <w:pStyle w:val="Compact"/>
              <w:jc w:val="left"/>
            </w:pPr>
            <w:r>
              <w:t xml:space="preserve">21000</w:t>
            </w:r>
          </w:p>
        </w:tc>
        <w:tc>
          <w:tcPr/>
          <w:p>
            <w:pPr>
              <w:pStyle w:val="Compact"/>
              <w:jc w:val="left"/>
            </w:pPr>
            <w:r>
              <w:t xml:space="preserve">Travel and Transport</w:t>
            </w:r>
          </w:p>
        </w:tc>
        <w:tc>
          <w:tcPr/>
          <w:p>
            <w:pPr>
              <w:pStyle w:val="Compact"/>
              <w:jc w:val="left"/>
            </w:pPr>
            <w:r>
              <w:rPr>
                <w:bCs/>
                <w:b/>
              </w:rPr>
              <w:t xml:space="preserve">Y1 (RM850):</w:t>
            </w:r>
            <w:r>
              <w:t xml:space="preserve"> </w:t>
            </w:r>
            <w:r>
              <w:t xml:space="preserve">Cold-chain transport of biological materials between UTS Sibu and SRDC-TROPI, Kota Samarahan, approximately 300 km. Two inbound consignments of prepared sterile swabs and media and three return consignments of inoculated plates, being 5 legs at RM150.00 = RM750.00. Inbound delivery of sensor modules, enclosures and field consumables, 2 deliveries at RM50.00 = RM100.00.</w:t>
            </w:r>
            <w:r>
              <w:t xml:space="preserve"> </w:t>
            </w:r>
            <w:r>
              <w:rPr>
                <w:bCs/>
                <w:b/>
              </w:rPr>
              <w:t xml:space="preserve">Y2 (RM2,150):</w:t>
            </w:r>
            <w:r>
              <w:t xml:space="preserve"> </w:t>
            </w:r>
            <w:r>
              <w:t xml:space="preserve">One inbound and three return consignments, 4 legs at RM150.00 = RM600.00; one delivery at RM50.00; and attendance at one indexed national conference to present project findings (RM1,500.00) comprising return airfare RM700.00, accommodation RM250.00 per night for 3 nights = RM750.00, and ground transport RM50.00. Media are batched across rounds on the inbound leg, while returns follow each round individually because the cultures are live and require sealed triple packaging under cold-chain conditions, so ordinary post is not usable. Conference registration is claimed separately under VOT 29000 as the guideline directs. Subsistence is claimed only for paper presentation. Local Sibu fieldwork travel is excluded, as all four sampled buildings are on the UTS campus. Within the RM3,000 ceiling for Science, Engineering and Technology, Guideline Section 7(b).</w:t>
            </w:r>
          </w:p>
        </w:tc>
        <w:tc>
          <w:tcPr/>
          <w:p>
            <w:pPr>
              <w:pStyle w:val="Compact"/>
              <w:jc w:val="left"/>
            </w:pPr>
            <w:r>
              <w:t xml:space="preserve">850.00</w:t>
            </w:r>
          </w:p>
        </w:tc>
        <w:tc>
          <w:tcPr/>
          <w:p>
            <w:pPr>
              <w:pStyle w:val="Compact"/>
              <w:jc w:val="left"/>
            </w:pPr>
            <w:r>
              <w:t xml:space="preserve">2,150.00</w:t>
            </w:r>
          </w:p>
        </w:tc>
        <w:tc>
          <w:tcPr/>
          <w:p>
            <w:pPr>
              <w:pStyle w:val="Compact"/>
              <w:jc w:val="left"/>
            </w:pPr>
            <w:r>
              <w:t xml:space="preserve">3,000.00</w:t>
            </w:r>
          </w:p>
        </w:tc>
      </w:tr>
      <w:tr>
        <w:tc>
          <w:tcPr/>
          <w:p>
            <w:pPr>
              <w:pStyle w:val="Compact"/>
              <w:jc w:val="left"/>
            </w:pPr>
            <w:r>
              <w:t xml:space="preserve">24000</w:t>
            </w:r>
          </w:p>
        </w:tc>
        <w:tc>
          <w:tcPr/>
          <w:p>
            <w:pPr>
              <w:pStyle w:val="Compact"/>
              <w:jc w:val="left"/>
            </w:pPr>
            <w:r>
              <w:t xml:space="preserve">Rental</w:t>
            </w:r>
          </w:p>
        </w:tc>
        <w:tc>
          <w:tcPr/>
          <w:p>
            <w:pPr>
              <w:pStyle w:val="Compact"/>
              <w:jc w:val="left"/>
            </w:pPr>
            <w:r>
              <w:rPr>
                <w:bCs/>
                <w:b/>
              </w:rPr>
              <w:t xml:space="preserve">Y1 (RM1,200):</w:t>
            </w:r>
            <w:r>
              <w:t xml:space="preserve"> </w:t>
            </w:r>
            <w:r>
              <w:t xml:space="preserve">Rental of a reference-grade air quality analyser for co-location calibration of the low-cost monitoring nodes under Sibu field conditions, RM600.00 per week for 2 weeks: one pre-deployment calibration campaign and one post-installation verification campaign. Low-cost optical particulate sensors are subject to hygroscopic bias at the high relative humidity prevailing on this campus, and metal oxide gas sensors drift; co-located reference measurement is what allows a correction to be derived and the reported values to be defensible. Rental rather than purchase is appropriate because the instrument is required for two short campaigns and not continuously. Placed in VOT 24000 rather than VOT 35000 in line with Guideline Section 7(c), which covers rental of equipment directly involved in the research.</w:t>
            </w:r>
            <w:r>
              <w:t xml:space="preserve"> </w:t>
            </w:r>
            <w:r>
              <w:rPr>
                <w:bCs/>
                <w:b/>
              </w:rPr>
              <w:t xml:space="preserve">Y2 (RM0):</w:t>
            </w:r>
            <w:r>
              <w:t xml:space="preserve"> </w:t>
            </w:r>
            <w:r>
              <w:t xml:space="preserve">No further rental required.</w:t>
            </w:r>
          </w:p>
        </w:tc>
        <w:tc>
          <w:tcPr/>
          <w:p>
            <w:pPr>
              <w:pStyle w:val="Compact"/>
              <w:jc w:val="left"/>
            </w:pPr>
            <w:r>
              <w:t xml:space="preserve">1,200.00</w:t>
            </w:r>
          </w:p>
        </w:tc>
        <w:tc>
          <w:tcPr/>
          <w:p>
            <w:pPr>
              <w:pStyle w:val="Compact"/>
              <w:jc w:val="left"/>
            </w:pPr>
            <w:r>
              <w:t xml:space="preserve">0.00</w:t>
            </w:r>
          </w:p>
        </w:tc>
        <w:tc>
          <w:tcPr/>
          <w:p>
            <w:pPr>
              <w:pStyle w:val="Compact"/>
              <w:jc w:val="left"/>
            </w:pPr>
            <w:r>
              <w:t xml:space="preserve">1,200.00</w:t>
            </w:r>
          </w:p>
        </w:tc>
      </w:tr>
      <w:tr>
        <w:tc>
          <w:tcPr/>
          <w:p>
            <w:pPr>
              <w:pStyle w:val="Compact"/>
              <w:jc w:val="left"/>
            </w:pPr>
            <w:r>
              <w:t xml:space="preserve">26000</w:t>
            </w:r>
          </w:p>
        </w:tc>
        <w:tc>
          <w:tcPr/>
          <w:p>
            <w:pPr>
              <w:pStyle w:val="Compact"/>
              <w:jc w:val="left"/>
            </w:pPr>
            <w:r>
              <w:t xml:space="preserve">Research Materials and Supplies</w:t>
            </w:r>
          </w:p>
        </w:tc>
        <w:tc>
          <w:tcPr/>
          <w:p>
            <w:pPr>
              <w:pStyle w:val="Compact"/>
              <w:jc w:val="left"/>
            </w:pPr>
            <w:r>
              <w:rPr>
                <w:bCs/>
                <w:b/>
              </w:rPr>
              <w:t xml:space="preserve">Y1 (RM9,300):</w:t>
            </w:r>
            <w:r>
              <w:t xml:space="preserve"> </w:t>
            </w:r>
            <w:r>
              <w:t xml:space="preserve">Monitoring node development (RM8,040) for four campus nodes plus spares, in a configuration already validated in deployed service by the co-researcher under existing work, which removes design risk: four multi-parameter air-quality modules measuring CO2, PM2.5, PM10, temperature and humidity (RM650.00 each, RM2,600.00); eight discrete temperature and humidity sensors as a redundant per-node reference (RM25.00 each, RM200.00); four metal oxide gas sensor sets for CO, CO2, O3, NH3 and NOx (RM280.00 per set, RM1,120.00); six microcontroller boards with breakout (RM90.00 each, RM540.00); one LoRa gateway and transmitter module set (RM900.00); four IP65 ventilated weather-resistant enclosures with mounting hardware (RM220.00 each, RM880.00); four sets of power supply, solar panel, battery, cabling and connectors (RM300.00 per set, RM1,200.00); and PCB fabrication, prototyping and soldering consumables (RM600.00). Field sampling consumables (RM1,260) comprising ten stainless sterile sampling templates of 10 cm by 10 cm (RM600.00), two cold-chain transport coolers with gel packs (RM360.00), and PPE and field consumables for rounds R1 to R3 (RM300.00).</w:t>
            </w:r>
            <w:r>
              <w:t xml:space="preserve"> </w:t>
            </w:r>
            <w:r>
              <w:rPr>
                <w:bCs/>
                <w:b/>
              </w:rPr>
              <w:t xml:space="preserve">Y2 (RM2,500):</w:t>
            </w:r>
            <w:r>
              <w:t xml:space="preserve"> </w:t>
            </w:r>
            <w:r>
              <w:t xml:space="preserve">Two further cold-chain coolers (RM360.00); PPE and field consumables for rounds R4 to R6 (RM400.00); ethanol, sample bags, labels and markers (RM540.00); and a culture consumable contingency (RM1,200.00) for SDA and PDA media, sterile swabs and Petri dishes. SRDC-TROPI supplies culture media and swabs from its matched research expenditure, so the contingency covers only the control plates the contamination-control protocol requires, repeat sampling after a failed batch, and any delay in partner supply; it does not duplicate the partner's provision. Sulphur dioxide sensing is excluded, as it bears on no mechanism this project tests. Guideline Section 7(d).</w:t>
            </w:r>
          </w:p>
        </w:tc>
        <w:tc>
          <w:tcPr/>
          <w:p>
            <w:pPr>
              <w:pStyle w:val="Compact"/>
              <w:jc w:val="left"/>
            </w:pPr>
            <w:r>
              <w:t xml:space="preserve">9,300.00</w:t>
            </w:r>
          </w:p>
        </w:tc>
        <w:tc>
          <w:tcPr/>
          <w:p>
            <w:pPr>
              <w:pStyle w:val="Compact"/>
              <w:jc w:val="left"/>
            </w:pPr>
            <w:r>
              <w:t xml:space="preserve">2,500.00</w:t>
            </w:r>
          </w:p>
        </w:tc>
        <w:tc>
          <w:tcPr/>
          <w:p>
            <w:pPr>
              <w:pStyle w:val="Compact"/>
              <w:jc w:val="left"/>
            </w:pPr>
            <w:r>
              <w:t xml:space="preserve">11,800.00</w:t>
            </w:r>
          </w:p>
        </w:tc>
      </w:tr>
      <w:tr>
        <w:tc>
          <w:tcPr/>
          <w:p>
            <w:pPr>
              <w:pStyle w:val="Compact"/>
              <w:jc w:val="left"/>
            </w:pPr>
            <w:r>
              <w:t xml:space="preserve">29000</w:t>
            </w:r>
          </w:p>
        </w:tc>
        <w:tc>
          <w:tcPr/>
          <w:p>
            <w:pPr>
              <w:pStyle w:val="Compact"/>
              <w:jc w:val="left"/>
            </w:pPr>
            <w:r>
              <w:t xml:space="preserve">Professional Services</w:t>
            </w:r>
          </w:p>
        </w:tc>
        <w:tc>
          <w:tcPr/>
          <w:p>
            <w:pPr>
              <w:pStyle w:val="Compact"/>
              <w:jc w:val="left"/>
            </w:pPr>
            <w:r>
              <w:rPr>
                <w:bCs/>
                <w:b/>
              </w:rPr>
              <w:t xml:space="preserve">Y1 (RM1,300):</w:t>
            </w:r>
            <w:r>
              <w:t xml:space="preserve"> </w:t>
            </w:r>
            <w:r>
              <w:t xml:space="preserve">Sanger sequencing of ITS amplicons, 32 reactions at the quoted rate of RM25.00 per reaction (RM800.00), for isolates recovered from rounds R1 to R3, inclusive of sample quality control by gel electrophoresis and one free re-run where a result is unsatisfactory; SORAS application and Sarawak Biodiversity Council permit fees covering the project, its scope, its personnel and the participating institutions (RM500.00).</w:t>
            </w:r>
            <w:r>
              <w:t xml:space="preserve"> </w:t>
            </w:r>
            <w:r>
              <w:rPr>
                <w:bCs/>
                <w:b/>
              </w:rPr>
              <w:t xml:space="preserve">Y2 (RM1,700):</w:t>
            </w:r>
            <w:r>
              <w:t xml:space="preserve"> </w:t>
            </w:r>
            <w:r>
              <w:t xml:space="preserve">Sanger sequencing, 48 reactions at RM25.00 (RM1,200.00), for isolates from rounds R4 to R6; registration fee for one indexed national conference (RM500.00). The 80 reactions cover a curated set of up to 60 isolates by single-pass read, with bidirectional reads on the subset whose assignment is ambiguous. DNA extraction and PCR amplification are performed by SRDC-TROPI as an in-kind matched contribution, so only the sequencing service is charged to this grant. Research may not be conducted in Sarawak without a valid permit, so the permit fee is a precondition of all fieldwork. Journal article processing charges are excluded and journals without such charges are targeted for both indexed outputs. Within the RM3,000 ceiling for Science, Engineering and Technology, Guideline Section 7(f).</w:t>
            </w:r>
          </w:p>
        </w:tc>
        <w:tc>
          <w:tcPr/>
          <w:p>
            <w:pPr>
              <w:pStyle w:val="Compact"/>
              <w:jc w:val="left"/>
            </w:pPr>
            <w:r>
              <w:t xml:space="preserve">1,300.00</w:t>
            </w:r>
          </w:p>
        </w:tc>
        <w:tc>
          <w:tcPr/>
          <w:p>
            <w:pPr>
              <w:pStyle w:val="Compact"/>
              <w:jc w:val="left"/>
            </w:pPr>
            <w:r>
              <w:t xml:space="preserve">1,700.00</w:t>
            </w:r>
          </w:p>
        </w:tc>
        <w:tc>
          <w:tcPr/>
          <w:p>
            <w:pPr>
              <w:pStyle w:val="Compact"/>
              <w:jc w:val="left"/>
            </w:pPr>
            <w:r>
              <w:t xml:space="preserve">3,000.00</w:t>
            </w:r>
          </w:p>
        </w:tc>
      </w:tr>
      <w:tr>
        <w:tc>
          <w:tcPr/>
          <w:p>
            <w:pPr>
              <w:pStyle w:val="Compact"/>
              <w:jc w:val="left"/>
            </w:pPr>
            <w:r>
              <w:t xml:space="preserve">35000</w:t>
            </w:r>
          </w:p>
        </w:tc>
        <w:tc>
          <w:tcPr/>
          <w:p>
            <w:pPr>
              <w:pStyle w:val="Compact"/>
              <w:jc w:val="left"/>
            </w:pPr>
            <w:r>
              <w:t xml:space="preserve">Accessories and Small Appliances</w:t>
            </w:r>
          </w:p>
        </w:tc>
        <w:tc>
          <w:tcPr/>
          <w:p>
            <w:pPr>
              <w:pStyle w:val="Compact"/>
              <w:jc w:val="left"/>
            </w:pPr>
            <w:r>
              <w:rPr>
                <w:bCs/>
                <w:b/>
              </w:rPr>
              <w:t xml:space="preserve">Y1 (RM3,000):</w:t>
            </w:r>
            <w:r>
              <w:t xml:space="preserve"> </w:t>
            </w:r>
            <w:r>
              <w:t xml:space="preserve">Outdoor-rated display panel presenting live readings and the current campus air-quality classification at a high-traffic campus location (RM2,200.00); weatherproof display housing, mounting bracket and installation hardware (RM800.00). The display is a deliverable of the collaboration agreement between UTS and SRDC and is the pathway by which the monitoring becomes visible to building occupants and supports institutional environmental reporting. Cloud hosting and the data plan are excluded, as the guideline does not support utilities or subscriptions under VOT 26000 and VOT 23000 is restricted to USRRG and UFSRRG; these are provided as a UTS in-kind contribution through institutional IT infrastructure. Procured following UTS Procurement Procedure; assets remain UTS property and are entered in the project asset inventory. Total is 12 per cent of the grant, within the 40 per cent ceiling, Guideline Section 7(g).</w:t>
            </w:r>
            <w:r>
              <w:t xml:space="preserve"> </w:t>
            </w:r>
            <w:r>
              <w:rPr>
                <w:bCs/>
                <w:b/>
              </w:rPr>
              <w:t xml:space="preserve">Y2 (RM0):</w:t>
            </w:r>
            <w:r>
              <w:t xml:space="preserve"> </w:t>
            </w:r>
            <w:r>
              <w:t xml:space="preserve">No accessories required.</w:t>
            </w:r>
          </w:p>
        </w:tc>
        <w:tc>
          <w:tcPr/>
          <w:p>
            <w:pPr>
              <w:pStyle w:val="Compact"/>
              <w:jc w:val="left"/>
            </w:pPr>
            <w:r>
              <w:t xml:space="preserve">3,000.00</w:t>
            </w:r>
          </w:p>
        </w:tc>
        <w:tc>
          <w:tcPr/>
          <w:p>
            <w:pPr>
              <w:pStyle w:val="Compact"/>
              <w:jc w:val="left"/>
            </w:pPr>
            <w:r>
              <w:t xml:space="preserve">0.00</w:t>
            </w:r>
          </w:p>
        </w:tc>
        <w:tc>
          <w:tcPr/>
          <w:p>
            <w:pPr>
              <w:pStyle w:val="Compact"/>
              <w:jc w:val="left"/>
            </w:pPr>
            <w:r>
              <w:t xml:space="preserve">3,000.00</w:t>
            </w:r>
          </w:p>
        </w:tc>
      </w:tr>
      <w:tr>
        <w:tc>
          <w:tcPr/>
          <w:p>
            <w:pPr>
              <w:pStyle w:val="Compact"/>
            </w:pPr>
          </w:p>
        </w:tc>
        <w:tc>
          <w:tcPr/>
          <w:p>
            <w:pPr>
              <w:pStyle w:val="Compact"/>
              <w:jc w:val="left"/>
            </w:pPr>
            <w:r>
              <w:rPr>
                <w:bCs/>
                <w:b/>
              </w:rPr>
              <w:t xml:space="preserve">TOTAL</w:t>
            </w:r>
          </w:p>
        </w:tc>
        <w:tc>
          <w:tcPr/>
          <w:p>
            <w:pPr>
              <w:pStyle w:val="Compact"/>
            </w:pPr>
          </w:p>
        </w:tc>
        <w:tc>
          <w:tcPr/>
          <w:p>
            <w:pPr>
              <w:pStyle w:val="Compact"/>
              <w:jc w:val="left"/>
            </w:pPr>
            <w:r>
              <w:rPr>
                <w:bCs/>
                <w:b/>
              </w:rPr>
              <w:t xml:space="preserve">17,150.00</w:t>
            </w:r>
          </w:p>
        </w:tc>
        <w:tc>
          <w:tcPr/>
          <w:p>
            <w:pPr>
              <w:pStyle w:val="Compact"/>
              <w:jc w:val="left"/>
            </w:pPr>
            <w:r>
              <w:rPr>
                <w:bCs/>
                <w:b/>
              </w:rPr>
              <w:t xml:space="preserve">7,850.00</w:t>
            </w:r>
          </w:p>
        </w:tc>
        <w:tc>
          <w:tcPr/>
          <w:p>
            <w:pPr>
              <w:pStyle w:val="Compact"/>
              <w:jc w:val="left"/>
            </w:pPr>
            <w:r>
              <w:rPr>
                <w:bCs/>
                <w:b/>
              </w:rPr>
              <w:t xml:space="preserve">25,000.00</w:t>
            </w:r>
          </w:p>
        </w:tc>
      </w:tr>
    </w:tbl>
    <w:p>
      <w:pPr>
        <w:pStyle w:val="BodyText"/>
      </w:pPr>
      <w:r>
        <w:t xml:space="preserve">VOT 23000 and VOT 28000 are not used. Virement may be exercised only once during the project and</w:t>
      </w:r>
      <w:r>
        <w:t xml:space="preserve"> </w:t>
      </w:r>
      <w:r>
        <w:t xml:space="preserve">requires the approval of the Director, Centre for Research and Development.</w:t>
      </w:r>
    </w:p>
    <w:bookmarkStart w:id="47" w:name="per-vot-text-for-the-urcms-fields"/>
    <w:p>
      <w:pPr>
        <w:pStyle w:val="Heading3"/>
      </w:pPr>
      <w:r>
        <w:t xml:space="preserve">Per-vot text for the URCMS fields</w:t>
      </w:r>
    </w:p>
    <w:p>
      <w:pPr>
        <w:pStyle w:val="FirstParagraph"/>
      </w:pPr>
      <w:r>
        <w:t xml:space="preserve">Total requested: RM25,000.00 over twenty-four months. Year 1 runs from March 2027 to February</w:t>
      </w:r>
      <w:r>
        <w:t xml:space="preserve"> </w:t>
      </w:r>
      <w:r>
        <w:t xml:space="preserve">2028 and Year 2 from March 2028 to February 2029. The text under each heading is written for</w:t>
      </w:r>
      <w:r>
        <w:t xml:space="preserve"> </w:t>
      </w:r>
      <w:r>
        <w:t xml:space="preserve">direct entry into the corresponding URCMS field. All supplier unit costs are planning figures</w:t>
      </w:r>
      <w:r>
        <w:t xml:space="preserve"> </w:t>
      </w:r>
      <w:r>
        <w:t xml:space="preserve">pending current quotations.</w:t>
      </w:r>
    </w:p>
    <w:bookmarkEnd w:id="47"/>
    <w:bookmarkStart w:id="48" w:name="vot-11000-salary-and-wages-rm3000.00"/>
    <w:p>
      <w:pPr>
        <w:pStyle w:val="Heading3"/>
      </w:pPr>
      <w:r>
        <w:t xml:space="preserve">VOT 11000, Salary and Wages, RM3,000.00</w:t>
      </w:r>
    </w:p>
    <w:p>
      <w:pPr>
        <w:pStyle w:val="FirstParagraph"/>
      </w:pPr>
      <w:r>
        <w:t xml:space="preserve">An undergraduate research assistant is engaged directly on field sampling, plate inoculation and</w:t>
      </w:r>
      <w:r>
        <w:t xml:space="preserve"> </w:t>
      </w:r>
      <w:r>
        <w:t xml:space="preserve">monitoring node assembly. The rate is RM7.00 per hour for a maximum of four hours per day, giving</w:t>
      </w:r>
      <w:r>
        <w:t xml:space="preserve"> </w:t>
      </w:r>
      <w:r>
        <w:t xml:space="preserve">RM28.00 per day. At approximately eighteen working days this gives RM500.00 per month, and</w:t>
      </w:r>
      <w:r>
        <w:t xml:space="preserve"> </w:t>
      </w:r>
      <w:r>
        <w:t xml:space="preserve">engagement runs for three active months per year, timed to the sampling rounds and the device</w:t>
      </w:r>
      <w:r>
        <w:t xml:space="preserve"> </w:t>
      </w:r>
      <w:r>
        <w:t xml:space="preserve">build. Year 1 is RM500.00 by three months, giving RM1,500.00, and Year 2 is the same, giving</w:t>
      </w:r>
      <w:r>
        <w:t xml:space="preserve"> </w:t>
      </w:r>
      <w:r>
        <w:t xml:space="preserve">RM1,500.00. The total is RM3,000.00, which is the stated maximum for temporary and contract</w:t>
      </w:r>
      <w:r>
        <w:t xml:space="preserve"> </w:t>
      </w:r>
      <w:r>
        <w:t xml:space="preserve">personnel.</w:t>
      </w:r>
    </w:p>
    <w:p>
      <w:pPr>
        <w:pStyle w:val="BodyText"/>
      </w:pPr>
      <w:r>
        <w:t xml:space="preserve">Each of the six quarterly sampling rounds requires swabbing thirty-six fixed points across four</w:t>
      </w:r>
      <w:r>
        <w:t xml:space="preserve"> </w:t>
      </w:r>
      <w:r>
        <w:t xml:space="preserve">buildings and four facade orientations, on-site inoculation of agar plates, recording of</w:t>
      </w:r>
      <w:r>
        <w:t xml:space="preserve"> </w:t>
      </w:r>
      <w:r>
        <w:t xml:space="preserve">covariates and algal cover, and cold-chain packing for transfer to SRDC-TROPI, amounting to</w:t>
      </w:r>
      <w:r>
        <w:t xml:space="preserve"> </w:t>
      </w:r>
      <w:r>
        <w:t xml:space="preserve">approximately two full field days plus one preparation and packing day per round. The assistant</w:t>
      </w:r>
      <w:r>
        <w:t xml:space="preserve"> </w:t>
      </w:r>
      <w:r>
        <w:t xml:space="preserve">additionally supports assembly, enclosure fitting and field installation of the monitoring nodes</w:t>
      </w:r>
      <w:r>
        <w:t xml:space="preserve"> </w:t>
      </w:r>
      <w:r>
        <w:t xml:space="preserve">in Year 1. Engagement is concentrated into the active months rather than spread across the year,</w:t>
      </w:r>
      <w:r>
        <w:t xml:space="preserve"> </w:t>
      </w:r>
      <w:r>
        <w:t xml:space="preserve">so the allocation purchases approximately one hundred and seven assistant-days of direct project</w:t>
      </w:r>
      <w:r>
        <w:t xml:space="preserve"> </w:t>
      </w:r>
      <w:r>
        <w:t xml:space="preserve">labour. The appointment also delivers the human capital development outcome stated in Section 12.</w:t>
      </w:r>
    </w:p>
    <w:bookmarkEnd w:id="48"/>
    <w:bookmarkStart w:id="49" w:name="X995b5d93ece41605f8ff4d28a50840c72241a07"/>
    <w:p>
      <w:pPr>
        <w:pStyle w:val="Heading3"/>
      </w:pPr>
      <w:r>
        <w:t xml:space="preserve">VOT 21000, Travelling and Transportation, RM3,000.00</w:t>
      </w:r>
    </w:p>
    <w:p>
      <w:pPr>
        <w:pStyle w:val="FirstParagraph"/>
      </w:pPr>
      <w:r>
        <w:t xml:space="preserve">Cold-chain transport of biological materials between Sibu and Kota Samarahan accounts for</w:t>
      </w:r>
      <w:r>
        <w:t xml:space="preserve"> </w:t>
      </w:r>
      <w:r>
        <w:t xml:space="preserve">RM1,350.00. SRDC-TROPI supplies prepared sterile swabs and media to UTS, and UTS returns</w:t>
      </w:r>
      <w:r>
        <w:t xml:space="preserve"> </w:t>
      </w:r>
      <w:r>
        <w:t xml:space="preserve">inoculated plates and swabs for incubation. Media are batched to cover two rounds per inbound</w:t>
      </w:r>
      <w:r>
        <w:t xml:space="preserve"> </w:t>
      </w:r>
      <w:r>
        <w:t xml:space="preserve">consignment, while returns must follow each round individually because the cultures are live.</w:t>
      </w:r>
      <w:r>
        <w:t xml:space="preserve"> </w:t>
      </w:r>
      <w:r>
        <w:t xml:space="preserve">Three inbound consignments and six return consignments give nine legs at RM150.00 each. The</w:t>
      </w:r>
      <w:r>
        <w:t xml:space="preserve"> </w:t>
      </w:r>
      <w:r>
        <w:t xml:space="preserve">materials are temperature-sensitive live cultures requiring sealed triple packaging under</w:t>
      </w:r>
      <w:r>
        <w:t xml:space="preserve"> </w:t>
      </w:r>
      <w:r>
        <w:t xml:space="preserve">cold-chain conditions, so ordinary post is not usable.</w:t>
      </w:r>
    </w:p>
    <w:p>
      <w:pPr>
        <w:pStyle w:val="BodyText"/>
      </w:pPr>
      <w:r>
        <w:t xml:space="preserve">Delivery of purchased research materials accounts for RM150.00, covering inbound delivery of</w:t>
      </w:r>
      <w:r>
        <w:t xml:space="preserve"> </w:t>
      </w:r>
      <w:r>
        <w:t xml:space="preserve">sensor modules, enclosures and field consumables to UTS Sibu at RM50.00 per delivery for three</w:t>
      </w:r>
      <w:r>
        <w:t xml:space="preserve"> </w:t>
      </w:r>
      <w:r>
        <w:t xml:space="preserve">deliveries.</w:t>
      </w:r>
    </w:p>
    <w:p>
      <w:pPr>
        <w:pStyle w:val="BodyText"/>
      </w:pPr>
      <w:r>
        <w:t xml:space="preserve">Conference presentation in Year 2 accounts for RM1,500.00, comprising return airfare at RM700.00,</w:t>
      </w:r>
      <w:r>
        <w:t xml:space="preserve"> </w:t>
      </w:r>
      <w:r>
        <w:t xml:space="preserve">accommodation at RM250.00 per night for three nights giving RM750.00, and ground transport to and</w:t>
      </w:r>
      <w:r>
        <w:t xml:space="preserve"> </w:t>
      </w:r>
      <w:r>
        <w:t xml:space="preserve">from airports at RM50.00. Subsistence is claimed only for paper presentation, as the guideline</w:t>
      </w:r>
      <w:r>
        <w:t xml:space="preserve"> </w:t>
      </w:r>
      <w:r>
        <w:t xml:space="preserve">permits. The conference registration fee is claimed separately under VOT 29000, which is where</w:t>
      </w:r>
      <w:r>
        <w:t xml:space="preserve"> </w:t>
      </w:r>
      <w:r>
        <w:t xml:space="preserve">the guideline places registration fees. Splitting the cost across the two vots is what allows a</w:t>
      </w:r>
      <w:r>
        <w:t xml:space="preserve"> </w:t>
      </w:r>
      <w:r>
        <w:t xml:space="preserve">realistic total conference provision of RM2,000.00 while keeping each vot within its ceiling.</w:t>
      </w:r>
    </w:p>
    <w:p>
      <w:pPr>
        <w:pStyle w:val="BodyText"/>
      </w:pPr>
      <w:r>
        <w:t xml:space="preserve">Year 1 totals RM850.00, being RM750.00 of cold chain across two inbound and three return</w:t>
      </w:r>
      <w:r>
        <w:t xml:space="preserve"> </w:t>
      </w:r>
      <w:r>
        <w:t xml:space="preserve">consignments plus RM100.00 of deliveries. Year 2 totals RM2,150.00, being RM600.00 of cold chain</w:t>
      </w:r>
      <w:r>
        <w:t xml:space="preserve"> </w:t>
      </w:r>
      <w:r>
        <w:t xml:space="preserve">across one inbound and three return consignments, RM50.00 of delivery and RM1,500.00 of conference</w:t>
      </w:r>
      <w:r>
        <w:t xml:space="preserve"> </w:t>
      </w:r>
      <w:r>
        <w:t xml:space="preserve">travel. The total is RM3,000.00, which is the stated maximum for the Science, Engineering and</w:t>
      </w:r>
      <w:r>
        <w:t xml:space="preserve"> </w:t>
      </w:r>
      <w:r>
        <w:t xml:space="preserve">Technology area.</w:t>
      </w:r>
    </w:p>
    <w:bookmarkEnd w:id="49"/>
    <w:bookmarkStart w:id="50" w:name="vot-24000-rental-rm1200.00"/>
    <w:p>
      <w:pPr>
        <w:pStyle w:val="Heading3"/>
      </w:pPr>
      <w:r>
        <w:t xml:space="preserve">VOT 24000, Rental, RM1,200.00</w:t>
      </w:r>
    </w:p>
    <w:p>
      <w:pPr>
        <w:pStyle w:val="FirstParagraph"/>
      </w:pPr>
      <w:r>
        <w:t xml:space="preserve">Rental of a reference-grade air quality analyser for co-location calibration of the low-cost</w:t>
      </w:r>
      <w:r>
        <w:t xml:space="preserve"> </w:t>
      </w:r>
      <w:r>
        <w:t xml:space="preserve">monitoring nodes under Sibu field conditions, at RM600.00 per week for two weeks. The first</w:t>
      </w:r>
      <w:r>
        <w:t xml:space="preserve"> </w:t>
      </w:r>
      <w:r>
        <w:t xml:space="preserve">campaign, in Year 1, calibrates all nodes before deployment. The second, also in Year 1, verifies</w:t>
      </w:r>
      <w:r>
        <w:t xml:space="preserve"> </w:t>
      </w:r>
      <w:r>
        <w:t xml:space="preserve">performance after field mounting.</w:t>
      </w:r>
    </w:p>
    <w:p>
      <w:pPr>
        <w:pStyle w:val="BodyText"/>
      </w:pPr>
      <w:r>
        <w:t xml:space="preserve">Low-cost optical particulate sensors are subject to hygroscopic bias at the high relative</w:t>
      </w:r>
      <w:r>
        <w:t xml:space="preserve"> </w:t>
      </w:r>
      <w:r>
        <w:t xml:space="preserve">humidity prevailing on this campus, and metal oxide gas sensors drift. Co-located reference</w:t>
      </w:r>
      <w:r>
        <w:t xml:space="preserve"> </w:t>
      </w:r>
      <w:r>
        <w:t xml:space="preserve">measurement is what allows a correction to be derived and the reported values to be defensible</w:t>
      </w:r>
      <w:r>
        <w:t xml:space="preserve"> </w:t>
      </w:r>
      <w:r>
        <w:t xml:space="preserve">rather than merely indicative. Rental rather than purchase is appropriate because the instrument</w:t>
      </w:r>
      <w:r>
        <w:t xml:space="preserve"> </w:t>
      </w:r>
      <w:r>
        <w:t xml:space="preserve">is required for two short campaigns and not continuously. The item is placed in VOT 24000 rather</w:t>
      </w:r>
      <w:r>
        <w:t xml:space="preserve"> </w:t>
      </w:r>
      <w:r>
        <w:t xml:space="preserve">than VOT 35000 in line with the guideline treatment of rental.</w:t>
      </w:r>
    </w:p>
    <w:bookmarkEnd w:id="50"/>
    <w:bookmarkStart w:id="51" w:name="X43b8ecee40a7f438a1f33d9f7b15da9146d357d"/>
    <w:p>
      <w:pPr>
        <w:pStyle w:val="Heading3"/>
      </w:pPr>
      <w:r>
        <w:t xml:space="preserve">VOT 26000, Research Materials and Supplies, RM11,800.00</w:t>
      </w:r>
    </w:p>
    <w:p>
      <w:pPr>
        <w:pStyle w:val="FirstParagraph"/>
      </w:pPr>
      <w:r>
        <w:t xml:space="preserve">Air-quality monitoring node development accounts for RM8,040.00, covering components for the</w:t>
      </w:r>
      <w:r>
        <w:t xml:space="preserve"> </w:t>
      </w:r>
      <w:r>
        <w:t xml:space="preserve">fabrication of four campus monitoring nodes together with spares, in a configuration already</w:t>
      </w:r>
      <w:r>
        <w:t xml:space="preserve"> </w:t>
      </w:r>
      <w:r>
        <w:t xml:space="preserve">proven in deployment by the co-researcher under existing work, which removes design risk from</w:t>
      </w:r>
      <w:r>
        <w:t xml:space="preserve"> </w:t>
      </w:r>
      <w:r>
        <w:t xml:space="preserve">this project. The components are four multi-parameter air quality modules measuring carbon</w:t>
      </w:r>
      <w:r>
        <w:t xml:space="preserve"> </w:t>
      </w:r>
      <w:r>
        <w:t xml:space="preserve">dioxide, PM2.5, PM10, temperature and humidity at RM650.00 each, giving RM2,600.00; eight</w:t>
      </w:r>
      <w:r>
        <w:t xml:space="preserve"> </w:t>
      </w:r>
      <w:r>
        <w:t xml:space="preserve">discrete temperature and humidity sensors providing a redundant reference per node at RM25.00</w:t>
      </w:r>
      <w:r>
        <w:t xml:space="preserve"> </w:t>
      </w:r>
      <w:r>
        <w:t xml:space="preserve">each, giving RM200.00; four metal oxide gas sensor sets covering carbon monoxide, carbon dioxide,</w:t>
      </w:r>
      <w:r>
        <w:t xml:space="preserve"> </w:t>
      </w:r>
      <w:r>
        <w:t xml:space="preserve">ozone, ammonia and oxides of nitrogen at RM280.00 per set, giving RM1,120.00; six microcontroller</w:t>
      </w:r>
      <w:r>
        <w:t xml:space="preserve"> </w:t>
      </w:r>
      <w:r>
        <w:t xml:space="preserve">boards with breakout at RM90.00 each, giving RM540.00; one LoRa gateway and transmitter module</w:t>
      </w:r>
      <w:r>
        <w:t xml:space="preserve"> </w:t>
      </w:r>
      <w:r>
        <w:t xml:space="preserve">set at RM900.00; four ventilated weather-resistant enclosures rated to IP65 with mounting hardware</w:t>
      </w:r>
      <w:r>
        <w:t xml:space="preserve"> </w:t>
      </w:r>
      <w:r>
        <w:t xml:space="preserve">at RM220.00 each, giving RM880.00; four sets of power supply, solar panel, battery, cabling and</w:t>
      </w:r>
      <w:r>
        <w:t xml:space="preserve"> </w:t>
      </w:r>
      <w:r>
        <w:t xml:space="preserve">connectors at RM300.00 per set, giving RM1,200.00; and printed circuit board fabrication,</w:t>
      </w:r>
      <w:r>
        <w:t xml:space="preserve"> </w:t>
      </w:r>
      <w:r>
        <w:t xml:space="preserve">prototyping and soldering consumables at RM600.00.</w:t>
      </w:r>
    </w:p>
    <w:p>
      <w:pPr>
        <w:pStyle w:val="BodyText"/>
      </w:pPr>
      <w:r>
        <w:t xml:space="preserve">Field sampling consumables account for RM2,560.00, comprising ten stainless sterile sampling</w:t>
      </w:r>
      <w:r>
        <w:t xml:space="preserve"> </w:t>
      </w:r>
      <w:r>
        <w:t xml:space="preserve">templates of ten centimetres by ten centimetres at RM60.00 each, giving RM600.00; four cold-chain</w:t>
      </w:r>
      <w:r>
        <w:t xml:space="preserve"> </w:t>
      </w:r>
      <w:r>
        <w:t xml:space="preserve">transport coolers with gel packs at RM180.00 each, giving RM720.00; personal protective equipment</w:t>
      </w:r>
      <w:r>
        <w:t xml:space="preserve"> </w:t>
      </w:r>
      <w:r>
        <w:t xml:space="preserve">comprising gloves, masks and disposable coveralls for six rounds and three personnel at RM700.00;</w:t>
      </w:r>
      <w:r>
        <w:t xml:space="preserve"> </w:t>
      </w:r>
      <w:r>
        <w:t xml:space="preserve">and ethanol, sample bags, labels, markers and field consumables at RM540.00.</w:t>
      </w:r>
    </w:p>
    <w:p>
      <w:pPr>
        <w:pStyle w:val="BodyText"/>
      </w:pPr>
      <w:r>
        <w:t xml:space="preserve">A culture consumable contingency accounts for RM1,200.00, covering Sabouraud dextrose agar and</w:t>
      </w:r>
      <w:r>
        <w:t xml:space="preserve"> </w:t>
      </w:r>
      <w:r>
        <w:t xml:space="preserve">potato dextrose agar media, sterile swabs and Petri dishes. SRDC-TROPI supplies these items from</w:t>
      </w:r>
      <w:r>
        <w:t xml:space="preserve"> </w:t>
      </w:r>
      <w:r>
        <w:t xml:space="preserve">its matched research expenditure, so this allocation is a contingency only, covering the control</w:t>
      </w:r>
      <w:r>
        <w:t xml:space="preserve"> </w:t>
      </w:r>
      <w:r>
        <w:t xml:space="preserve">plates that the contamination control protocol requires, repeat sampling after a failed batch,</w:t>
      </w:r>
      <w:r>
        <w:t xml:space="preserve"> </w:t>
      </w:r>
      <w:r>
        <w:t xml:space="preserve">and any delay in partner supply. It ensures that the sampling programme is not interrupted and</w:t>
      </w:r>
      <w:r>
        <w:t xml:space="preserve"> </w:t>
      </w:r>
      <w:r>
        <w:t xml:space="preserve">does not duplicate the partner's provision.</w:t>
      </w:r>
    </w:p>
    <w:p>
      <w:pPr>
        <w:pStyle w:val="BodyText"/>
      </w:pPr>
      <w:r>
        <w:t xml:space="preserve">Year 1 totals RM9,300.00 for node development and initial consumables, and Year 2 totals</w:t>
      </w:r>
      <w:r>
        <w:t xml:space="preserve"> </w:t>
      </w:r>
      <w:r>
        <w:t xml:space="preserve">RM2,500.00 for consumables, spares and node maintenance parts.</w:t>
      </w:r>
    </w:p>
    <w:p>
      <w:pPr>
        <w:pStyle w:val="BodyText"/>
      </w:pPr>
      <w:r>
        <w:t xml:space="preserve">The node development is the largest single component because the project commits to continuous</w:t>
      </w:r>
      <w:r>
        <w:t xml:space="preserve"> </w:t>
      </w:r>
      <w:r>
        <w:t xml:space="preserve">campus air-quality and microclimate measurement as environmental context for the surface</w:t>
      </w:r>
      <w:r>
        <w:t xml:space="preserve"> </w:t>
      </w:r>
      <w:r>
        <w:t xml:space="preserve">sampling, and to a public dashboard and display. Fabricating nodes rather than purchasing</w:t>
      </w:r>
      <w:r>
        <w:t xml:space="preserve"> </w:t>
      </w:r>
      <w:r>
        <w:t xml:space="preserve">commercial analysers is what makes continuous multi-point monitoring affordable at this scale,</w:t>
      </w:r>
      <w:r>
        <w:t xml:space="preserve"> </w:t>
      </w:r>
      <w:r>
        <w:t xml:space="preserve">and because the configuration is already validated in service the expenditure replicates a</w:t>
      </w:r>
      <w:r>
        <w:t xml:space="preserve"> </w:t>
      </w:r>
      <w:r>
        <w:t xml:space="preserve">working design rather than funding development risk. Sulphur dioxide sensing is deliberately not</w:t>
      </w:r>
      <w:r>
        <w:t xml:space="preserve"> </w:t>
      </w:r>
      <w:r>
        <w:t xml:space="preserve">included, since it bears on no mechanism this project tests.</w:t>
      </w:r>
    </w:p>
    <w:bookmarkEnd w:id="51"/>
    <w:bookmarkStart w:id="52" w:name="X31b2661c92e641d5e3c643f4838926bb030a109"/>
    <w:p>
      <w:pPr>
        <w:pStyle w:val="Heading3"/>
      </w:pPr>
      <w:r>
        <w:t xml:space="preserve">VOT 29000, Professional Services, RM3,000.00</w:t>
      </w:r>
    </w:p>
    <w:p>
      <w:pPr>
        <w:pStyle w:val="FirstParagraph"/>
      </w:pPr>
      <w:r>
        <w:t xml:space="preserve">Sanger sequencing of ITS amplicons accounts for RM2,000.00, being eighty reactions at RM25.00 per</w:t>
      </w:r>
      <w:r>
        <w:t xml:space="preserve"> </w:t>
      </w:r>
      <w:r>
        <w:t xml:space="preserve">reaction. This is a quoted rate inclusive of sample quality control by gel electrophoresis and one</w:t>
      </w:r>
      <w:r>
        <w:t xml:space="preserve"> </w:t>
      </w:r>
      <w:r>
        <w:t xml:space="preserve">free re-run where a result is unsatisfactory. SRDC-TROPI performs DNA extraction and PCR</w:t>
      </w:r>
      <w:r>
        <w:t xml:space="preserve"> </w:t>
      </w:r>
      <w:r>
        <w:t xml:space="preserve">amplification of the internal transcribed spacer region from the curated isolate set, and the</w:t>
      </w:r>
      <w:r>
        <w:t xml:space="preserve"> </w:t>
      </w:r>
      <w:r>
        <w:t xml:space="preserve">amplicons are forwarded to the provider for sequencing. The eighty reactions cover a curated set</w:t>
      </w:r>
      <w:r>
        <w:t xml:space="preserve"> </w:t>
      </w:r>
      <w:r>
        <w:t xml:space="preserve">of up to sixty isolates spanning the morphotype range across four buildings, three facade</w:t>
      </w:r>
      <w:r>
        <w:t xml:space="preserve"> </w:t>
      </w:r>
      <w:r>
        <w:t xml:space="preserve">materials and six sampling rounds, by single-pass read, with bidirectional reads on the subset</w:t>
      </w:r>
      <w:r>
        <w:t xml:space="preserve"> </w:t>
      </w:r>
      <w:r>
        <w:t xml:space="preserve">whose assignment is ambiguous.</w:t>
      </w:r>
    </w:p>
    <w:p>
      <w:pPr>
        <w:pStyle w:val="BodyText"/>
      </w:pPr>
      <w:r>
        <w:t xml:space="preserve">SORAS application and SBC permit fees account for RM500.00, covering the Sarawak Online Research</w:t>
      </w:r>
      <w:r>
        <w:t xml:space="preserve"> </w:t>
      </w:r>
      <w:r>
        <w:t xml:space="preserve">Application System submission and the Sarawak Biodiversity Council permit for this project, its</w:t>
      </w:r>
      <w:r>
        <w:t xml:space="preserve"> </w:t>
      </w:r>
      <w:r>
        <w:t xml:space="preserve">scope, its personnel and the participating institutions, together with any renewal falling within</w:t>
      </w:r>
      <w:r>
        <w:t xml:space="preserve"> </w:t>
      </w:r>
      <w:r>
        <w:t xml:space="preserve">the project term. Research may not be conducted in Sarawak without a valid permit, so this is a</w:t>
      </w:r>
      <w:r>
        <w:t xml:space="preserve"> </w:t>
      </w:r>
      <w:r>
        <w:t xml:space="preserve">precondition of all fieldwork rather than an optional cost.</w:t>
      </w:r>
    </w:p>
    <w:p>
      <w:pPr>
        <w:pStyle w:val="BodyText"/>
      </w:pPr>
      <w:r>
        <w:t xml:space="preserve">The conference registration fee accounts for RM500.00, for one indexed conference in Year 2,</w:t>
      </w:r>
      <w:r>
        <w:t xml:space="preserve"> </w:t>
      </w:r>
      <w:r>
        <w:t xml:space="preserve">supporting the guideline requirement of two indexed conference or journal outputs. Associated</w:t>
      </w:r>
      <w:r>
        <w:t xml:space="preserve"> </w:t>
      </w:r>
      <w:r>
        <w:t xml:space="preserve">travel, accommodation and subsistence are claimed under VOT 21000, giving a total conference</w:t>
      </w:r>
      <w:r>
        <w:t xml:space="preserve"> </w:t>
      </w:r>
      <w:r>
        <w:t xml:space="preserve">provision of RM2,000.00 across the two vots.</w:t>
      </w:r>
    </w:p>
    <w:p>
      <w:pPr>
        <w:pStyle w:val="BodyText"/>
      </w:pPr>
      <w:r>
        <w:t xml:space="preserve">Year 1 totals RM1,300.00, being RM800.00 of sequencing and RM500.00 of SORAS and permit fees.</w:t>
      </w:r>
      <w:r>
        <w:t xml:space="preserve"> </w:t>
      </w:r>
      <w:r>
        <w:t xml:space="preserve">Year 2 totals RM1,700.00, being RM1,200.00 of sequencing and RM500.00 of registration. The total</w:t>
      </w:r>
      <w:r>
        <w:t xml:space="preserve"> </w:t>
      </w:r>
      <w:r>
        <w:t xml:space="preserve">is RM3,000.00, which is the stated maximum for the Science, Engineering and Technology area.</w:t>
      </w:r>
      <w:r>
        <w:t xml:space="preserve"> </w:t>
      </w:r>
      <w:r>
        <w:t xml:space="preserve">Journal article processing charges are not requested, since the ceiling is committed to</w:t>
      </w:r>
      <w:r>
        <w:t xml:space="preserve"> </w:t>
      </w:r>
      <w:r>
        <w:t xml:space="preserve">sequencing, permits and conference registration, and journals without such charges are therefore</w:t>
      </w:r>
      <w:r>
        <w:t xml:space="preserve"> </w:t>
      </w:r>
      <w:r>
        <w:t xml:space="preserve">targeted for both indexed outputs.</w:t>
      </w:r>
    </w:p>
    <w:bookmarkEnd w:id="52"/>
    <w:bookmarkStart w:id="53" w:name="X4014a6979348b1af5c67ee7b5643372ac84c4bf"/>
    <w:p>
      <w:pPr>
        <w:pStyle w:val="Heading3"/>
      </w:pPr>
      <w:r>
        <w:t xml:space="preserve">VOT 35000, Accessories and Equipment, RM3,000.00</w:t>
      </w:r>
    </w:p>
    <w:p>
      <w:pPr>
        <w:pStyle w:val="FirstParagraph"/>
      </w:pPr>
      <w:r>
        <w:t xml:space="preserve">An outdoor-rated display panel for public air-quality readings at RM2,200.00, together with</w:t>
      </w:r>
      <w:r>
        <w:t xml:space="preserve"> </w:t>
      </w:r>
      <w:r>
        <w:t xml:space="preserve">weatherproof display housing, mounting bracket and installation hardware at RM800.00. The total</w:t>
      </w:r>
      <w:r>
        <w:t xml:space="preserve"> </w:t>
      </w:r>
      <w:r>
        <w:t xml:space="preserve">is RM3,000.00, being twelve per cent of the grant and well within the forty per cent ceiling.</w:t>
      </w:r>
    </w:p>
    <w:p>
      <w:pPr>
        <w:pStyle w:val="BodyText"/>
      </w:pPr>
      <w:r>
        <w:t xml:space="preserve">The public-facing display at a high-traffic campus location presents live readings and the</w:t>
      </w:r>
      <w:r>
        <w:t xml:space="preserve"> </w:t>
      </w:r>
      <w:r>
        <w:t xml:space="preserve">current campus air-quality classification, and is a deliverable of the collaboration agreement</w:t>
      </w:r>
      <w:r>
        <w:t xml:space="preserve"> </w:t>
      </w:r>
      <w:r>
        <w:t xml:space="preserve">between UTS and SRDC. It makes the monitoring visible to building occupants, which is the pathway</w:t>
      </w:r>
      <w:r>
        <w:t xml:space="preserve"> </w:t>
      </w:r>
      <w:r>
        <w:t xml:space="preserve">by which the project influences campus practice and supports institutional environmental</w:t>
      </w:r>
      <w:r>
        <w:t xml:space="preserve"> </w:t>
      </w:r>
      <w:r>
        <w:t xml:space="preserve">reporting. The item is procured following UTS Procurement Procedure, remains the property of UTS,</w:t>
      </w:r>
      <w:r>
        <w:t xml:space="preserve"> </w:t>
      </w:r>
      <w:r>
        <w:t xml:space="preserve">and is entered in the project asset inventory.</w:t>
      </w:r>
    </w:p>
    <w:bookmarkEnd w:id="53"/>
    <w:bookmarkStart w:id="54" w:name="compliance-summary"/>
    <w:p>
      <w:pPr>
        <w:pStyle w:val="Heading3"/>
      </w:pPr>
      <w:r>
        <w:t xml:space="preserve">Compliance summary</w:t>
      </w:r>
    </w:p>
    <w:p>
      <w:pPr>
        <w:pStyle w:val="FirstParagraph"/>
      </w:pPr>
      <w:r>
        <w:t xml:space="preserve">VOT 11000, VOT 21000 and VOT 29000 each sit at their stated ceilings and not above them. VOT</w:t>
      </w:r>
      <w:r>
        <w:t xml:space="preserve"> </w:t>
      </w:r>
      <w:r>
        <w:t xml:space="preserve">35000 is twelve per cent of the grant, within the forty per cent ceiling. VOT 23000 is not used,</w:t>
      </w:r>
      <w:r>
        <w:t xml:space="preserve"> </w:t>
      </w:r>
      <w:r>
        <w:t xml:space="preserve">since the guideline restricts it to USRRG and UFSRRG; cloud hosting and the data plan are</w:t>
      </w:r>
      <w:r>
        <w:t xml:space="preserve"> </w:t>
      </w:r>
      <w:r>
        <w:t xml:space="preserve">accordingly not requested from the grant and are provided as a UTS in-kind contribution through</w:t>
      </w:r>
      <w:r>
        <w:t xml:space="preserve"> </w:t>
      </w:r>
      <w:r>
        <w:t xml:space="preserve">institutional information technology infrastructure or a no-cost service tier. No utilities,</w:t>
      </w:r>
      <w:r>
        <w:t xml:space="preserve"> </w:t>
      </w:r>
      <w:r>
        <w:t xml:space="preserve">books, stationery or journal subscriptions appear under VOT 26000. Rental is placed in VOT 24000</w:t>
      </w:r>
      <w:r>
        <w:t xml:space="preserve"> </w:t>
      </w:r>
      <w:r>
        <w:t xml:space="preserve">rather than VOT 35000. Subsistence is claimed only for conference paper presentation. Two indexed</w:t>
      </w:r>
      <w:r>
        <w:t xml:space="preserve"> </w:t>
      </w:r>
      <w:r>
        <w:t xml:space="preserve">conference or journal outputs are committed, as the guideline requires. Virement may be exercised</w:t>
      </w:r>
      <w:r>
        <w:t xml:space="preserve"> </w:t>
      </w:r>
      <w:r>
        <w:t xml:space="preserve">only once during the project and requires the approval of the Director, Centre for Research and</w:t>
      </w:r>
      <w:r>
        <w:t xml:space="preserve"> </w:t>
      </w:r>
      <w:r>
        <w:t xml:space="preserve">Development.</w:t>
      </w:r>
    </w:p>
    <w:p>
      <w:pPr>
        <w:pStyle w:val="BodyText"/>
      </w:pPr>
      <w:r>
        <w:t xml:space="preserve">Year 1 totals RM17,150.00 and Year 2 totals RM7,850.00, giving RM25,000.00 in all.</w:t>
      </w:r>
    </w:p>
    <w:bookmarkEnd w:id="54"/>
    <w:bookmarkEnd w:id="55"/>
    <w:bookmarkStart w:id="56" w:name="appendix-b.-attachments"/>
    <w:p>
      <w:pPr>
        <w:pStyle w:val="Heading2"/>
      </w:pPr>
      <w:r>
        <w:t xml:space="preserve">Appendix B. Attachments</w:t>
      </w:r>
    </w:p>
    <w:p>
      <w:pPr>
        <w:pStyle w:val="FirstParagraph"/>
      </w:pPr>
      <w:r>
        <w:t xml:space="preserve">The following are supplied as separate files, since the portal does not accept tables within the</w:t>
      </w:r>
      <w:r>
        <w:t xml:space="preserve"> </w:t>
      </w:r>
      <w:r>
        <w:t xml:space="preserve">text fields.</w:t>
      </w:r>
    </w:p>
    <w:p>
      <w:pPr>
        <w:numPr>
          <w:ilvl w:val="0"/>
          <w:numId w:val="1002"/>
        </w:numPr>
        <w:pStyle w:val="Compact"/>
      </w:pPr>
      <w:r>
        <w:t xml:space="preserve">Gantt chart, covering the twenty-four month term from March 2027 to February 2029.</w:t>
      </w:r>
    </w:p>
    <w:p>
      <w:pPr>
        <w:numPr>
          <w:ilvl w:val="0"/>
          <w:numId w:val="1002"/>
        </w:numPr>
        <w:pStyle w:val="Compact"/>
      </w:pPr>
      <w:r>
        <w:t xml:space="preserve">Milestone schedule, by phase, with deliverables and dates.</w:t>
      </w:r>
    </w:p>
    <w:p>
      <w:pPr>
        <w:numPr>
          <w:ilvl w:val="0"/>
          <w:numId w:val="1002"/>
        </w:numPr>
        <w:pStyle w:val="Compact"/>
      </w:pPr>
      <w:r>
        <w:t xml:space="preserve">Research flow chart, showing the division of work between UTS, SRDC-TROPI and the sequencing</w:t>
      </w:r>
      <w:r>
        <w:t xml:space="preserve"> </w:t>
      </w:r>
      <w:r>
        <w:t xml:space="preserve">provider, and the points at which controls enter the pipeline.</w:t>
      </w:r>
    </w:p>
    <w:p>
      <w:pPr>
        <w:numPr>
          <w:ilvl w:val="0"/>
          <w:numId w:val="1002"/>
        </w:numPr>
        <w:pStyle w:val="Compact"/>
      </w:pPr>
      <w:r>
        <w:t xml:space="preserve">Sampling round schedule, listing the six quarterly rounds with their seasonal phases.</w:t>
      </w:r>
    </w:p>
    <w:p>
      <w:pPr>
        <w:numPr>
          <w:ilvl w:val="0"/>
          <w:numId w:val="1002"/>
        </w:numPr>
        <w:pStyle w:val="Compact"/>
      </w:pPr>
      <w:r>
        <w:t xml:space="preserve">Signed Memorandum of Agreement between SRDC and UTS, including Schedule B Part 2, which</w:t>
      </w:r>
      <w:r>
        <w:t xml:space="preserve"> </w:t>
      </w:r>
      <w:r>
        <w:t xml:space="preserve">records the matched research expenditure.</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Fungal and microbial colonisation of tropical educational building exteriors: molecular characterisation and campus air-quality context at UTS Sibu</dc:title>
  <dc:creator>Dr Armstrong Ighodalo Omoregie, Centre for Built Environment and Resourceful Societies (BERI), School of Built Environment, University of Technology Sarawak</dc:creator>
  <cp:keywords/>
  <dcterms:created xsi:type="dcterms:W3CDTF">2026-10-28T10:01:00Z</dcterms:created>
  <dcterms:modified xsi:type="dcterms:W3CDTF">2026-10-28T10:01:00Z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UTS Matching Grant (UMG), Cycle 1/2027</vt:lpwstr>
  </property>
</Properties>
</file>